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6FD79" w14:textId="5FF13E2C" w:rsidR="0053704D" w:rsidRPr="001E6E9D" w:rsidRDefault="0053704D" w:rsidP="00876F1D">
      <w:pPr>
        <w:pBdr>
          <w:bottom w:val="single" w:sz="4" w:space="1" w:color="152560"/>
        </w:pBdr>
        <w:spacing w:after="120"/>
        <w:jc w:val="center"/>
        <w:rPr>
          <w:rFonts w:asciiTheme="minorHAnsi" w:eastAsia="Times New Roman" w:hAnsiTheme="minorHAnsi" w:cstheme="minorHAnsi"/>
          <w:b/>
          <w:bCs/>
          <w:sz w:val="28"/>
          <w:szCs w:val="28"/>
          <w:lang w:eastAsia="pt-BR"/>
        </w:rPr>
      </w:pPr>
      <w:r w:rsidRPr="001E6E9D">
        <w:rPr>
          <w:rFonts w:asciiTheme="minorHAnsi" w:eastAsia="Times New Roman" w:hAnsiTheme="minorHAnsi" w:cstheme="minorHAnsi"/>
          <w:b/>
          <w:bCs/>
          <w:sz w:val="28"/>
          <w:szCs w:val="28"/>
          <w:lang w:eastAsia="pt-BR"/>
        </w:rPr>
        <w:t xml:space="preserve">PROSPECTO </w:t>
      </w:r>
      <w:r w:rsidR="00B2413C">
        <w:rPr>
          <w:rFonts w:asciiTheme="minorHAnsi" w:eastAsia="Times New Roman" w:hAnsiTheme="minorHAnsi" w:cstheme="minorHAnsi"/>
          <w:b/>
          <w:bCs/>
          <w:sz w:val="28"/>
          <w:szCs w:val="28"/>
          <w:lang w:eastAsia="pt-BR"/>
        </w:rPr>
        <w:t>DEFINITIVO</w:t>
      </w:r>
    </w:p>
    <w:p w14:paraId="433701CA" w14:textId="40D1ACA4" w:rsidR="003468A1" w:rsidRPr="001E6E9D" w:rsidRDefault="00C93D2F" w:rsidP="00FF699B">
      <w:pPr>
        <w:spacing w:before="100" w:after="100"/>
        <w:jc w:val="center"/>
        <w:rPr>
          <w:rFonts w:asciiTheme="minorHAnsi" w:eastAsia="Times New Roman" w:hAnsiTheme="minorHAnsi" w:cstheme="minorHAnsi"/>
          <w:b/>
          <w:color w:val="152560"/>
          <w:spacing w:val="-2"/>
          <w:sz w:val="18"/>
          <w:szCs w:val="18"/>
          <w:lang w:eastAsia="pt-BR"/>
        </w:rPr>
      </w:pPr>
      <w:r w:rsidRPr="001E6E9D">
        <w:rPr>
          <w:rStyle w:val="sembold"/>
          <w:rFonts w:asciiTheme="minorHAnsi" w:hAnsiTheme="minorHAnsi" w:cstheme="minorHAnsi"/>
          <w:sz w:val="18"/>
          <w:szCs w:val="18"/>
        </w:rPr>
        <w:t>DA OFERTA PÚBLICA DE DISTRIBUIÇÃO DE DEBÊNTURES SIMPLES, NÃO CONVERSÍVEIS EM AÇÕES, DA ESPÉCIE COM GARANTIA REAL, COM GARANTIA ADICIONAL FIDEJUSSÓRIA, EM SÉRIE ÚNICA, PARA DISTRIBUIÇÃO PÚBLICA SOB RITO DE REGISTRO AUTOMÁTICO DE DISTRIBUIÇÃO, DESTINADA A INVESTIDORES QUALIFICADOS, DA 1ª (PRIMEIRA) EMISSÃO DA</w:t>
      </w:r>
      <w:bookmarkStart w:id="0" w:name="_Hlk124181326"/>
      <w:bookmarkStart w:id="1" w:name="_Hlk78390100"/>
      <w:bookmarkStart w:id="2" w:name="_Hlk78373772"/>
      <w:bookmarkStart w:id="3" w:name="_Hlk83836300"/>
      <w:bookmarkEnd w:id="0"/>
    </w:p>
    <w:p w14:paraId="7383FC25" w14:textId="641F85CF" w:rsidR="00856416" w:rsidRPr="001E6E9D" w:rsidRDefault="00856416" w:rsidP="000C3C74">
      <w:pPr>
        <w:pStyle w:val="CABECALHO-CNPJ"/>
        <w:spacing w:before="120" w:line="240" w:lineRule="auto"/>
        <w:rPr>
          <w:rFonts w:asciiTheme="minorHAnsi" w:hAnsiTheme="minorHAnsi" w:cstheme="minorHAnsi"/>
          <w:color w:val="0082CB"/>
          <w:sz w:val="10"/>
          <w:szCs w:val="10"/>
        </w:rPr>
      </w:pPr>
      <w:bookmarkStart w:id="4" w:name="_Hlk121757300"/>
      <w:r w:rsidRPr="001E6E9D">
        <w:rPr>
          <w:rFonts w:asciiTheme="minorHAnsi" w:hAnsiTheme="minorHAnsi" w:cstheme="minorHAnsi"/>
          <w:noProof/>
          <w:color w:val="0082CB"/>
          <w:sz w:val="10"/>
          <w:szCs w:val="10"/>
        </w:rPr>
        <w:drawing>
          <wp:inline distT="0" distB="0" distL="0" distR="0" wp14:anchorId="580C9FCA" wp14:editId="285D3728">
            <wp:extent cx="2074244" cy="495839"/>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RO ENERGY.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7411" cy="515720"/>
                    </a:xfrm>
                    <a:prstGeom prst="rect">
                      <a:avLst/>
                    </a:prstGeom>
                  </pic:spPr>
                </pic:pic>
              </a:graphicData>
            </a:graphic>
          </wp:inline>
        </w:drawing>
      </w:r>
    </w:p>
    <w:p w14:paraId="5E7A154D" w14:textId="361D7ED1" w:rsidR="00C93D2F" w:rsidRPr="00FD04CA" w:rsidRDefault="00C93D2F" w:rsidP="00876F1D">
      <w:pPr>
        <w:pStyle w:val="CABECALHO-CNPJ"/>
        <w:spacing w:after="40" w:line="240" w:lineRule="auto"/>
        <w:rPr>
          <w:rFonts w:asciiTheme="minorHAnsi" w:hAnsiTheme="minorHAnsi" w:cstheme="minorHAnsi"/>
          <w:b/>
          <w:szCs w:val="16"/>
        </w:rPr>
      </w:pPr>
      <w:r w:rsidRPr="00FD04CA">
        <w:rPr>
          <w:rFonts w:asciiTheme="minorHAnsi" w:hAnsiTheme="minorHAnsi" w:cstheme="minorHAnsi"/>
          <w:b/>
          <w:color w:val="0082CB"/>
          <w:szCs w:val="16"/>
        </w:rPr>
        <w:t>FARO ENERGY PROJETOS SOLARES</w:t>
      </w:r>
      <w:r w:rsidR="00065DBC" w:rsidRPr="00FD04CA">
        <w:rPr>
          <w:rFonts w:asciiTheme="minorHAnsi" w:hAnsiTheme="minorHAnsi" w:cstheme="minorHAnsi"/>
          <w:b/>
          <w:color w:val="0082CB"/>
          <w:szCs w:val="16"/>
        </w:rPr>
        <w:t xml:space="preserve"> </w:t>
      </w:r>
      <w:r w:rsidRPr="00FD04CA">
        <w:rPr>
          <w:rFonts w:asciiTheme="minorHAnsi" w:hAnsiTheme="minorHAnsi" w:cstheme="minorHAnsi"/>
          <w:b/>
          <w:color w:val="0082CB"/>
          <w:szCs w:val="16"/>
        </w:rPr>
        <w:t>HOLDING IV S.A.</w:t>
      </w:r>
    </w:p>
    <w:p w14:paraId="0C901599" w14:textId="77777777" w:rsidR="00C93D2F" w:rsidRPr="001E6E9D" w:rsidRDefault="00C93D2F" w:rsidP="00876F1D">
      <w:pPr>
        <w:pStyle w:val="CABECALHO-CNPJ"/>
        <w:spacing w:after="40" w:line="240" w:lineRule="auto"/>
        <w:rPr>
          <w:rFonts w:asciiTheme="minorHAnsi" w:hAnsiTheme="minorHAnsi" w:cstheme="minorHAnsi"/>
          <w:sz w:val="14"/>
          <w:szCs w:val="14"/>
        </w:rPr>
      </w:pPr>
      <w:r w:rsidRPr="001E6E9D">
        <w:rPr>
          <w:rFonts w:asciiTheme="minorHAnsi" w:hAnsiTheme="minorHAnsi" w:cstheme="minorHAnsi"/>
          <w:sz w:val="14"/>
          <w:szCs w:val="14"/>
        </w:rPr>
        <w:t>Companhia Fechada</w:t>
      </w:r>
    </w:p>
    <w:p w14:paraId="2B428BB2" w14:textId="528B595D" w:rsidR="00C93D2F" w:rsidRPr="001E6E9D" w:rsidRDefault="00C93D2F" w:rsidP="00876F1D">
      <w:pPr>
        <w:pStyle w:val="CABECALHO-CNPJ"/>
        <w:spacing w:line="240" w:lineRule="auto"/>
        <w:rPr>
          <w:rFonts w:asciiTheme="minorHAnsi" w:hAnsiTheme="minorHAnsi" w:cstheme="minorHAnsi"/>
          <w:sz w:val="14"/>
          <w:szCs w:val="14"/>
        </w:rPr>
      </w:pPr>
      <w:r w:rsidRPr="001E6E9D">
        <w:rPr>
          <w:rFonts w:asciiTheme="minorHAnsi" w:hAnsiTheme="minorHAnsi" w:cstheme="minorHAnsi"/>
          <w:sz w:val="14"/>
          <w:szCs w:val="14"/>
        </w:rPr>
        <w:t xml:space="preserve">CNPJ nº 48.904.104/0001-57 | NIRE </w:t>
      </w:r>
      <w:r w:rsidR="008112E6" w:rsidRPr="001E6E9D">
        <w:rPr>
          <w:rFonts w:asciiTheme="minorHAnsi" w:hAnsiTheme="minorHAnsi" w:cstheme="minorHAnsi"/>
          <w:sz w:val="14"/>
          <w:szCs w:val="14"/>
        </w:rPr>
        <w:t>35.300.650.646</w:t>
      </w:r>
      <w:r w:rsidR="00C84D58" w:rsidRPr="001E6E9D">
        <w:rPr>
          <w:rFonts w:asciiTheme="minorHAnsi" w:hAnsiTheme="minorHAnsi" w:cstheme="minorHAnsi"/>
          <w:sz w:val="14"/>
          <w:szCs w:val="14"/>
        </w:rPr>
        <w:br/>
      </w:r>
      <w:r w:rsidRPr="001E6E9D">
        <w:rPr>
          <w:rFonts w:asciiTheme="minorHAnsi" w:hAnsiTheme="minorHAnsi" w:cstheme="minorHAnsi"/>
          <w:sz w:val="14"/>
          <w:szCs w:val="14"/>
        </w:rPr>
        <w:t>Avenida das Nações Unidas, nº 11.541, 11° andar, conjunto 112, Sala 5, CEP 04578-097, São Paulo - SP</w:t>
      </w:r>
    </w:p>
    <w:p w14:paraId="32F60115" w14:textId="77777777" w:rsidR="00C93D2F" w:rsidRPr="001E6E9D" w:rsidRDefault="00C93D2F" w:rsidP="000C3C74">
      <w:pPr>
        <w:pStyle w:val="CABECALHO-MONTANTE"/>
        <w:spacing w:before="80" w:after="40" w:line="240" w:lineRule="auto"/>
        <w:rPr>
          <w:rFonts w:asciiTheme="minorHAnsi" w:hAnsiTheme="minorHAnsi" w:cstheme="minorHAnsi"/>
          <w:b/>
          <w:sz w:val="14"/>
          <w:szCs w:val="14"/>
        </w:rPr>
      </w:pPr>
      <w:r w:rsidRPr="001E6E9D">
        <w:rPr>
          <w:rFonts w:asciiTheme="minorHAnsi" w:hAnsiTheme="minorHAnsi" w:cstheme="minorHAnsi"/>
          <w:b/>
          <w:sz w:val="14"/>
          <w:szCs w:val="14"/>
        </w:rPr>
        <w:t>no montante total de</w:t>
      </w:r>
    </w:p>
    <w:p w14:paraId="22945F2B" w14:textId="77777777" w:rsidR="00C93D2F" w:rsidRPr="001E6E9D" w:rsidRDefault="00C93D2F" w:rsidP="001F0BE5">
      <w:pPr>
        <w:pStyle w:val="CABECALHO-VALOR"/>
        <w:spacing w:before="60" w:after="0" w:line="240" w:lineRule="auto"/>
        <w:rPr>
          <w:rFonts w:asciiTheme="minorHAnsi" w:hAnsiTheme="minorHAnsi" w:cstheme="minorHAnsi"/>
          <w:b/>
          <w:sz w:val="44"/>
          <w:szCs w:val="44"/>
        </w:rPr>
      </w:pPr>
      <w:r w:rsidRPr="001E6E9D">
        <w:rPr>
          <w:rFonts w:asciiTheme="minorHAnsi" w:hAnsiTheme="minorHAnsi" w:cstheme="minorHAnsi"/>
          <w:b/>
          <w:color w:val="000000"/>
          <w:sz w:val="44"/>
          <w:szCs w:val="44"/>
        </w:rPr>
        <w:t>R$200.000.000,00</w:t>
      </w:r>
    </w:p>
    <w:p w14:paraId="3113B49C" w14:textId="77777777" w:rsidR="00C93D2F" w:rsidRPr="001E6E9D" w:rsidRDefault="00C93D2F" w:rsidP="000C3C74">
      <w:pPr>
        <w:pStyle w:val="CABECALHO-EXTENSO"/>
        <w:spacing w:after="40" w:line="240" w:lineRule="auto"/>
        <w:rPr>
          <w:rFonts w:asciiTheme="minorHAnsi" w:hAnsiTheme="minorHAnsi" w:cstheme="minorHAnsi"/>
          <w:color w:val="000000"/>
          <w:spacing w:val="50"/>
          <w:sz w:val="17"/>
          <w:szCs w:val="17"/>
        </w:rPr>
      </w:pPr>
      <w:r w:rsidRPr="001E6E9D">
        <w:rPr>
          <w:rFonts w:asciiTheme="minorHAnsi" w:hAnsiTheme="minorHAnsi" w:cstheme="minorHAnsi"/>
          <w:color w:val="000000"/>
          <w:spacing w:val="50"/>
          <w:sz w:val="17"/>
          <w:szCs w:val="17"/>
        </w:rPr>
        <w:t>(duzentos milhões de reais)</w:t>
      </w:r>
    </w:p>
    <w:p w14:paraId="6F4EBCDE" w14:textId="405730A9" w:rsidR="002E5F78" w:rsidRDefault="00C93D2F" w:rsidP="002E5F78">
      <w:pPr>
        <w:suppressAutoHyphens/>
        <w:autoSpaceDE w:val="0"/>
        <w:autoSpaceDN w:val="0"/>
        <w:adjustRightInd w:val="0"/>
        <w:spacing w:after="0" w:line="288" w:lineRule="auto"/>
        <w:jc w:val="center"/>
        <w:textAlignment w:val="center"/>
        <w:rPr>
          <w:rFonts w:asciiTheme="minorHAnsi" w:hAnsiTheme="minorHAnsi" w:cstheme="minorHAnsi"/>
          <w:b/>
          <w:sz w:val="14"/>
          <w:szCs w:val="14"/>
        </w:rPr>
      </w:pPr>
      <w:r w:rsidRPr="001E6E9D">
        <w:rPr>
          <w:rFonts w:asciiTheme="minorHAnsi" w:hAnsiTheme="minorHAnsi" w:cstheme="minorHAnsi"/>
          <w:b/>
          <w:sz w:val="14"/>
          <w:szCs w:val="14"/>
        </w:rPr>
        <w:t xml:space="preserve">CÓDIGO ISIN: </w:t>
      </w:r>
      <w:r w:rsidR="00E02A6F" w:rsidRPr="001E6E9D">
        <w:rPr>
          <w:rFonts w:asciiTheme="minorHAnsi" w:hAnsiTheme="minorHAnsi" w:cstheme="minorHAnsi"/>
          <w:b/>
          <w:sz w:val="14"/>
          <w:szCs w:val="14"/>
        </w:rPr>
        <w:t>BRFEPSDBS008</w:t>
      </w:r>
      <w:r w:rsidR="00E53D03" w:rsidRPr="001E6E9D">
        <w:rPr>
          <w:rFonts w:asciiTheme="minorHAnsi" w:hAnsiTheme="minorHAnsi" w:cstheme="minorHAnsi"/>
          <w:b/>
          <w:sz w:val="14"/>
          <w:szCs w:val="14"/>
        </w:rPr>
        <w:br/>
      </w:r>
      <w:r w:rsidRPr="001E6E9D">
        <w:rPr>
          <w:rFonts w:asciiTheme="minorHAnsi" w:hAnsiTheme="minorHAnsi" w:cstheme="minorHAnsi"/>
          <w:b/>
          <w:sz w:val="14"/>
          <w:szCs w:val="14"/>
        </w:rPr>
        <w:t xml:space="preserve">Classificação de Risco </w:t>
      </w:r>
      <w:r w:rsidR="00B2413C">
        <w:rPr>
          <w:rFonts w:asciiTheme="minorHAnsi" w:hAnsiTheme="minorHAnsi" w:cstheme="minorHAnsi"/>
          <w:b/>
          <w:sz w:val="14"/>
          <w:szCs w:val="14"/>
        </w:rPr>
        <w:t>Definitiva</w:t>
      </w:r>
      <w:r w:rsidR="00B2413C" w:rsidRPr="001E6E9D">
        <w:rPr>
          <w:rFonts w:asciiTheme="minorHAnsi" w:hAnsiTheme="minorHAnsi" w:cstheme="minorHAnsi"/>
          <w:b/>
          <w:sz w:val="14"/>
          <w:szCs w:val="14"/>
        </w:rPr>
        <w:t xml:space="preserve"> </w:t>
      </w:r>
      <w:r w:rsidRPr="001E6E9D">
        <w:rPr>
          <w:rFonts w:asciiTheme="minorHAnsi" w:hAnsiTheme="minorHAnsi" w:cstheme="minorHAnsi"/>
          <w:b/>
          <w:sz w:val="14"/>
          <w:szCs w:val="14"/>
        </w:rPr>
        <w:t xml:space="preserve">das Debêntures pela Fitch </w:t>
      </w:r>
      <w:r w:rsidRPr="004A06FC">
        <w:rPr>
          <w:rFonts w:asciiTheme="minorHAnsi" w:hAnsiTheme="minorHAnsi" w:cstheme="minorHAnsi"/>
          <w:b/>
          <w:sz w:val="14"/>
          <w:szCs w:val="14"/>
        </w:rPr>
        <w:t xml:space="preserve">Ratings Brasil Ltda.: </w:t>
      </w:r>
      <w:r w:rsidR="00E02A6F" w:rsidRPr="004A06FC">
        <w:rPr>
          <w:rFonts w:asciiTheme="minorHAnsi" w:hAnsiTheme="minorHAnsi" w:cstheme="minorHAnsi"/>
          <w:b/>
          <w:sz w:val="14"/>
          <w:szCs w:val="14"/>
        </w:rPr>
        <w:t>“</w:t>
      </w:r>
      <w:r w:rsidR="00DA64D7" w:rsidRPr="004A06FC">
        <w:rPr>
          <w:rFonts w:asciiTheme="minorHAnsi" w:hAnsiTheme="minorHAnsi"/>
          <w:b/>
          <w:sz w:val="14"/>
        </w:rPr>
        <w:t>AA+(bra</w:t>
      </w:r>
      <w:r w:rsidR="00DA64D7" w:rsidRPr="004A06FC">
        <w:rPr>
          <w:rFonts w:asciiTheme="minorHAnsi" w:hAnsiTheme="minorHAnsi" w:cstheme="minorHAnsi"/>
          <w:b/>
          <w:sz w:val="14"/>
          <w:szCs w:val="14"/>
        </w:rPr>
        <w:t>)</w:t>
      </w:r>
      <w:r w:rsidR="00E02A6F" w:rsidRPr="004A06FC">
        <w:rPr>
          <w:rFonts w:asciiTheme="minorHAnsi" w:hAnsiTheme="minorHAnsi" w:cstheme="minorHAnsi"/>
          <w:b/>
          <w:sz w:val="14"/>
          <w:szCs w:val="14"/>
        </w:rPr>
        <w:t>”*</w:t>
      </w:r>
      <w:r w:rsidRPr="004A06FC">
        <w:rPr>
          <w:rFonts w:asciiTheme="minorHAnsi" w:hAnsiTheme="minorHAnsi" w:cstheme="minorHAnsi"/>
          <w:b/>
          <w:sz w:val="14"/>
          <w:szCs w:val="14"/>
        </w:rPr>
        <w:br/>
        <w:t xml:space="preserve">*Esta classificação foi realizada em </w:t>
      </w:r>
      <w:r w:rsidR="004A06FC" w:rsidRPr="004A06FC">
        <w:rPr>
          <w:rFonts w:asciiTheme="minorHAnsi" w:hAnsiTheme="minorHAnsi" w:cstheme="minorHAnsi"/>
          <w:b/>
          <w:sz w:val="14"/>
          <w:szCs w:val="14"/>
        </w:rPr>
        <w:t xml:space="preserve">05 </w:t>
      </w:r>
      <w:r w:rsidR="00332057" w:rsidRPr="004A06FC">
        <w:rPr>
          <w:rFonts w:asciiTheme="minorHAnsi" w:hAnsiTheme="minorHAnsi" w:cstheme="minorHAnsi"/>
          <w:b/>
          <w:sz w:val="14"/>
          <w:szCs w:val="14"/>
        </w:rPr>
        <w:t>de fevereiro</w:t>
      </w:r>
      <w:r w:rsidR="002E5F78" w:rsidRPr="004A06FC">
        <w:rPr>
          <w:rFonts w:asciiTheme="minorHAnsi" w:hAnsiTheme="minorHAnsi" w:cstheme="minorHAnsi"/>
          <w:b/>
          <w:sz w:val="14"/>
          <w:szCs w:val="14"/>
        </w:rPr>
        <w:t xml:space="preserve"> </w:t>
      </w:r>
      <w:r w:rsidRPr="004A06FC">
        <w:rPr>
          <w:rFonts w:asciiTheme="minorHAnsi" w:hAnsiTheme="minorHAnsi" w:cstheme="minorHAnsi"/>
          <w:b/>
          <w:sz w:val="14"/>
          <w:szCs w:val="14"/>
        </w:rPr>
        <w:t xml:space="preserve">de </w:t>
      </w:r>
      <w:r w:rsidR="002E5F78" w:rsidRPr="004A06FC">
        <w:rPr>
          <w:rFonts w:asciiTheme="minorHAnsi" w:hAnsiTheme="minorHAnsi" w:cstheme="minorHAnsi"/>
          <w:b/>
          <w:sz w:val="14"/>
          <w:szCs w:val="14"/>
        </w:rPr>
        <w:t>2025</w:t>
      </w:r>
      <w:r w:rsidRPr="004A06FC">
        <w:rPr>
          <w:rFonts w:asciiTheme="minorHAnsi" w:hAnsiTheme="minorHAnsi" w:cstheme="minorHAnsi"/>
          <w:b/>
          <w:sz w:val="14"/>
          <w:szCs w:val="14"/>
        </w:rPr>
        <w:t>, estando as caraterísticas deste papel sujeitas a alt</w:t>
      </w:r>
      <w:r w:rsidRPr="001E6E9D">
        <w:rPr>
          <w:rFonts w:asciiTheme="minorHAnsi" w:hAnsiTheme="minorHAnsi" w:cstheme="minorHAnsi"/>
          <w:b/>
          <w:sz w:val="14"/>
          <w:szCs w:val="14"/>
        </w:rPr>
        <w:t>erações.</w:t>
      </w:r>
    </w:p>
    <w:p w14:paraId="72D9AC8B" w14:textId="2FC6CD5D" w:rsidR="00C93D2F" w:rsidRPr="001E6E9D" w:rsidRDefault="002E5F78" w:rsidP="002E5F78">
      <w:pPr>
        <w:suppressAutoHyphens/>
        <w:autoSpaceDE w:val="0"/>
        <w:autoSpaceDN w:val="0"/>
        <w:adjustRightInd w:val="0"/>
        <w:spacing w:after="0" w:line="288" w:lineRule="auto"/>
        <w:jc w:val="center"/>
        <w:textAlignment w:val="center"/>
        <w:rPr>
          <w:rFonts w:asciiTheme="minorHAnsi" w:hAnsiTheme="minorHAnsi" w:cstheme="minorHAnsi"/>
          <w:b/>
          <w:spacing w:val="-2"/>
          <w:sz w:val="14"/>
          <w:szCs w:val="14"/>
          <w:lang w:bidi="pt-BR"/>
        </w:rPr>
      </w:pPr>
      <w:r w:rsidRPr="005519C2">
        <w:rPr>
          <w:rFonts w:cs="Verdana"/>
          <w:b/>
          <w:bCs/>
          <w:color w:val="000000"/>
          <w:sz w:val="12"/>
          <w:szCs w:val="12"/>
          <w:lang w:eastAsia="pt-BR"/>
        </w:rPr>
        <w:t>O REGISTRO DA OFERTA DAS DEBÊNTURES FOI CONCEDIDO AUTOMATICAMENTE</w:t>
      </w:r>
      <w:r w:rsidR="00BE2C56">
        <w:rPr>
          <w:rFonts w:cs="Verdana"/>
          <w:b/>
          <w:bCs/>
          <w:color w:val="000000"/>
          <w:sz w:val="12"/>
          <w:szCs w:val="12"/>
          <w:lang w:eastAsia="pt-BR"/>
        </w:rPr>
        <w:br/>
      </w:r>
      <w:r w:rsidRPr="005519C2">
        <w:rPr>
          <w:rFonts w:cs="Verdana"/>
          <w:b/>
          <w:bCs/>
          <w:color w:val="000000"/>
          <w:sz w:val="12"/>
          <w:szCs w:val="12"/>
          <w:lang w:eastAsia="pt-BR"/>
        </w:rPr>
        <w:t xml:space="preserve">PELA CVM EM </w:t>
      </w:r>
      <w:r w:rsidR="00332057">
        <w:rPr>
          <w:rFonts w:cs="Verdana"/>
          <w:b/>
          <w:bCs/>
          <w:color w:val="000000"/>
          <w:sz w:val="12"/>
          <w:szCs w:val="12"/>
          <w:lang w:eastAsia="pt-BR"/>
        </w:rPr>
        <w:t>0</w:t>
      </w:r>
      <w:r w:rsidR="002D21AA">
        <w:rPr>
          <w:rFonts w:cs="Verdana"/>
          <w:b/>
          <w:bCs/>
          <w:color w:val="000000"/>
          <w:sz w:val="12"/>
          <w:szCs w:val="12"/>
          <w:lang w:eastAsia="pt-BR"/>
        </w:rPr>
        <w:t>5</w:t>
      </w:r>
      <w:r w:rsidR="00857C2F" w:rsidRPr="005519C2">
        <w:rPr>
          <w:rFonts w:cs="Verdana"/>
          <w:b/>
          <w:bCs/>
          <w:color w:val="000000"/>
          <w:sz w:val="12"/>
          <w:szCs w:val="12"/>
          <w:lang w:eastAsia="pt-BR"/>
        </w:rPr>
        <w:t xml:space="preserve"> </w:t>
      </w:r>
      <w:r w:rsidRPr="005519C2">
        <w:rPr>
          <w:rFonts w:cs="Verdana"/>
          <w:b/>
          <w:bCs/>
          <w:color w:val="000000"/>
          <w:sz w:val="12"/>
          <w:szCs w:val="12"/>
          <w:lang w:eastAsia="pt-BR"/>
        </w:rPr>
        <w:t xml:space="preserve">DE </w:t>
      </w:r>
      <w:r w:rsidR="00857C2F">
        <w:rPr>
          <w:rFonts w:cs="Verdana"/>
          <w:b/>
          <w:bCs/>
          <w:color w:val="000000"/>
          <w:sz w:val="12"/>
          <w:szCs w:val="12"/>
          <w:lang w:eastAsia="pt-BR"/>
        </w:rPr>
        <w:t>FEVEREIRO</w:t>
      </w:r>
      <w:r w:rsidR="00857C2F" w:rsidRPr="005519C2">
        <w:rPr>
          <w:rFonts w:cs="Verdana"/>
          <w:b/>
          <w:bCs/>
          <w:color w:val="000000"/>
          <w:sz w:val="12"/>
          <w:szCs w:val="12"/>
          <w:lang w:eastAsia="pt-BR"/>
        </w:rPr>
        <w:t xml:space="preserve"> </w:t>
      </w:r>
      <w:r w:rsidRPr="005519C2">
        <w:rPr>
          <w:rFonts w:cs="Verdana"/>
          <w:b/>
          <w:bCs/>
          <w:color w:val="000000"/>
          <w:sz w:val="12"/>
          <w:szCs w:val="12"/>
          <w:lang w:eastAsia="pt-BR"/>
        </w:rPr>
        <w:t>DE 202</w:t>
      </w:r>
      <w:r>
        <w:rPr>
          <w:rFonts w:cs="Verdana"/>
          <w:b/>
          <w:bCs/>
          <w:color w:val="000000"/>
          <w:sz w:val="12"/>
          <w:szCs w:val="12"/>
          <w:lang w:eastAsia="pt-BR"/>
        </w:rPr>
        <w:t xml:space="preserve">5 SOB O Nº </w:t>
      </w:r>
      <w:r w:rsidR="00BE2C56" w:rsidRPr="0015052C">
        <w:rPr>
          <w:rFonts w:cs="Verdana"/>
          <w:b/>
          <w:bCs/>
          <w:color w:val="000000"/>
          <w:sz w:val="12"/>
          <w:szCs w:val="12"/>
          <w:lang w:eastAsia="pt-BR"/>
        </w:rPr>
        <w:t>CVM/SRE/AUT/DEB/PRI/2025/180</w:t>
      </w:r>
    </w:p>
    <w:p w14:paraId="64E294BD" w14:textId="24109C2F" w:rsidR="00FF777C" w:rsidRPr="001E6E9D" w:rsidRDefault="0053704D" w:rsidP="000C3C74">
      <w:pPr>
        <w:tabs>
          <w:tab w:val="left" w:pos="0"/>
        </w:tabs>
        <w:spacing w:before="40" w:after="40"/>
        <w:ind w:right="-1"/>
        <w:rPr>
          <w:rFonts w:asciiTheme="minorHAnsi" w:hAnsiTheme="minorHAnsi" w:cstheme="minorHAnsi"/>
          <w:sz w:val="10"/>
          <w:szCs w:val="10"/>
        </w:rPr>
      </w:pPr>
      <w:r w:rsidRPr="001E6E9D">
        <w:rPr>
          <w:rFonts w:asciiTheme="minorHAnsi" w:eastAsia="Times New Roman" w:hAnsiTheme="minorHAnsi" w:cstheme="minorHAnsi"/>
          <w:spacing w:val="-2"/>
          <w:sz w:val="10"/>
          <w:szCs w:val="10"/>
          <w:lang w:eastAsia="pt-BR" w:bidi="pt-BR"/>
        </w:rPr>
        <w:t>Nos termos do disposto no inciso IX do artigo 26 da Resolução da Comissão de Valores Mobiliários (</w:t>
      </w:r>
      <w:r w:rsidR="000D5E35" w:rsidRPr="001E6E9D">
        <w:rPr>
          <w:rFonts w:asciiTheme="minorHAnsi" w:eastAsia="Times New Roman" w:hAnsiTheme="minorHAnsi" w:cstheme="minorHAnsi"/>
          <w:spacing w:val="-2"/>
          <w:sz w:val="10"/>
          <w:szCs w:val="10"/>
          <w:lang w:eastAsia="pt-BR" w:bidi="pt-BR"/>
        </w:rPr>
        <w:t>“</w:t>
      </w:r>
      <w:r w:rsidRPr="001E6E9D">
        <w:rPr>
          <w:rFonts w:asciiTheme="minorHAnsi" w:eastAsia="Times New Roman" w:hAnsiTheme="minorHAnsi" w:cstheme="minorHAnsi"/>
          <w:b/>
          <w:bCs/>
          <w:spacing w:val="-2"/>
          <w:sz w:val="10"/>
          <w:szCs w:val="10"/>
          <w:lang w:eastAsia="pt-BR" w:bidi="pt-BR"/>
        </w:rPr>
        <w:t>CVM</w:t>
      </w:r>
      <w:r w:rsidRPr="001E6E9D">
        <w:rPr>
          <w:rFonts w:asciiTheme="minorHAnsi" w:eastAsia="Times New Roman" w:hAnsiTheme="minorHAnsi" w:cstheme="minorHAnsi"/>
          <w:spacing w:val="-2"/>
          <w:sz w:val="10"/>
          <w:szCs w:val="10"/>
          <w:lang w:eastAsia="pt-BR" w:bidi="pt-BR"/>
        </w:rPr>
        <w:t xml:space="preserve">”) </w:t>
      </w:r>
      <w:r w:rsidR="000D5E35" w:rsidRPr="001E6E9D">
        <w:rPr>
          <w:rFonts w:asciiTheme="minorHAnsi" w:eastAsia="Times New Roman" w:hAnsiTheme="minorHAnsi" w:cstheme="minorHAnsi"/>
          <w:spacing w:val="-2"/>
          <w:sz w:val="10"/>
          <w:szCs w:val="10"/>
          <w:lang w:eastAsia="pt-BR" w:bidi="pt-BR"/>
        </w:rPr>
        <w:t>nº</w:t>
      </w:r>
      <w:r w:rsidRPr="001E6E9D">
        <w:rPr>
          <w:rFonts w:asciiTheme="minorHAnsi" w:eastAsia="Times New Roman" w:hAnsiTheme="minorHAnsi" w:cstheme="minorHAnsi"/>
          <w:spacing w:val="-2"/>
          <w:sz w:val="10"/>
          <w:szCs w:val="10"/>
          <w:lang w:eastAsia="pt-BR" w:bidi="pt-BR"/>
        </w:rPr>
        <w:t> 160, de 13 de julho de 2022 (</w:t>
      </w:r>
      <w:r w:rsidR="000D5E35" w:rsidRPr="001E6E9D">
        <w:rPr>
          <w:rFonts w:asciiTheme="minorHAnsi" w:eastAsia="Times New Roman" w:hAnsiTheme="minorHAnsi" w:cstheme="minorHAnsi"/>
          <w:spacing w:val="-2"/>
          <w:sz w:val="10"/>
          <w:szCs w:val="10"/>
          <w:lang w:eastAsia="pt-BR" w:bidi="pt-BR"/>
        </w:rPr>
        <w:t>“</w:t>
      </w:r>
      <w:r w:rsidRPr="001E6E9D">
        <w:rPr>
          <w:rFonts w:asciiTheme="minorHAnsi" w:eastAsia="Times New Roman" w:hAnsiTheme="minorHAnsi" w:cstheme="minorHAnsi"/>
          <w:b/>
          <w:bCs/>
          <w:spacing w:val="-2"/>
          <w:sz w:val="10"/>
          <w:szCs w:val="10"/>
          <w:lang w:eastAsia="pt-BR" w:bidi="pt-BR"/>
        </w:rPr>
        <w:t>Resolução CVM 160</w:t>
      </w:r>
      <w:r w:rsidRPr="001E6E9D">
        <w:rPr>
          <w:rFonts w:asciiTheme="minorHAnsi" w:eastAsia="Times New Roman" w:hAnsiTheme="minorHAnsi" w:cstheme="minorHAnsi"/>
          <w:spacing w:val="-2"/>
          <w:sz w:val="10"/>
          <w:szCs w:val="10"/>
          <w:lang w:eastAsia="pt-BR" w:bidi="pt-BR"/>
        </w:rPr>
        <w:t xml:space="preserve">”), e nas </w:t>
      </w:r>
      <w:r w:rsidR="000D5E35" w:rsidRPr="001E6E9D">
        <w:rPr>
          <w:rFonts w:asciiTheme="minorHAnsi" w:eastAsia="Times New Roman" w:hAnsiTheme="minorHAnsi" w:cstheme="minorHAnsi"/>
          <w:spacing w:val="-2"/>
          <w:sz w:val="10"/>
          <w:szCs w:val="10"/>
          <w:lang w:eastAsia="pt-BR" w:bidi="pt-BR"/>
        </w:rPr>
        <w:t>“</w:t>
      </w:r>
      <w:r w:rsidRPr="001E6E9D">
        <w:rPr>
          <w:rFonts w:asciiTheme="minorHAnsi" w:eastAsia="Times New Roman" w:hAnsiTheme="minorHAnsi" w:cstheme="minorHAnsi"/>
          <w:i/>
          <w:iCs/>
          <w:spacing w:val="-2"/>
          <w:sz w:val="10"/>
          <w:szCs w:val="10"/>
          <w:lang w:eastAsia="pt-BR" w:bidi="pt-BR"/>
        </w:rPr>
        <w:t>Regras e Procedimentos de Ofertas Públicas</w:t>
      </w:r>
      <w:r w:rsidRPr="001E6E9D">
        <w:rPr>
          <w:rFonts w:asciiTheme="minorHAnsi" w:eastAsia="Times New Roman" w:hAnsiTheme="minorHAnsi" w:cstheme="minorHAnsi"/>
          <w:spacing w:val="-2"/>
          <w:sz w:val="10"/>
          <w:szCs w:val="10"/>
          <w:lang w:eastAsia="pt-BR" w:bidi="pt-BR"/>
        </w:rPr>
        <w:t>”, aprovadas pelo Fórum de Estruturação de Mercado de Capitais da Associação Brasileira das Entidades dos Mercados Financeiro e de Capitais (</w:t>
      </w:r>
      <w:r w:rsidR="000D5E35" w:rsidRPr="001E6E9D">
        <w:rPr>
          <w:rFonts w:asciiTheme="minorHAnsi" w:eastAsia="Times New Roman" w:hAnsiTheme="minorHAnsi" w:cstheme="minorHAnsi"/>
          <w:spacing w:val="-2"/>
          <w:sz w:val="10"/>
          <w:szCs w:val="10"/>
          <w:lang w:eastAsia="pt-BR" w:bidi="pt-BR"/>
        </w:rPr>
        <w:t>“</w:t>
      </w:r>
      <w:r w:rsidRPr="001E6E9D">
        <w:rPr>
          <w:rFonts w:asciiTheme="minorHAnsi" w:eastAsia="Times New Roman" w:hAnsiTheme="minorHAnsi" w:cstheme="minorHAnsi"/>
          <w:b/>
          <w:bCs/>
          <w:spacing w:val="-2"/>
          <w:sz w:val="10"/>
          <w:szCs w:val="10"/>
          <w:lang w:eastAsia="pt-BR" w:bidi="pt-BR"/>
        </w:rPr>
        <w:t>ANBIMA</w:t>
      </w:r>
      <w:r w:rsidRPr="001E6E9D">
        <w:rPr>
          <w:rFonts w:asciiTheme="minorHAnsi" w:eastAsia="Times New Roman" w:hAnsiTheme="minorHAnsi" w:cstheme="minorHAnsi"/>
          <w:spacing w:val="-2"/>
          <w:sz w:val="10"/>
          <w:szCs w:val="10"/>
          <w:lang w:eastAsia="pt-BR" w:bidi="pt-BR"/>
        </w:rPr>
        <w:t xml:space="preserve">”), em vigor desde </w:t>
      </w:r>
      <w:r w:rsidR="002D297E" w:rsidRPr="001E6E9D">
        <w:rPr>
          <w:rFonts w:asciiTheme="minorHAnsi" w:eastAsia="Times New Roman" w:hAnsiTheme="minorHAnsi" w:cstheme="minorHAnsi"/>
          <w:spacing w:val="-2"/>
          <w:sz w:val="10"/>
          <w:szCs w:val="10"/>
          <w:lang w:eastAsia="pt-BR" w:bidi="pt-BR"/>
        </w:rPr>
        <w:t>15 de julho</w:t>
      </w:r>
      <w:r w:rsidRPr="001E6E9D">
        <w:rPr>
          <w:rFonts w:asciiTheme="minorHAnsi" w:eastAsia="Times New Roman" w:hAnsiTheme="minorHAnsi" w:cstheme="minorHAnsi"/>
          <w:spacing w:val="-2"/>
          <w:sz w:val="10"/>
          <w:szCs w:val="10"/>
          <w:lang w:eastAsia="pt-BR" w:bidi="pt-BR"/>
        </w:rPr>
        <w:t xml:space="preserve"> de 2024 (</w:t>
      </w:r>
      <w:r w:rsidR="000D5E35" w:rsidRPr="001E6E9D">
        <w:rPr>
          <w:rFonts w:asciiTheme="minorHAnsi" w:eastAsia="Times New Roman" w:hAnsiTheme="minorHAnsi" w:cstheme="minorHAnsi"/>
          <w:spacing w:val="-2"/>
          <w:sz w:val="10"/>
          <w:szCs w:val="10"/>
          <w:lang w:eastAsia="pt-BR" w:bidi="pt-BR"/>
        </w:rPr>
        <w:t>“</w:t>
      </w:r>
      <w:r w:rsidR="00AB4CD7" w:rsidRPr="001E6E9D">
        <w:rPr>
          <w:rFonts w:asciiTheme="minorHAnsi" w:eastAsia="Times New Roman" w:hAnsiTheme="minorHAnsi" w:cstheme="minorHAnsi"/>
          <w:b/>
          <w:bCs/>
          <w:spacing w:val="-2"/>
          <w:sz w:val="10"/>
          <w:szCs w:val="10"/>
          <w:lang w:eastAsia="pt-BR" w:bidi="pt-BR"/>
        </w:rPr>
        <w:t xml:space="preserve">Código </w:t>
      </w:r>
      <w:r w:rsidRPr="001E6E9D">
        <w:rPr>
          <w:rFonts w:asciiTheme="minorHAnsi" w:eastAsia="Times New Roman" w:hAnsiTheme="minorHAnsi" w:cstheme="minorHAnsi"/>
          <w:b/>
          <w:bCs/>
          <w:spacing w:val="-2"/>
          <w:sz w:val="10"/>
          <w:szCs w:val="10"/>
          <w:lang w:eastAsia="pt-BR" w:bidi="pt-BR"/>
        </w:rPr>
        <w:t>ANBIMA</w:t>
      </w:r>
      <w:r w:rsidRPr="001E6E9D">
        <w:rPr>
          <w:rFonts w:asciiTheme="minorHAnsi" w:eastAsia="Times New Roman" w:hAnsiTheme="minorHAnsi" w:cstheme="minorHAnsi"/>
          <w:spacing w:val="-2"/>
          <w:sz w:val="10"/>
          <w:szCs w:val="10"/>
          <w:lang w:eastAsia="pt-BR" w:bidi="pt-BR"/>
        </w:rPr>
        <w:t xml:space="preserve">”), a </w:t>
      </w:r>
      <w:r w:rsidR="00AB4CD7" w:rsidRPr="001E6E9D">
        <w:rPr>
          <w:rFonts w:asciiTheme="minorHAnsi" w:eastAsia="Times New Roman" w:hAnsiTheme="minorHAnsi" w:cstheme="minorHAnsi"/>
          <w:spacing w:val="-2"/>
          <w:sz w:val="10"/>
          <w:szCs w:val="10"/>
          <w:lang w:eastAsia="pt-BR" w:bidi="pt-BR"/>
        </w:rPr>
        <w:t xml:space="preserve">FARO ENERGY PROJETOS SOLARES HOLDING IV </w:t>
      </w:r>
      <w:r w:rsidRPr="001E6E9D">
        <w:rPr>
          <w:rFonts w:asciiTheme="minorHAnsi" w:eastAsia="Calibri" w:hAnsiTheme="minorHAnsi" w:cstheme="minorHAnsi"/>
          <w:b/>
          <w:bCs/>
          <w:spacing w:val="-2"/>
          <w:sz w:val="10"/>
          <w:szCs w:val="10"/>
        </w:rPr>
        <w:t>S.A.</w:t>
      </w:r>
      <w:r w:rsidRPr="001E6E9D">
        <w:rPr>
          <w:rFonts w:asciiTheme="minorHAnsi" w:eastAsia="Calibri" w:hAnsiTheme="minorHAnsi" w:cstheme="minorHAnsi"/>
          <w:spacing w:val="-2"/>
          <w:sz w:val="10"/>
          <w:szCs w:val="10"/>
        </w:rPr>
        <w:t>,</w:t>
      </w:r>
      <w:r w:rsidRPr="001E6E9D">
        <w:rPr>
          <w:rFonts w:asciiTheme="minorHAnsi" w:eastAsia="Times New Roman" w:hAnsiTheme="minorHAnsi" w:cstheme="minorHAnsi"/>
          <w:spacing w:val="-2"/>
          <w:sz w:val="10"/>
          <w:szCs w:val="10"/>
          <w:lang w:eastAsia="pt-BR"/>
        </w:rPr>
        <w:t xml:space="preserve"> inscrita no Cadastro Nacional de Pessoas Jurídicas do Ministério da Fazenda (</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CNPJ</w:t>
      </w:r>
      <w:r w:rsidRPr="001E6E9D">
        <w:rPr>
          <w:rFonts w:asciiTheme="minorHAnsi" w:eastAsia="Times New Roman" w:hAnsiTheme="minorHAnsi" w:cstheme="minorHAnsi"/>
          <w:spacing w:val="-2"/>
          <w:sz w:val="10"/>
          <w:szCs w:val="10"/>
          <w:lang w:eastAsia="pt-BR"/>
        </w:rPr>
        <w:t xml:space="preserve">”) sob o </w:t>
      </w:r>
      <w:r w:rsidR="000D5E35" w:rsidRPr="001E6E9D">
        <w:rPr>
          <w:rFonts w:asciiTheme="minorHAnsi" w:eastAsia="Times New Roman" w:hAnsiTheme="minorHAnsi" w:cstheme="minorHAnsi"/>
          <w:spacing w:val="-2"/>
          <w:sz w:val="10"/>
          <w:szCs w:val="10"/>
          <w:lang w:eastAsia="pt-BR"/>
        </w:rPr>
        <w:t>nº</w:t>
      </w:r>
      <w:r w:rsidRPr="001E6E9D">
        <w:rPr>
          <w:rFonts w:asciiTheme="minorHAnsi" w:eastAsia="Times New Roman" w:hAnsiTheme="minorHAnsi" w:cstheme="minorHAnsi"/>
          <w:spacing w:val="-2"/>
          <w:sz w:val="10"/>
          <w:szCs w:val="10"/>
          <w:lang w:eastAsia="pt-BR"/>
        </w:rPr>
        <w:t xml:space="preserve"> </w:t>
      </w:r>
      <w:r w:rsidR="00AB4CD7" w:rsidRPr="001E6E9D">
        <w:rPr>
          <w:rFonts w:asciiTheme="minorHAnsi" w:eastAsia="Times New Roman" w:hAnsiTheme="minorHAnsi" w:cstheme="minorHAnsi"/>
          <w:spacing w:val="-2"/>
          <w:sz w:val="10"/>
          <w:szCs w:val="10"/>
          <w:lang w:eastAsia="pt-BR"/>
        </w:rPr>
        <w:t>48.904.104/0001-57</w:t>
      </w:r>
      <w:r w:rsidRPr="001E6E9D">
        <w:rPr>
          <w:rFonts w:asciiTheme="minorHAnsi" w:eastAsia="Times New Roman" w:hAnsiTheme="minorHAnsi" w:cstheme="minorHAnsi"/>
          <w:spacing w:val="-2"/>
          <w:sz w:val="10"/>
          <w:szCs w:val="10"/>
          <w:lang w:eastAsia="pt-BR"/>
        </w:rPr>
        <w:t>, na qualidade de emissora</w:t>
      </w:r>
      <w:r w:rsidRPr="001E6E9D">
        <w:rPr>
          <w:rFonts w:asciiTheme="minorHAnsi" w:eastAsia="Times New Roman" w:hAnsiTheme="minorHAnsi" w:cstheme="minorHAnsi"/>
          <w:b/>
          <w:spacing w:val="-2"/>
          <w:sz w:val="10"/>
          <w:szCs w:val="10"/>
          <w:lang w:eastAsia="pt-BR"/>
        </w:rPr>
        <w:t xml:space="preserve"> </w:t>
      </w:r>
      <w:r w:rsidRPr="001E6E9D">
        <w:rPr>
          <w:rFonts w:asciiTheme="minorHAnsi" w:eastAsia="Times New Roman" w:hAnsiTheme="minorHAnsi" w:cstheme="minorHAnsi"/>
          <w:spacing w:val="-2"/>
          <w:sz w:val="10"/>
          <w:szCs w:val="10"/>
          <w:lang w:eastAsia="pt-BR"/>
        </w:rPr>
        <w:t>(</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spacing w:val="-2"/>
          <w:sz w:val="10"/>
          <w:szCs w:val="10"/>
          <w:lang w:eastAsia="pt-BR"/>
        </w:rPr>
        <w:t>Emissora</w:t>
      </w:r>
      <w:r w:rsidRPr="001E6E9D">
        <w:rPr>
          <w:rFonts w:asciiTheme="minorHAnsi" w:eastAsia="Times New Roman" w:hAnsiTheme="minorHAnsi" w:cstheme="minorHAnsi"/>
          <w:spacing w:val="-2"/>
          <w:sz w:val="10"/>
          <w:szCs w:val="10"/>
          <w:lang w:eastAsia="pt-BR"/>
        </w:rPr>
        <w:t xml:space="preserve">”), está realizando uma oferta pública de distribuição das debêntures de sua </w:t>
      </w:r>
      <w:r w:rsidR="00AB4CD7" w:rsidRPr="001E6E9D">
        <w:rPr>
          <w:rFonts w:asciiTheme="minorHAnsi" w:eastAsia="Times New Roman" w:hAnsiTheme="minorHAnsi" w:cstheme="minorHAnsi"/>
          <w:spacing w:val="-2"/>
          <w:sz w:val="10"/>
          <w:szCs w:val="10"/>
          <w:lang w:eastAsia="pt-BR"/>
        </w:rPr>
        <w:t xml:space="preserve">1ª (primeira) </w:t>
      </w:r>
      <w:r w:rsidRPr="001E6E9D">
        <w:rPr>
          <w:rFonts w:asciiTheme="minorHAnsi" w:eastAsia="Times New Roman" w:hAnsiTheme="minorHAnsi" w:cstheme="minorHAnsi"/>
          <w:spacing w:val="-2"/>
          <w:sz w:val="10"/>
          <w:szCs w:val="10"/>
          <w:lang w:eastAsia="pt-BR"/>
        </w:rPr>
        <w:t>emissão (</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Emissão</w:t>
      </w:r>
      <w:r w:rsidRPr="001E6E9D">
        <w:rPr>
          <w:rFonts w:asciiTheme="minorHAnsi" w:eastAsia="Times New Roman" w:hAnsiTheme="minorHAnsi" w:cstheme="minorHAnsi"/>
          <w:spacing w:val="-2"/>
          <w:sz w:val="10"/>
          <w:szCs w:val="10"/>
          <w:lang w:eastAsia="pt-BR"/>
        </w:rPr>
        <w:t xml:space="preserve">”), sendo </w:t>
      </w:r>
      <w:r w:rsidR="00AB4CD7" w:rsidRPr="001E6E9D">
        <w:rPr>
          <w:rFonts w:asciiTheme="minorHAnsi" w:eastAsia="Times New Roman" w:hAnsiTheme="minorHAnsi" w:cstheme="minorHAnsi"/>
          <w:spacing w:val="-2"/>
          <w:sz w:val="10"/>
          <w:szCs w:val="10"/>
          <w:lang w:eastAsia="pt-BR"/>
        </w:rPr>
        <w:t>200</w:t>
      </w:r>
      <w:r w:rsidRPr="001E6E9D">
        <w:rPr>
          <w:rFonts w:asciiTheme="minorHAnsi" w:eastAsia="Times New Roman" w:hAnsiTheme="minorHAnsi" w:cstheme="minorHAnsi"/>
          <w:spacing w:val="-2"/>
          <w:sz w:val="10"/>
          <w:szCs w:val="10"/>
          <w:lang w:eastAsia="pt-BR"/>
        </w:rPr>
        <w:t>.000 (duzentas mil) debêntures simples, não conversíveis em ações, da espécie com garantia real, com garantia adicional fidejussória , em série única (</w:t>
      </w:r>
      <w:r w:rsidR="000D5E35" w:rsidRPr="001E6E9D">
        <w:rPr>
          <w:rFonts w:asciiTheme="minorHAnsi" w:eastAsia="Times New Roman" w:hAnsiTheme="minorHAnsi" w:cstheme="minorHAnsi"/>
          <w:b/>
          <w:spacing w:val="-2"/>
          <w:sz w:val="10"/>
          <w:szCs w:val="10"/>
          <w:lang w:eastAsia="pt-BR"/>
        </w:rPr>
        <w:t>“</w:t>
      </w:r>
      <w:r w:rsidRPr="001E6E9D">
        <w:rPr>
          <w:rFonts w:asciiTheme="minorHAnsi" w:eastAsia="Times New Roman" w:hAnsiTheme="minorHAnsi" w:cstheme="minorHAnsi"/>
          <w:b/>
          <w:spacing w:val="-2"/>
          <w:sz w:val="10"/>
          <w:szCs w:val="10"/>
          <w:lang w:eastAsia="pt-BR"/>
        </w:rPr>
        <w:t>Debêntures</w:t>
      </w:r>
      <w:r w:rsidRPr="001E6E9D">
        <w:rPr>
          <w:rFonts w:asciiTheme="minorHAnsi" w:eastAsia="Times New Roman" w:hAnsiTheme="minorHAnsi" w:cstheme="minorHAnsi"/>
          <w:spacing w:val="-2"/>
          <w:sz w:val="10"/>
          <w:szCs w:val="10"/>
          <w:lang w:eastAsia="pt-BR"/>
        </w:rPr>
        <w:t xml:space="preserve">”), sendo seu valor nominal unitário, em </w:t>
      </w:r>
      <w:r w:rsidR="00F74BE4" w:rsidRPr="001E6E9D">
        <w:rPr>
          <w:rFonts w:asciiTheme="minorHAnsi" w:eastAsia="Times New Roman" w:hAnsiTheme="minorHAnsi" w:cstheme="minorHAnsi"/>
          <w:spacing w:val="-2"/>
          <w:sz w:val="10"/>
          <w:szCs w:val="10"/>
          <w:lang w:eastAsia="pt-BR"/>
        </w:rPr>
        <w:t xml:space="preserve">15 </w:t>
      </w:r>
      <w:r w:rsidR="00AB4CD7" w:rsidRPr="001E6E9D">
        <w:rPr>
          <w:rFonts w:asciiTheme="minorHAnsi" w:eastAsia="Times New Roman" w:hAnsiTheme="minorHAnsi" w:cstheme="minorHAnsi"/>
          <w:spacing w:val="-2"/>
          <w:sz w:val="10"/>
          <w:szCs w:val="10"/>
          <w:lang w:eastAsia="pt-BR"/>
        </w:rPr>
        <w:t xml:space="preserve">de </w:t>
      </w:r>
      <w:r w:rsidR="00F74BE4" w:rsidRPr="001E6E9D">
        <w:rPr>
          <w:rFonts w:asciiTheme="minorHAnsi" w:eastAsia="Times New Roman" w:hAnsiTheme="minorHAnsi" w:cstheme="minorHAnsi"/>
          <w:spacing w:val="-2"/>
          <w:sz w:val="10"/>
          <w:szCs w:val="10"/>
          <w:lang w:eastAsia="pt-BR"/>
        </w:rPr>
        <w:t xml:space="preserve">janeiro </w:t>
      </w:r>
      <w:r w:rsidRPr="001E6E9D">
        <w:rPr>
          <w:rFonts w:asciiTheme="minorHAnsi" w:eastAsia="Times New Roman" w:hAnsiTheme="minorHAnsi" w:cstheme="minorHAnsi"/>
          <w:spacing w:val="-2"/>
          <w:sz w:val="10"/>
          <w:szCs w:val="10"/>
          <w:lang w:eastAsia="pt-BR"/>
        </w:rPr>
        <w:t>de 202</w:t>
      </w:r>
      <w:r w:rsidR="00F74BE4" w:rsidRPr="001E6E9D">
        <w:rPr>
          <w:rFonts w:asciiTheme="minorHAnsi" w:eastAsia="Times New Roman" w:hAnsiTheme="minorHAnsi" w:cstheme="minorHAnsi"/>
          <w:spacing w:val="-2"/>
          <w:sz w:val="10"/>
          <w:szCs w:val="10"/>
          <w:lang w:eastAsia="pt-BR"/>
        </w:rPr>
        <w:t>5</w:t>
      </w:r>
      <w:r w:rsidRPr="001E6E9D">
        <w:rPr>
          <w:rFonts w:asciiTheme="minorHAnsi" w:eastAsia="Times New Roman" w:hAnsiTheme="minorHAnsi" w:cstheme="minorHAnsi"/>
          <w:spacing w:val="-2"/>
          <w:sz w:val="10"/>
          <w:szCs w:val="10"/>
          <w:lang w:eastAsia="pt-BR"/>
        </w:rPr>
        <w:t xml:space="preserve"> (</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Data de Emissão</w:t>
      </w:r>
      <w:r w:rsidRPr="001E6E9D">
        <w:rPr>
          <w:rFonts w:asciiTheme="minorHAnsi" w:eastAsia="Times New Roman" w:hAnsiTheme="minorHAnsi" w:cstheme="minorHAnsi"/>
          <w:spacing w:val="-2"/>
          <w:sz w:val="10"/>
          <w:szCs w:val="10"/>
          <w:lang w:eastAsia="pt-BR"/>
        </w:rPr>
        <w:t>”), de R$ 1.000,00 (mil reais) (</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Valor Nominal Unitário</w:t>
      </w:r>
      <w:r w:rsidRPr="001E6E9D">
        <w:rPr>
          <w:rFonts w:asciiTheme="minorHAnsi" w:eastAsia="Times New Roman" w:hAnsiTheme="minorHAnsi" w:cstheme="minorHAnsi"/>
          <w:spacing w:val="-2"/>
          <w:sz w:val="10"/>
          <w:szCs w:val="10"/>
          <w:lang w:eastAsia="pt-BR"/>
        </w:rPr>
        <w:t xml:space="preserve">”), perfazendo o montante total de R$ </w:t>
      </w:r>
      <w:r w:rsidRPr="001E6E9D">
        <w:rPr>
          <w:rFonts w:asciiTheme="minorHAnsi" w:eastAsia="Calibri" w:hAnsiTheme="minorHAnsi" w:cstheme="minorHAnsi"/>
          <w:spacing w:val="-2"/>
          <w:sz w:val="10"/>
          <w:szCs w:val="10"/>
        </w:rPr>
        <w:t>2</w:t>
      </w:r>
      <w:r w:rsidR="00547519" w:rsidRPr="001E6E9D">
        <w:rPr>
          <w:rFonts w:asciiTheme="minorHAnsi" w:eastAsia="Calibri" w:hAnsiTheme="minorHAnsi" w:cstheme="minorHAnsi"/>
          <w:spacing w:val="-2"/>
          <w:sz w:val="10"/>
          <w:szCs w:val="10"/>
        </w:rPr>
        <w:t>0</w:t>
      </w:r>
      <w:r w:rsidRPr="001E6E9D">
        <w:rPr>
          <w:rFonts w:asciiTheme="minorHAnsi" w:eastAsia="Calibri" w:hAnsiTheme="minorHAnsi" w:cstheme="minorHAnsi"/>
          <w:spacing w:val="-2"/>
          <w:sz w:val="10"/>
          <w:szCs w:val="10"/>
        </w:rPr>
        <w:t>0</w:t>
      </w:r>
      <w:r w:rsidRPr="001E6E9D">
        <w:rPr>
          <w:rFonts w:asciiTheme="minorHAnsi" w:eastAsia="Times New Roman" w:hAnsiTheme="minorHAnsi" w:cstheme="minorHAnsi"/>
          <w:spacing w:val="-2"/>
          <w:sz w:val="10"/>
          <w:szCs w:val="10"/>
          <w:lang w:eastAsia="pt-BR"/>
        </w:rPr>
        <w:t>.000.000,00 (</w:t>
      </w:r>
      <w:r w:rsidRPr="001E6E9D">
        <w:rPr>
          <w:rFonts w:asciiTheme="minorHAnsi" w:eastAsia="Calibri" w:hAnsiTheme="minorHAnsi" w:cstheme="minorHAnsi"/>
          <w:spacing w:val="-2"/>
          <w:sz w:val="10"/>
          <w:szCs w:val="10"/>
        </w:rPr>
        <w:t xml:space="preserve">duzentos </w:t>
      </w:r>
      <w:r w:rsidRPr="001E6E9D">
        <w:rPr>
          <w:rFonts w:asciiTheme="minorHAnsi" w:eastAsia="Times New Roman" w:hAnsiTheme="minorHAnsi" w:cstheme="minorHAnsi"/>
          <w:spacing w:val="-2"/>
          <w:sz w:val="10"/>
          <w:szCs w:val="10"/>
          <w:lang w:eastAsia="pt-BR"/>
        </w:rPr>
        <w:t>milhões de reais), na Data de Emissão (</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Valor Total da Oferta</w:t>
      </w:r>
      <w:r w:rsidRPr="001E6E9D">
        <w:rPr>
          <w:rFonts w:asciiTheme="minorHAnsi" w:eastAsia="Times New Roman" w:hAnsiTheme="minorHAnsi" w:cstheme="minorHAnsi"/>
          <w:spacing w:val="-2"/>
          <w:sz w:val="10"/>
          <w:szCs w:val="10"/>
          <w:lang w:eastAsia="pt-BR"/>
        </w:rPr>
        <w:t xml:space="preserve">” e </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spacing w:val="-2"/>
          <w:sz w:val="10"/>
          <w:szCs w:val="10"/>
          <w:lang w:eastAsia="pt-BR"/>
        </w:rPr>
        <w:t>Oferta</w:t>
      </w:r>
      <w:r w:rsidRPr="001E6E9D">
        <w:rPr>
          <w:rFonts w:asciiTheme="minorHAnsi" w:eastAsia="Times New Roman" w:hAnsiTheme="minorHAnsi" w:cstheme="minorHAnsi"/>
          <w:spacing w:val="-2"/>
          <w:sz w:val="10"/>
          <w:szCs w:val="10"/>
          <w:lang w:eastAsia="pt-BR"/>
        </w:rPr>
        <w:t xml:space="preserve">”, respectivamente), sob a coordenação do </w:t>
      </w:r>
      <w:r w:rsidR="00547519" w:rsidRPr="001E6E9D">
        <w:rPr>
          <w:rFonts w:asciiTheme="minorHAnsi" w:eastAsia="Times New Roman" w:hAnsiTheme="minorHAnsi" w:cstheme="minorHAnsi"/>
          <w:b/>
          <w:bCs/>
          <w:spacing w:val="-2"/>
          <w:sz w:val="10"/>
          <w:szCs w:val="10"/>
          <w:lang w:eastAsia="pt-BR"/>
        </w:rPr>
        <w:t xml:space="preserve">ITAÚ BBA ASSESSORIA FINANCEIRA </w:t>
      </w:r>
      <w:r w:rsidRPr="001E6E9D">
        <w:rPr>
          <w:rFonts w:asciiTheme="minorHAnsi" w:eastAsia="Calibri" w:hAnsiTheme="minorHAnsi" w:cstheme="minorHAnsi"/>
          <w:b/>
          <w:bCs/>
          <w:spacing w:val="-2"/>
          <w:sz w:val="10"/>
          <w:szCs w:val="10"/>
        </w:rPr>
        <w:t>S.A.</w:t>
      </w:r>
      <w:r w:rsidRPr="001E6E9D">
        <w:rPr>
          <w:rFonts w:asciiTheme="minorHAnsi" w:eastAsia="Times New Roman" w:hAnsiTheme="minorHAnsi" w:cstheme="minorHAnsi"/>
          <w:spacing w:val="-2"/>
          <w:sz w:val="10"/>
          <w:szCs w:val="10"/>
          <w:lang w:eastAsia="pt-BR"/>
        </w:rPr>
        <w:t xml:space="preserve">, </w:t>
      </w:r>
      <w:r w:rsidR="00547519" w:rsidRPr="001E6E9D">
        <w:rPr>
          <w:rFonts w:asciiTheme="minorHAnsi" w:eastAsia="Times New Roman" w:hAnsiTheme="minorHAnsi" w:cstheme="minorHAnsi"/>
          <w:spacing w:val="-2"/>
          <w:sz w:val="10"/>
          <w:szCs w:val="10"/>
          <w:lang w:eastAsia="pt-BR"/>
        </w:rPr>
        <w:t xml:space="preserve">inscrita </w:t>
      </w:r>
      <w:r w:rsidRPr="001E6E9D">
        <w:rPr>
          <w:rFonts w:asciiTheme="minorHAnsi" w:eastAsia="Times New Roman" w:hAnsiTheme="minorHAnsi" w:cstheme="minorHAnsi"/>
          <w:spacing w:val="-2"/>
          <w:sz w:val="10"/>
          <w:szCs w:val="10"/>
          <w:lang w:eastAsia="pt-BR"/>
        </w:rPr>
        <w:t xml:space="preserve">no CNPJ sob o </w:t>
      </w:r>
      <w:r w:rsidR="000D5E35" w:rsidRPr="001E6E9D">
        <w:rPr>
          <w:rFonts w:asciiTheme="minorHAnsi" w:eastAsia="Times New Roman" w:hAnsiTheme="minorHAnsi" w:cstheme="minorHAnsi"/>
          <w:spacing w:val="-2"/>
          <w:sz w:val="10"/>
          <w:szCs w:val="10"/>
          <w:lang w:eastAsia="pt-BR"/>
        </w:rPr>
        <w:t>nº</w:t>
      </w:r>
      <w:r w:rsidRPr="001E6E9D">
        <w:rPr>
          <w:rFonts w:asciiTheme="minorHAnsi" w:eastAsia="Times New Roman" w:hAnsiTheme="minorHAnsi" w:cstheme="minorHAnsi"/>
          <w:spacing w:val="-2"/>
          <w:sz w:val="10"/>
          <w:szCs w:val="10"/>
          <w:lang w:eastAsia="pt-BR"/>
        </w:rPr>
        <w:t xml:space="preserve"> </w:t>
      </w:r>
      <w:r w:rsidR="00547519" w:rsidRPr="001E6E9D">
        <w:rPr>
          <w:rFonts w:asciiTheme="minorHAnsi" w:eastAsia="Times New Roman" w:hAnsiTheme="minorHAnsi" w:cstheme="minorHAnsi"/>
          <w:spacing w:val="-2"/>
          <w:sz w:val="10"/>
          <w:szCs w:val="10"/>
          <w:lang w:eastAsia="pt-BR"/>
        </w:rPr>
        <w:t>04.845.753/0001-59</w:t>
      </w:r>
      <w:r w:rsidR="00547519" w:rsidRPr="001E6E9D" w:rsidDel="00547519">
        <w:rPr>
          <w:rFonts w:asciiTheme="minorHAnsi" w:eastAsia="Times New Roman" w:hAnsiTheme="minorHAnsi" w:cstheme="minorHAnsi"/>
          <w:spacing w:val="-2"/>
          <w:sz w:val="10"/>
          <w:szCs w:val="10"/>
          <w:lang w:eastAsia="pt-BR"/>
        </w:rPr>
        <w:t xml:space="preserve"> </w:t>
      </w:r>
      <w:r w:rsidRPr="001E6E9D">
        <w:rPr>
          <w:rFonts w:asciiTheme="minorHAnsi" w:eastAsia="Times New Roman" w:hAnsiTheme="minorHAnsi" w:cstheme="minorHAnsi"/>
          <w:spacing w:val="-2"/>
          <w:sz w:val="10"/>
          <w:szCs w:val="10"/>
          <w:lang w:eastAsia="pt-BR"/>
        </w:rPr>
        <w:t>(</w:t>
      </w:r>
      <w:r w:rsidR="000D5E35" w:rsidRPr="001E6E9D">
        <w:rPr>
          <w:rFonts w:asciiTheme="minorHAnsi" w:eastAsia="Times New Roman" w:hAnsiTheme="minorHAnsi" w:cstheme="minorHAnsi"/>
          <w:spacing w:val="-2"/>
          <w:sz w:val="10"/>
          <w:szCs w:val="10"/>
          <w:lang w:eastAsia="pt-BR"/>
        </w:rPr>
        <w:t>“</w:t>
      </w:r>
      <w:r w:rsidR="00547519" w:rsidRPr="001E6E9D">
        <w:rPr>
          <w:rFonts w:asciiTheme="minorHAnsi" w:eastAsia="Calibri" w:hAnsiTheme="minorHAnsi" w:cstheme="minorHAnsi"/>
          <w:b/>
          <w:bCs/>
          <w:spacing w:val="-2"/>
          <w:sz w:val="10"/>
          <w:szCs w:val="10"/>
        </w:rPr>
        <w:t>Itaú BBA</w:t>
      </w:r>
      <w:r w:rsidRPr="001E6E9D">
        <w:rPr>
          <w:rFonts w:asciiTheme="minorHAnsi" w:eastAsia="Times New Roman" w:hAnsiTheme="minorHAnsi" w:cstheme="minorHAnsi"/>
          <w:spacing w:val="-2"/>
          <w:sz w:val="10"/>
          <w:szCs w:val="10"/>
          <w:lang w:eastAsia="pt-BR"/>
        </w:rPr>
        <w:t xml:space="preserve">” ou </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Coordenador Líder</w:t>
      </w:r>
      <w:r w:rsidRPr="001E6E9D">
        <w:rPr>
          <w:rFonts w:asciiTheme="minorHAnsi" w:eastAsia="Times New Roman" w:hAnsiTheme="minorHAnsi" w:cstheme="minorHAnsi"/>
          <w:spacing w:val="-2"/>
          <w:sz w:val="10"/>
          <w:szCs w:val="10"/>
          <w:lang w:eastAsia="pt-BR"/>
        </w:rPr>
        <w:t>”)</w:t>
      </w:r>
      <w:r w:rsidRPr="001E6E9D">
        <w:rPr>
          <w:rFonts w:asciiTheme="minorHAnsi" w:eastAsia="Calibri" w:hAnsiTheme="minorHAnsi" w:cstheme="minorHAnsi"/>
          <w:spacing w:val="-2"/>
          <w:sz w:val="10"/>
          <w:szCs w:val="10"/>
        </w:rPr>
        <w:t xml:space="preserve">, do </w:t>
      </w:r>
      <w:r w:rsidR="00547519" w:rsidRPr="001E6E9D">
        <w:rPr>
          <w:rFonts w:asciiTheme="minorHAnsi" w:eastAsia="Calibri" w:hAnsiTheme="minorHAnsi" w:cstheme="minorHAnsi"/>
          <w:b/>
          <w:bCs/>
          <w:spacing w:val="-2"/>
          <w:sz w:val="10"/>
          <w:szCs w:val="10"/>
        </w:rPr>
        <w:t>BTG PACTUAL INVESTMENT BANKING LTDA</w:t>
      </w:r>
      <w:r w:rsidRPr="001E6E9D">
        <w:rPr>
          <w:rFonts w:asciiTheme="minorHAnsi" w:eastAsia="Calibri" w:hAnsiTheme="minorHAnsi" w:cstheme="minorHAnsi"/>
          <w:spacing w:val="-2"/>
          <w:sz w:val="10"/>
          <w:szCs w:val="10"/>
        </w:rPr>
        <w:t xml:space="preserve">., inscrito no CNPJ sob </w:t>
      </w:r>
      <w:r w:rsidR="000D5E35" w:rsidRPr="001E6E9D">
        <w:rPr>
          <w:rFonts w:asciiTheme="minorHAnsi" w:eastAsia="Calibri" w:hAnsiTheme="minorHAnsi" w:cstheme="minorHAnsi"/>
          <w:spacing w:val="-2"/>
          <w:sz w:val="10"/>
          <w:szCs w:val="10"/>
        </w:rPr>
        <w:t>nº</w:t>
      </w:r>
      <w:r w:rsidRPr="001E6E9D">
        <w:rPr>
          <w:rFonts w:asciiTheme="minorHAnsi" w:eastAsia="Calibri" w:hAnsiTheme="minorHAnsi" w:cstheme="minorHAnsi"/>
          <w:b/>
          <w:bCs/>
          <w:spacing w:val="-2"/>
          <w:sz w:val="10"/>
          <w:szCs w:val="10"/>
        </w:rPr>
        <w:t xml:space="preserve"> </w:t>
      </w:r>
      <w:r w:rsidR="00547519" w:rsidRPr="001E6E9D">
        <w:rPr>
          <w:rFonts w:asciiTheme="minorHAnsi" w:eastAsia="Calibri" w:hAnsiTheme="minorHAnsi" w:cstheme="minorHAnsi"/>
          <w:spacing w:val="-2"/>
          <w:sz w:val="10"/>
          <w:szCs w:val="10"/>
        </w:rPr>
        <w:t>46.482.072/0001-13</w:t>
      </w:r>
      <w:r w:rsidRPr="001E6E9D">
        <w:rPr>
          <w:rFonts w:asciiTheme="minorHAnsi" w:eastAsia="Times New Roman" w:hAnsiTheme="minorHAnsi" w:cstheme="minorHAnsi"/>
          <w:spacing w:val="-2"/>
          <w:sz w:val="10"/>
          <w:szCs w:val="10"/>
          <w:lang w:eastAsia="pt-BR"/>
        </w:rPr>
        <w:t xml:space="preserve"> (</w:t>
      </w:r>
      <w:r w:rsidR="000D5E35" w:rsidRPr="001E6E9D">
        <w:rPr>
          <w:rFonts w:asciiTheme="minorHAnsi" w:eastAsia="Times New Roman" w:hAnsiTheme="minorHAnsi" w:cstheme="minorHAnsi"/>
          <w:spacing w:val="-2"/>
          <w:sz w:val="10"/>
          <w:szCs w:val="10"/>
          <w:lang w:eastAsia="pt-BR"/>
        </w:rPr>
        <w:t>“</w:t>
      </w:r>
      <w:r w:rsidR="00547519" w:rsidRPr="001E6E9D">
        <w:rPr>
          <w:rFonts w:asciiTheme="minorHAnsi" w:eastAsia="Calibri" w:hAnsiTheme="minorHAnsi" w:cstheme="minorHAnsi"/>
          <w:b/>
          <w:bCs/>
          <w:spacing w:val="-2"/>
          <w:sz w:val="10"/>
          <w:szCs w:val="10"/>
        </w:rPr>
        <w:t>BTG Pactual</w:t>
      </w:r>
      <w:r w:rsidRPr="001E6E9D">
        <w:rPr>
          <w:rFonts w:asciiTheme="minorHAnsi" w:eastAsia="Times New Roman" w:hAnsiTheme="minorHAnsi" w:cstheme="minorHAnsi"/>
          <w:spacing w:val="-2"/>
          <w:sz w:val="10"/>
          <w:szCs w:val="10"/>
          <w:lang w:eastAsia="pt-BR"/>
        </w:rPr>
        <w:t xml:space="preserve">” e, </w:t>
      </w:r>
      <w:r w:rsidR="00547519" w:rsidRPr="001E6E9D">
        <w:rPr>
          <w:rFonts w:asciiTheme="minorHAnsi" w:eastAsia="Times New Roman" w:hAnsiTheme="minorHAnsi" w:cstheme="minorHAnsi"/>
          <w:spacing w:val="-2"/>
          <w:sz w:val="10"/>
          <w:szCs w:val="10"/>
          <w:lang w:eastAsia="pt-BR"/>
        </w:rPr>
        <w:t>quando em conjunto com o Coordenador Líder</w:t>
      </w:r>
      <w:r w:rsidRPr="001E6E9D">
        <w:rPr>
          <w:rFonts w:asciiTheme="minorHAnsi" w:eastAsia="Times New Roman" w:hAnsiTheme="minorHAnsi" w:cstheme="minorHAnsi"/>
          <w:spacing w:val="-2"/>
          <w:sz w:val="10"/>
          <w:szCs w:val="10"/>
          <w:lang w:eastAsia="pt-BR"/>
        </w:rPr>
        <w:t xml:space="preserve">, </w:t>
      </w:r>
      <w:r w:rsidR="00547519" w:rsidRPr="001E6E9D">
        <w:rPr>
          <w:rFonts w:asciiTheme="minorHAnsi" w:eastAsia="Times New Roman" w:hAnsiTheme="minorHAnsi" w:cstheme="minorHAnsi"/>
          <w:spacing w:val="-2"/>
          <w:sz w:val="10"/>
          <w:szCs w:val="10"/>
          <w:lang w:eastAsia="pt-BR"/>
        </w:rPr>
        <w:t xml:space="preserve">os </w:t>
      </w:r>
      <w:r w:rsidR="000D5E35" w:rsidRPr="001E6E9D">
        <w:rPr>
          <w:rFonts w:asciiTheme="minorHAnsi" w:eastAsia="Times New Roman" w:hAnsiTheme="minorHAnsi" w:cstheme="minorHAnsi"/>
          <w:spacing w:val="-2"/>
          <w:sz w:val="10"/>
          <w:szCs w:val="10"/>
          <w:lang w:eastAsia="pt-BR"/>
        </w:rPr>
        <w:t>“</w:t>
      </w:r>
      <w:r w:rsidRPr="001E6E9D">
        <w:rPr>
          <w:rFonts w:asciiTheme="minorHAnsi" w:eastAsia="Calibri" w:hAnsiTheme="minorHAnsi" w:cstheme="minorHAnsi"/>
          <w:b/>
          <w:bCs/>
          <w:spacing w:val="-2"/>
          <w:sz w:val="10"/>
          <w:szCs w:val="10"/>
        </w:rPr>
        <w:t>Coordenadores</w:t>
      </w:r>
      <w:r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 xml:space="preserve"> </w:t>
      </w:r>
      <w:r w:rsidRPr="001E6E9D">
        <w:rPr>
          <w:rFonts w:asciiTheme="minorHAnsi" w:eastAsia="Times New Roman" w:hAnsiTheme="minorHAnsi" w:cstheme="minorHAnsi"/>
          <w:spacing w:val="-2"/>
          <w:sz w:val="10"/>
          <w:szCs w:val="10"/>
          <w:lang w:eastAsia="pt-BR"/>
        </w:rPr>
        <w:t xml:space="preserve">Para todos os fins e efeitos, a data de emissão das Debêntures será a Data de Emissão, e as Debêntures possuem prazo de vencimento de </w:t>
      </w:r>
      <w:r w:rsidR="00CB7DB1" w:rsidRPr="001E6E9D">
        <w:rPr>
          <w:rFonts w:asciiTheme="minorHAnsi" w:eastAsia="Times New Roman" w:hAnsiTheme="minorHAnsi" w:cstheme="minorHAnsi"/>
          <w:spacing w:val="-2"/>
          <w:sz w:val="10"/>
          <w:szCs w:val="10"/>
          <w:lang w:eastAsia="pt-BR"/>
        </w:rPr>
        <w:t>15 (quinze) anos contados da Data de Emissão</w:t>
      </w:r>
      <w:r w:rsidRPr="001E6E9D">
        <w:rPr>
          <w:rFonts w:asciiTheme="minorHAnsi" w:eastAsia="Times New Roman" w:hAnsiTheme="minorHAnsi" w:cstheme="minorHAnsi"/>
          <w:spacing w:val="-2"/>
          <w:sz w:val="10"/>
          <w:szCs w:val="10"/>
          <w:lang w:eastAsia="pt-BR"/>
        </w:rPr>
        <w:t xml:space="preserve">, vencendo-se, portanto, em </w:t>
      </w:r>
      <w:r w:rsidR="00F74BE4" w:rsidRPr="001E6E9D">
        <w:rPr>
          <w:rFonts w:asciiTheme="minorHAnsi" w:eastAsia="Times New Roman" w:hAnsiTheme="minorHAnsi" w:cstheme="minorHAnsi"/>
          <w:spacing w:val="-2"/>
          <w:sz w:val="10"/>
          <w:szCs w:val="10"/>
          <w:lang w:eastAsia="pt-BR"/>
        </w:rPr>
        <w:t xml:space="preserve">15 </w:t>
      </w:r>
      <w:r w:rsidR="00CB7DB1" w:rsidRPr="001E6E9D">
        <w:rPr>
          <w:rFonts w:asciiTheme="minorHAnsi" w:eastAsia="Times New Roman" w:hAnsiTheme="minorHAnsi" w:cstheme="minorHAnsi"/>
          <w:spacing w:val="-2"/>
          <w:sz w:val="10"/>
          <w:szCs w:val="10"/>
          <w:lang w:eastAsia="pt-BR"/>
        </w:rPr>
        <w:t xml:space="preserve">de </w:t>
      </w:r>
      <w:r w:rsidR="00F74BE4" w:rsidRPr="001E6E9D">
        <w:rPr>
          <w:rFonts w:asciiTheme="minorHAnsi" w:eastAsia="Times New Roman" w:hAnsiTheme="minorHAnsi" w:cstheme="minorHAnsi"/>
          <w:spacing w:val="-2"/>
          <w:sz w:val="10"/>
          <w:szCs w:val="10"/>
          <w:lang w:eastAsia="pt-BR"/>
        </w:rPr>
        <w:t xml:space="preserve">janeiro </w:t>
      </w:r>
      <w:r w:rsidR="00CB7DB1" w:rsidRPr="001E6E9D">
        <w:rPr>
          <w:rFonts w:asciiTheme="minorHAnsi" w:eastAsia="Times New Roman" w:hAnsiTheme="minorHAnsi" w:cstheme="minorHAnsi"/>
          <w:spacing w:val="-2"/>
          <w:sz w:val="10"/>
          <w:szCs w:val="10"/>
          <w:lang w:eastAsia="pt-BR"/>
        </w:rPr>
        <w:t xml:space="preserve">de </w:t>
      </w:r>
      <w:r w:rsidR="00F74BE4" w:rsidRPr="001E6E9D">
        <w:rPr>
          <w:rFonts w:asciiTheme="minorHAnsi" w:eastAsia="Times New Roman" w:hAnsiTheme="minorHAnsi" w:cstheme="minorHAnsi"/>
          <w:spacing w:val="-2"/>
          <w:sz w:val="10"/>
          <w:szCs w:val="10"/>
          <w:lang w:eastAsia="pt-BR"/>
        </w:rPr>
        <w:t xml:space="preserve">2040 </w:t>
      </w:r>
      <w:r w:rsidRPr="001E6E9D">
        <w:rPr>
          <w:rFonts w:asciiTheme="minorHAnsi" w:eastAsia="Times New Roman" w:hAnsiTheme="minorHAnsi" w:cstheme="minorHAnsi"/>
          <w:spacing w:val="-2"/>
          <w:sz w:val="10"/>
          <w:szCs w:val="10"/>
          <w:lang w:eastAsia="pt-BR"/>
        </w:rPr>
        <w:t>(</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Data de Vencimento</w:t>
      </w:r>
      <w:r w:rsidRPr="001E6E9D">
        <w:rPr>
          <w:rFonts w:asciiTheme="minorHAnsi" w:eastAsia="Times New Roman" w:hAnsiTheme="minorHAnsi" w:cstheme="minorHAnsi"/>
          <w:spacing w:val="-2"/>
          <w:sz w:val="10"/>
          <w:szCs w:val="10"/>
          <w:lang w:eastAsia="pt-BR"/>
        </w:rPr>
        <w:t xml:space="preserve">”), </w:t>
      </w:r>
      <w:r w:rsidRPr="001E6E9D">
        <w:rPr>
          <w:rFonts w:asciiTheme="minorHAnsi" w:eastAsia="Calibri" w:hAnsiTheme="minorHAnsi" w:cstheme="minorHAnsi"/>
          <w:spacing w:val="-2"/>
          <w:sz w:val="10"/>
          <w:szCs w:val="10"/>
        </w:rPr>
        <w:t>ressalvadas as hipóteses de vencimento antecipado e resgate antecipado das Debêntures</w:t>
      </w:r>
      <w:r w:rsidRPr="001E6E9D">
        <w:rPr>
          <w:rFonts w:asciiTheme="minorHAnsi" w:eastAsia="Times New Roman" w:hAnsiTheme="minorHAnsi" w:cstheme="minorHAnsi"/>
          <w:spacing w:val="-2"/>
          <w:sz w:val="10"/>
          <w:szCs w:val="10"/>
          <w:lang w:eastAsia="pt-BR"/>
        </w:rPr>
        <w:t xml:space="preserve">, nos termos previstos neste Prospecto. As Debêntures foram emitidas nos termos do </w:t>
      </w:r>
      <w:r w:rsidR="000D5E35" w:rsidRPr="001E6E9D">
        <w:rPr>
          <w:rFonts w:asciiTheme="minorHAnsi" w:eastAsia="Calibri" w:hAnsiTheme="minorHAnsi" w:cstheme="minorHAnsi"/>
          <w:spacing w:val="-2"/>
          <w:sz w:val="10"/>
          <w:szCs w:val="10"/>
        </w:rPr>
        <w:t>“</w:t>
      </w:r>
      <w:bookmarkStart w:id="5" w:name="_Hlk117866897"/>
      <w:r w:rsidR="00C530C0" w:rsidRPr="001E6E9D">
        <w:rPr>
          <w:rFonts w:asciiTheme="minorHAnsi" w:eastAsia="Calibri" w:hAnsiTheme="minorHAnsi" w:cstheme="minorHAnsi"/>
          <w:i/>
          <w:spacing w:val="-2"/>
          <w:sz w:val="10"/>
          <w:szCs w:val="10"/>
        </w:rPr>
        <w:t>Instrumento Particular de Escritura da 1ª (Primeira) Emissão de Debêntures Simples, Não Conversíveis em Ações, da Espécie com Garantia Real</w:t>
      </w:r>
      <w:r w:rsidR="0085419F" w:rsidRPr="001E6E9D">
        <w:rPr>
          <w:rFonts w:asciiTheme="minorHAnsi" w:eastAsia="Calibri" w:hAnsiTheme="minorHAnsi" w:cstheme="minorHAnsi"/>
          <w:i/>
          <w:spacing w:val="-2"/>
          <w:sz w:val="10"/>
          <w:szCs w:val="10"/>
        </w:rPr>
        <w:t>,</w:t>
      </w:r>
      <w:r w:rsidR="00C530C0" w:rsidRPr="001E6E9D">
        <w:rPr>
          <w:rFonts w:asciiTheme="minorHAnsi" w:eastAsia="Calibri" w:hAnsiTheme="minorHAnsi" w:cstheme="minorHAnsi"/>
          <w:i/>
          <w:spacing w:val="-2"/>
          <w:sz w:val="10"/>
          <w:szCs w:val="10"/>
        </w:rPr>
        <w:t xml:space="preserve"> com Garantia Adicional Fidejussória, em Série Única, para Distribuição Pública sob Rito de Registro Automático de Distribuição, da Faro Energy Projetos Solares Holding IV </w:t>
      </w:r>
      <w:r w:rsidRPr="001E6E9D">
        <w:rPr>
          <w:rFonts w:asciiTheme="minorHAnsi" w:eastAsia="Calibri" w:hAnsiTheme="minorHAnsi" w:cstheme="minorHAnsi"/>
          <w:i/>
          <w:iCs/>
          <w:spacing w:val="-2"/>
          <w:sz w:val="10"/>
          <w:szCs w:val="10"/>
        </w:rPr>
        <w:t>S.A.</w:t>
      </w:r>
      <w:bookmarkEnd w:id="5"/>
      <w:r w:rsidRPr="001E6E9D">
        <w:rPr>
          <w:rFonts w:asciiTheme="minorHAnsi" w:eastAsia="Calibri" w:hAnsiTheme="minorHAnsi" w:cstheme="minorHAnsi"/>
          <w:spacing w:val="-2"/>
          <w:sz w:val="10"/>
          <w:szCs w:val="10"/>
        </w:rPr>
        <w:t>”</w:t>
      </w:r>
      <w:r w:rsidRPr="001E6E9D">
        <w:rPr>
          <w:rFonts w:asciiTheme="minorHAnsi" w:eastAsia="Times New Roman" w:hAnsiTheme="minorHAnsi" w:cstheme="minorHAnsi"/>
          <w:spacing w:val="-2"/>
          <w:sz w:val="10"/>
          <w:szCs w:val="10"/>
          <w:lang w:eastAsia="pt-BR"/>
        </w:rPr>
        <w:t xml:space="preserve">, celebrado em </w:t>
      </w:r>
      <w:r w:rsidR="006F3767" w:rsidRPr="001E6E9D">
        <w:rPr>
          <w:rFonts w:asciiTheme="minorHAnsi" w:eastAsia="Times New Roman" w:hAnsiTheme="minorHAnsi" w:cstheme="minorHAnsi"/>
          <w:spacing w:val="-2"/>
          <w:sz w:val="10"/>
          <w:szCs w:val="10"/>
          <w:lang w:eastAsia="pt-BR"/>
        </w:rPr>
        <w:t>1</w:t>
      </w:r>
      <w:r w:rsidR="00DD5326">
        <w:rPr>
          <w:rFonts w:asciiTheme="minorHAnsi" w:eastAsia="Times New Roman" w:hAnsiTheme="minorHAnsi" w:cstheme="minorHAnsi"/>
          <w:spacing w:val="-2"/>
          <w:sz w:val="10"/>
          <w:szCs w:val="10"/>
          <w:lang w:eastAsia="pt-BR"/>
        </w:rPr>
        <w:t>7</w:t>
      </w:r>
      <w:r w:rsidR="006F3767" w:rsidRPr="001E6E9D">
        <w:rPr>
          <w:rFonts w:asciiTheme="minorHAnsi" w:eastAsia="Times New Roman" w:hAnsiTheme="minorHAnsi" w:cstheme="minorHAnsi"/>
          <w:spacing w:val="-2"/>
          <w:sz w:val="10"/>
          <w:szCs w:val="10"/>
          <w:lang w:eastAsia="pt-BR"/>
        </w:rPr>
        <w:t xml:space="preserve"> de dezembro</w:t>
      </w:r>
      <w:r w:rsidR="00C530C0" w:rsidRPr="001E6E9D">
        <w:rPr>
          <w:rFonts w:asciiTheme="minorHAnsi" w:eastAsia="Times New Roman" w:hAnsiTheme="minorHAnsi" w:cstheme="minorHAnsi"/>
          <w:spacing w:val="-2"/>
          <w:sz w:val="10"/>
          <w:szCs w:val="10"/>
          <w:lang w:eastAsia="pt-BR"/>
        </w:rPr>
        <w:t xml:space="preserve"> </w:t>
      </w:r>
      <w:r w:rsidRPr="001E6E9D">
        <w:rPr>
          <w:rFonts w:asciiTheme="minorHAnsi" w:eastAsia="Times New Roman" w:hAnsiTheme="minorHAnsi" w:cstheme="minorHAnsi"/>
          <w:spacing w:val="-2"/>
          <w:sz w:val="10"/>
          <w:szCs w:val="10"/>
          <w:lang w:eastAsia="pt-BR"/>
        </w:rPr>
        <w:t xml:space="preserve">de 2024, entre a Emissora, na qualidade de emissora, </w:t>
      </w:r>
      <w:r w:rsidR="0085419F" w:rsidRPr="001E6E9D">
        <w:rPr>
          <w:rFonts w:asciiTheme="minorHAnsi" w:eastAsia="Times New Roman" w:hAnsiTheme="minorHAnsi" w:cstheme="minorHAnsi"/>
          <w:spacing w:val="-2"/>
          <w:sz w:val="10"/>
          <w:szCs w:val="10"/>
          <w:lang w:eastAsia="pt-BR"/>
        </w:rPr>
        <w:t>a FARO ENERGY RENOVÁVEIS PARTICIPAÇÕES S.A. (“</w:t>
      </w:r>
      <w:r w:rsidR="0085419F" w:rsidRPr="001E6E9D">
        <w:rPr>
          <w:rFonts w:asciiTheme="minorHAnsi" w:eastAsia="Times New Roman" w:hAnsiTheme="minorHAnsi" w:cstheme="minorHAnsi"/>
          <w:b/>
          <w:bCs/>
          <w:spacing w:val="-2"/>
          <w:sz w:val="10"/>
          <w:szCs w:val="10"/>
          <w:lang w:eastAsia="pt-BR"/>
        </w:rPr>
        <w:t>FERP</w:t>
      </w:r>
      <w:r w:rsidR="0085419F" w:rsidRPr="001E6E9D">
        <w:rPr>
          <w:rFonts w:asciiTheme="minorHAnsi" w:eastAsia="Times New Roman" w:hAnsiTheme="minorHAnsi" w:cstheme="minorHAnsi"/>
          <w:spacing w:val="-2"/>
          <w:sz w:val="10"/>
          <w:szCs w:val="10"/>
          <w:lang w:eastAsia="pt-BR"/>
        </w:rPr>
        <w:t>”), a UFV MG II EQUIPAMENTOS FOTOVOLTAICOS LTDA. (“</w:t>
      </w:r>
      <w:r w:rsidR="0085419F" w:rsidRPr="001E6E9D">
        <w:rPr>
          <w:rFonts w:asciiTheme="minorHAnsi" w:eastAsia="Times New Roman" w:hAnsiTheme="minorHAnsi" w:cstheme="minorHAnsi"/>
          <w:b/>
          <w:bCs/>
          <w:spacing w:val="-2"/>
          <w:sz w:val="10"/>
          <w:szCs w:val="10"/>
          <w:lang w:eastAsia="pt-BR"/>
        </w:rPr>
        <w:t>SPE 1</w:t>
      </w:r>
      <w:r w:rsidR="0085419F" w:rsidRPr="001E6E9D">
        <w:rPr>
          <w:rFonts w:asciiTheme="minorHAnsi" w:eastAsia="Times New Roman" w:hAnsiTheme="minorHAnsi" w:cstheme="minorHAnsi"/>
          <w:spacing w:val="-2"/>
          <w:sz w:val="10"/>
          <w:szCs w:val="10"/>
          <w:lang w:eastAsia="pt-BR"/>
        </w:rPr>
        <w:t>”), a UFV MG III EQUIPAMENTOS FOTOVOLTAICOS LTDA. (“</w:t>
      </w:r>
      <w:r w:rsidR="0085419F" w:rsidRPr="001E6E9D">
        <w:rPr>
          <w:rFonts w:asciiTheme="minorHAnsi" w:eastAsia="Times New Roman" w:hAnsiTheme="minorHAnsi" w:cstheme="minorHAnsi"/>
          <w:b/>
          <w:bCs/>
          <w:spacing w:val="-2"/>
          <w:sz w:val="10"/>
          <w:szCs w:val="10"/>
          <w:lang w:eastAsia="pt-BR"/>
        </w:rPr>
        <w:t>SPE 2</w:t>
      </w:r>
      <w:r w:rsidR="0085419F" w:rsidRPr="001E6E9D">
        <w:rPr>
          <w:rFonts w:asciiTheme="minorHAnsi" w:eastAsia="Times New Roman" w:hAnsiTheme="minorHAnsi" w:cstheme="minorHAnsi"/>
          <w:spacing w:val="-2"/>
          <w:sz w:val="10"/>
          <w:szCs w:val="10"/>
          <w:lang w:eastAsia="pt-BR"/>
        </w:rPr>
        <w:t>”), a FARO OLINDA LOCAÇÃO E SOLUÇÕES EM ENERGIA SOLAR LTDA. (“</w:t>
      </w:r>
      <w:r w:rsidR="0085419F" w:rsidRPr="001E6E9D">
        <w:rPr>
          <w:rFonts w:asciiTheme="minorHAnsi" w:eastAsia="Times New Roman" w:hAnsiTheme="minorHAnsi" w:cstheme="minorHAnsi"/>
          <w:b/>
          <w:bCs/>
          <w:spacing w:val="-2"/>
          <w:sz w:val="10"/>
          <w:szCs w:val="10"/>
          <w:lang w:eastAsia="pt-BR"/>
        </w:rPr>
        <w:t>SPE 3</w:t>
      </w:r>
      <w:r w:rsidR="0085419F" w:rsidRPr="001E6E9D">
        <w:rPr>
          <w:rFonts w:asciiTheme="minorHAnsi" w:eastAsia="Times New Roman" w:hAnsiTheme="minorHAnsi" w:cstheme="minorHAnsi"/>
          <w:spacing w:val="-2"/>
          <w:sz w:val="10"/>
          <w:szCs w:val="10"/>
          <w:lang w:eastAsia="pt-BR"/>
        </w:rPr>
        <w:t>”), a FARO PRAIA DO FUTURO LOCAÇÃO E SOLUÇÕES EM ENERGIA SOLAR LTDA. (“</w:t>
      </w:r>
      <w:r w:rsidR="0085419F" w:rsidRPr="001E6E9D">
        <w:rPr>
          <w:rFonts w:asciiTheme="minorHAnsi" w:eastAsia="Times New Roman" w:hAnsiTheme="minorHAnsi" w:cstheme="minorHAnsi"/>
          <w:b/>
          <w:bCs/>
          <w:spacing w:val="-2"/>
          <w:sz w:val="10"/>
          <w:szCs w:val="10"/>
          <w:lang w:eastAsia="pt-BR"/>
        </w:rPr>
        <w:t>SPE 4</w:t>
      </w:r>
      <w:r w:rsidR="0085419F" w:rsidRPr="001E6E9D">
        <w:rPr>
          <w:rFonts w:asciiTheme="minorHAnsi" w:eastAsia="Times New Roman" w:hAnsiTheme="minorHAnsi" w:cstheme="minorHAnsi"/>
          <w:spacing w:val="-2"/>
          <w:sz w:val="10"/>
          <w:szCs w:val="10"/>
          <w:lang w:eastAsia="pt-BR"/>
        </w:rPr>
        <w:t>”), a FARO TRINDADE LOCAÇÃO E SOLUÇÕES EM ENERGIA SOLAR LTDA</w:t>
      </w:r>
      <w:r w:rsidR="0052469F" w:rsidRPr="001E6E9D">
        <w:rPr>
          <w:rFonts w:asciiTheme="minorHAnsi" w:eastAsia="Times New Roman" w:hAnsiTheme="minorHAnsi" w:cstheme="minorHAnsi"/>
          <w:spacing w:val="-2"/>
          <w:sz w:val="10"/>
          <w:szCs w:val="10"/>
          <w:lang w:eastAsia="pt-BR"/>
        </w:rPr>
        <w:t>.</w:t>
      </w:r>
      <w:r w:rsidR="0085419F" w:rsidRPr="001E6E9D">
        <w:rPr>
          <w:rFonts w:asciiTheme="minorHAnsi" w:eastAsia="Times New Roman" w:hAnsiTheme="minorHAnsi" w:cstheme="minorHAnsi"/>
          <w:spacing w:val="-2"/>
          <w:sz w:val="10"/>
          <w:szCs w:val="10"/>
          <w:lang w:eastAsia="pt-BR"/>
        </w:rPr>
        <w:t xml:space="preserve"> (“</w:t>
      </w:r>
      <w:r w:rsidR="0085419F" w:rsidRPr="001E6E9D">
        <w:rPr>
          <w:rFonts w:asciiTheme="minorHAnsi" w:eastAsia="Times New Roman" w:hAnsiTheme="minorHAnsi" w:cstheme="minorHAnsi"/>
          <w:b/>
          <w:bCs/>
          <w:spacing w:val="-2"/>
          <w:sz w:val="10"/>
          <w:szCs w:val="10"/>
          <w:lang w:eastAsia="pt-BR"/>
        </w:rPr>
        <w:t>SPE 5</w:t>
      </w:r>
      <w:r w:rsidR="0085419F" w:rsidRPr="001E6E9D">
        <w:rPr>
          <w:rFonts w:asciiTheme="minorHAnsi" w:eastAsia="Times New Roman" w:hAnsiTheme="minorHAnsi" w:cstheme="minorHAnsi"/>
          <w:spacing w:val="-2"/>
          <w:sz w:val="10"/>
          <w:szCs w:val="10"/>
          <w:lang w:eastAsia="pt-BR"/>
        </w:rPr>
        <w:t>”), a FARO CAPITANIA LOCAÇÃO E SOLUÇÕES EM ENERGIA SOLAR LTDA. (“</w:t>
      </w:r>
      <w:r w:rsidR="0085419F" w:rsidRPr="001E6E9D">
        <w:rPr>
          <w:rFonts w:asciiTheme="minorHAnsi" w:eastAsia="Times New Roman" w:hAnsiTheme="minorHAnsi" w:cstheme="minorHAnsi"/>
          <w:b/>
          <w:bCs/>
          <w:spacing w:val="-2"/>
          <w:sz w:val="10"/>
          <w:szCs w:val="10"/>
          <w:lang w:eastAsia="pt-BR"/>
        </w:rPr>
        <w:t>SPE 6</w:t>
      </w:r>
      <w:r w:rsidR="0085419F" w:rsidRPr="001E6E9D">
        <w:rPr>
          <w:rFonts w:asciiTheme="minorHAnsi" w:eastAsia="Times New Roman" w:hAnsiTheme="minorHAnsi" w:cstheme="minorHAnsi"/>
          <w:spacing w:val="-2"/>
          <w:sz w:val="10"/>
          <w:szCs w:val="10"/>
          <w:lang w:eastAsia="pt-BR"/>
        </w:rPr>
        <w:t>”), a FARO TITAN LOCAÇÃO E SOLUÇÕES EM ENERGIA SOLAR LTDA. (“</w:t>
      </w:r>
      <w:r w:rsidR="0085419F" w:rsidRPr="001E6E9D">
        <w:rPr>
          <w:rFonts w:asciiTheme="minorHAnsi" w:eastAsia="Times New Roman" w:hAnsiTheme="minorHAnsi" w:cstheme="minorHAnsi"/>
          <w:b/>
          <w:bCs/>
          <w:spacing w:val="-2"/>
          <w:sz w:val="10"/>
          <w:szCs w:val="10"/>
          <w:lang w:eastAsia="pt-BR"/>
        </w:rPr>
        <w:t>SPE 7</w:t>
      </w:r>
      <w:r w:rsidR="0085419F" w:rsidRPr="001E6E9D">
        <w:rPr>
          <w:rFonts w:asciiTheme="minorHAnsi" w:eastAsia="Times New Roman" w:hAnsiTheme="minorHAnsi" w:cstheme="minorHAnsi"/>
          <w:spacing w:val="-2"/>
          <w:sz w:val="10"/>
          <w:szCs w:val="10"/>
          <w:lang w:eastAsia="pt-BR"/>
        </w:rPr>
        <w:t>”); a FARO ITAÚNA LOCAÇÃO E SOLUÇÕES EM ENERGIA SOLAR LTDA. (“</w:t>
      </w:r>
      <w:r w:rsidR="0085419F" w:rsidRPr="001E6E9D">
        <w:rPr>
          <w:rFonts w:asciiTheme="minorHAnsi" w:eastAsia="Times New Roman" w:hAnsiTheme="minorHAnsi" w:cstheme="minorHAnsi"/>
          <w:b/>
          <w:bCs/>
          <w:spacing w:val="-2"/>
          <w:sz w:val="10"/>
          <w:szCs w:val="10"/>
          <w:lang w:eastAsia="pt-BR"/>
        </w:rPr>
        <w:t>SPE 8</w:t>
      </w:r>
      <w:r w:rsidR="0085419F" w:rsidRPr="001E6E9D">
        <w:rPr>
          <w:rFonts w:asciiTheme="minorHAnsi" w:eastAsia="Times New Roman" w:hAnsiTheme="minorHAnsi" w:cstheme="minorHAnsi"/>
          <w:spacing w:val="-2"/>
          <w:sz w:val="10"/>
          <w:szCs w:val="10"/>
          <w:lang w:eastAsia="pt-BR"/>
        </w:rPr>
        <w:t>”); a FARO COLARES LOCAÇÃO E SOLUÇÕES EM ENERGIA SOLAR LTDA. (“</w:t>
      </w:r>
      <w:r w:rsidR="0085419F" w:rsidRPr="001E6E9D">
        <w:rPr>
          <w:rFonts w:asciiTheme="minorHAnsi" w:eastAsia="Times New Roman" w:hAnsiTheme="minorHAnsi" w:cstheme="minorHAnsi"/>
          <w:b/>
          <w:bCs/>
          <w:spacing w:val="-2"/>
          <w:sz w:val="10"/>
          <w:szCs w:val="10"/>
          <w:lang w:eastAsia="pt-BR"/>
        </w:rPr>
        <w:t>SPE 9</w:t>
      </w:r>
      <w:r w:rsidR="0085419F" w:rsidRPr="001E6E9D">
        <w:rPr>
          <w:rFonts w:asciiTheme="minorHAnsi" w:eastAsia="Times New Roman" w:hAnsiTheme="minorHAnsi" w:cstheme="minorHAnsi"/>
          <w:spacing w:val="-2"/>
          <w:sz w:val="10"/>
          <w:szCs w:val="10"/>
          <w:lang w:eastAsia="pt-BR"/>
        </w:rPr>
        <w:t>”); a FARO UBATUBA LOCAÇÃO E SOLUÇÕES EM ENERGIA SOLAR LTDA. (“</w:t>
      </w:r>
      <w:r w:rsidR="0085419F" w:rsidRPr="001E6E9D">
        <w:rPr>
          <w:rFonts w:asciiTheme="minorHAnsi" w:eastAsia="Times New Roman" w:hAnsiTheme="minorHAnsi" w:cstheme="minorHAnsi"/>
          <w:b/>
          <w:bCs/>
          <w:spacing w:val="-2"/>
          <w:sz w:val="10"/>
          <w:szCs w:val="10"/>
          <w:lang w:eastAsia="pt-BR"/>
        </w:rPr>
        <w:t>SPE 10</w:t>
      </w:r>
      <w:r w:rsidR="0085419F" w:rsidRPr="001E6E9D">
        <w:rPr>
          <w:rFonts w:asciiTheme="minorHAnsi" w:eastAsia="Times New Roman" w:hAnsiTheme="minorHAnsi" w:cstheme="minorHAnsi"/>
          <w:spacing w:val="-2"/>
          <w:sz w:val="10"/>
          <w:szCs w:val="10"/>
          <w:lang w:eastAsia="pt-BR"/>
        </w:rPr>
        <w:t>”), a FARO CONCHAS LOCAÇÃO E SOLUÇÕES EM ENERGIA SOLAR LTDA. (“</w:t>
      </w:r>
      <w:r w:rsidR="0085419F" w:rsidRPr="001E6E9D">
        <w:rPr>
          <w:rFonts w:asciiTheme="minorHAnsi" w:eastAsia="Times New Roman" w:hAnsiTheme="minorHAnsi" w:cstheme="minorHAnsi"/>
          <w:b/>
          <w:bCs/>
          <w:spacing w:val="-2"/>
          <w:sz w:val="10"/>
          <w:szCs w:val="10"/>
          <w:lang w:eastAsia="pt-BR"/>
        </w:rPr>
        <w:t>SPE 11</w:t>
      </w:r>
      <w:r w:rsidR="0085419F" w:rsidRPr="001E6E9D">
        <w:rPr>
          <w:rFonts w:asciiTheme="minorHAnsi" w:eastAsia="Times New Roman" w:hAnsiTheme="minorHAnsi" w:cstheme="minorHAnsi"/>
          <w:spacing w:val="-2"/>
          <w:sz w:val="10"/>
          <w:szCs w:val="10"/>
          <w:lang w:eastAsia="pt-BR"/>
        </w:rPr>
        <w:t>” e, em conjunto com a SPE 1, a SPE 2, a SPE 3, a SPE 4, a SPE 5, a SPE 6, a SPE 7, a SPE 8, a SPE 9 e a SPE 10, as “</w:t>
      </w:r>
      <w:r w:rsidR="0085419F" w:rsidRPr="001E6E9D">
        <w:rPr>
          <w:rFonts w:asciiTheme="minorHAnsi" w:eastAsia="Times New Roman" w:hAnsiTheme="minorHAnsi" w:cstheme="minorHAnsi"/>
          <w:b/>
          <w:bCs/>
          <w:spacing w:val="-2"/>
          <w:sz w:val="10"/>
          <w:szCs w:val="10"/>
          <w:lang w:eastAsia="pt-BR"/>
        </w:rPr>
        <w:t>SPE Cluster 1</w:t>
      </w:r>
      <w:r w:rsidR="0085419F" w:rsidRPr="001E6E9D">
        <w:rPr>
          <w:rFonts w:asciiTheme="minorHAnsi" w:eastAsia="Times New Roman" w:hAnsiTheme="minorHAnsi" w:cstheme="minorHAnsi"/>
          <w:spacing w:val="-2"/>
          <w:sz w:val="10"/>
          <w:szCs w:val="10"/>
          <w:lang w:eastAsia="pt-BR"/>
        </w:rPr>
        <w:t>”), a FARO SÃO ROQUE LOCAÇÃO E SOLUÇÕES EM ENERGIA SOLAR LTDA. (“</w:t>
      </w:r>
      <w:r w:rsidR="0085419F" w:rsidRPr="001E6E9D">
        <w:rPr>
          <w:rFonts w:asciiTheme="minorHAnsi" w:eastAsia="Times New Roman" w:hAnsiTheme="minorHAnsi" w:cstheme="minorHAnsi"/>
          <w:b/>
          <w:bCs/>
          <w:spacing w:val="-2"/>
          <w:sz w:val="10"/>
          <w:szCs w:val="10"/>
          <w:lang w:eastAsia="pt-BR"/>
        </w:rPr>
        <w:t>SPE 12</w:t>
      </w:r>
      <w:r w:rsidR="0085419F" w:rsidRPr="001E6E9D">
        <w:rPr>
          <w:rFonts w:asciiTheme="minorHAnsi" w:eastAsia="Times New Roman" w:hAnsiTheme="minorHAnsi" w:cstheme="minorHAnsi"/>
          <w:spacing w:val="-2"/>
          <w:sz w:val="10"/>
          <w:szCs w:val="10"/>
          <w:lang w:eastAsia="pt-BR"/>
        </w:rPr>
        <w:t>”), a FARO MARAMBAIA LOCAÇÃO E SOLUÇÕES EM ENERGIA SOLAR LTDA. (“</w:t>
      </w:r>
      <w:r w:rsidR="0085419F" w:rsidRPr="001E6E9D">
        <w:rPr>
          <w:rFonts w:asciiTheme="minorHAnsi" w:eastAsia="Times New Roman" w:hAnsiTheme="minorHAnsi" w:cstheme="minorHAnsi"/>
          <w:b/>
          <w:bCs/>
          <w:spacing w:val="-2"/>
          <w:sz w:val="10"/>
          <w:szCs w:val="10"/>
          <w:lang w:eastAsia="pt-BR"/>
        </w:rPr>
        <w:t>SPE 13</w:t>
      </w:r>
      <w:r w:rsidR="0085419F" w:rsidRPr="001E6E9D">
        <w:rPr>
          <w:rFonts w:asciiTheme="minorHAnsi" w:eastAsia="Times New Roman" w:hAnsiTheme="minorHAnsi" w:cstheme="minorHAnsi"/>
          <w:spacing w:val="-2"/>
          <w:sz w:val="10"/>
          <w:szCs w:val="10"/>
          <w:lang w:eastAsia="pt-BR"/>
        </w:rPr>
        <w:t>”), a FARO TAIPU LOCAÇÃO E SOLUÇÕES EM ENERGIA SOLAR LTDA. (“</w:t>
      </w:r>
      <w:r w:rsidR="0085419F" w:rsidRPr="001E6E9D">
        <w:rPr>
          <w:rFonts w:asciiTheme="minorHAnsi" w:eastAsia="Times New Roman" w:hAnsiTheme="minorHAnsi" w:cstheme="minorHAnsi"/>
          <w:b/>
          <w:bCs/>
          <w:spacing w:val="-2"/>
          <w:sz w:val="10"/>
          <w:szCs w:val="10"/>
          <w:lang w:eastAsia="pt-BR"/>
        </w:rPr>
        <w:t>SPE 14</w:t>
      </w:r>
      <w:r w:rsidR="0085419F" w:rsidRPr="001E6E9D">
        <w:rPr>
          <w:rFonts w:asciiTheme="minorHAnsi" w:eastAsia="Times New Roman" w:hAnsiTheme="minorHAnsi" w:cstheme="minorHAnsi"/>
          <w:spacing w:val="-2"/>
          <w:sz w:val="10"/>
          <w:szCs w:val="10"/>
          <w:lang w:eastAsia="pt-BR"/>
        </w:rPr>
        <w:t>”), a FARO MANGUE SECO LOCAÇÃO E SOLUÇÕES EM ENERGIA SOLAR LTDA. (“</w:t>
      </w:r>
      <w:r w:rsidR="0085419F" w:rsidRPr="001E6E9D">
        <w:rPr>
          <w:rFonts w:asciiTheme="minorHAnsi" w:eastAsia="Times New Roman" w:hAnsiTheme="minorHAnsi" w:cstheme="minorHAnsi"/>
          <w:b/>
          <w:bCs/>
          <w:spacing w:val="-2"/>
          <w:sz w:val="10"/>
          <w:szCs w:val="10"/>
          <w:lang w:eastAsia="pt-BR"/>
        </w:rPr>
        <w:t>SPE 15</w:t>
      </w:r>
      <w:r w:rsidR="0085419F" w:rsidRPr="001E6E9D">
        <w:rPr>
          <w:rFonts w:asciiTheme="minorHAnsi" w:eastAsia="Times New Roman" w:hAnsiTheme="minorHAnsi" w:cstheme="minorHAnsi"/>
          <w:spacing w:val="-2"/>
          <w:sz w:val="10"/>
          <w:szCs w:val="10"/>
          <w:lang w:eastAsia="pt-BR"/>
        </w:rPr>
        <w:t>”) e a FARO ILHA DO DRAGÃO LOCAÇÃO E SOLUÇÕES EM ENERGIA SOLAR LTDA. (“</w:t>
      </w:r>
      <w:r w:rsidR="0085419F" w:rsidRPr="001E6E9D">
        <w:rPr>
          <w:rFonts w:asciiTheme="minorHAnsi" w:eastAsia="Times New Roman" w:hAnsiTheme="minorHAnsi" w:cstheme="minorHAnsi"/>
          <w:b/>
          <w:bCs/>
          <w:spacing w:val="-2"/>
          <w:sz w:val="10"/>
          <w:szCs w:val="10"/>
          <w:lang w:eastAsia="pt-BR"/>
        </w:rPr>
        <w:t>SPE 16</w:t>
      </w:r>
      <w:r w:rsidR="0085419F" w:rsidRPr="001E6E9D">
        <w:rPr>
          <w:rFonts w:asciiTheme="minorHAnsi" w:eastAsia="Times New Roman" w:hAnsiTheme="minorHAnsi" w:cstheme="minorHAnsi"/>
          <w:spacing w:val="-2"/>
          <w:sz w:val="10"/>
          <w:szCs w:val="10"/>
          <w:lang w:eastAsia="pt-BR"/>
        </w:rPr>
        <w:t>” e, em conjunto com a SPE 12, a SPE 13, a SPE 14, a SPE 15 e as SPEs Cluster 1, “</w:t>
      </w:r>
      <w:r w:rsidR="0085419F" w:rsidRPr="001E6E9D">
        <w:rPr>
          <w:rFonts w:asciiTheme="minorHAnsi" w:eastAsia="Times New Roman" w:hAnsiTheme="minorHAnsi" w:cstheme="minorHAnsi"/>
          <w:b/>
          <w:bCs/>
          <w:spacing w:val="-2"/>
          <w:sz w:val="10"/>
          <w:szCs w:val="10"/>
          <w:lang w:eastAsia="pt-BR"/>
        </w:rPr>
        <w:t>SPEs</w:t>
      </w:r>
      <w:r w:rsidR="0085419F" w:rsidRPr="001E6E9D">
        <w:rPr>
          <w:rFonts w:asciiTheme="minorHAnsi" w:eastAsia="Times New Roman" w:hAnsiTheme="minorHAnsi" w:cstheme="minorHAnsi"/>
          <w:spacing w:val="-2"/>
          <w:sz w:val="10"/>
          <w:szCs w:val="10"/>
          <w:lang w:eastAsia="pt-BR"/>
        </w:rPr>
        <w:t>” e, em conjunto com a FERP, as “</w:t>
      </w:r>
      <w:r w:rsidR="0085419F" w:rsidRPr="001E6E9D">
        <w:rPr>
          <w:rFonts w:asciiTheme="minorHAnsi" w:eastAsia="Times New Roman" w:hAnsiTheme="minorHAnsi" w:cstheme="minorHAnsi"/>
          <w:b/>
          <w:bCs/>
          <w:spacing w:val="-2"/>
          <w:sz w:val="10"/>
          <w:szCs w:val="10"/>
          <w:lang w:eastAsia="pt-BR"/>
        </w:rPr>
        <w:t>Fiadoras</w:t>
      </w:r>
      <w:r w:rsidR="0085419F" w:rsidRPr="001E6E9D">
        <w:rPr>
          <w:rFonts w:asciiTheme="minorHAnsi" w:eastAsia="Times New Roman" w:hAnsiTheme="minorHAnsi" w:cstheme="minorHAnsi"/>
          <w:spacing w:val="-2"/>
          <w:sz w:val="10"/>
          <w:szCs w:val="10"/>
          <w:lang w:eastAsia="pt-BR"/>
        </w:rPr>
        <w:t>”, respectivamente)</w:t>
      </w:r>
      <w:r w:rsidR="00C530C0" w:rsidRPr="001E6E9D">
        <w:rPr>
          <w:rFonts w:asciiTheme="minorHAnsi" w:eastAsia="Times New Roman" w:hAnsiTheme="minorHAnsi" w:cstheme="minorHAnsi"/>
          <w:spacing w:val="-2"/>
          <w:sz w:val="10"/>
          <w:szCs w:val="10"/>
          <w:lang w:eastAsia="pt-BR"/>
        </w:rPr>
        <w:t xml:space="preserve">, </w:t>
      </w:r>
      <w:r w:rsidR="0085419F" w:rsidRPr="001E6E9D">
        <w:rPr>
          <w:rFonts w:asciiTheme="minorHAnsi" w:eastAsia="Times New Roman" w:hAnsiTheme="minorHAnsi" w:cstheme="minorHAnsi"/>
          <w:spacing w:val="-2"/>
          <w:sz w:val="10"/>
          <w:szCs w:val="10"/>
          <w:lang w:eastAsia="pt-BR"/>
        </w:rPr>
        <w:t>a FARO ENERGY DESENVOLVIMENTO E LOCAÇÃO DE PROJETOS LTDA. (“</w:t>
      </w:r>
      <w:r w:rsidR="0085419F" w:rsidRPr="001E6E9D">
        <w:rPr>
          <w:rFonts w:asciiTheme="minorHAnsi" w:eastAsia="Times New Roman" w:hAnsiTheme="minorHAnsi" w:cstheme="minorHAnsi"/>
          <w:b/>
          <w:bCs/>
          <w:spacing w:val="-2"/>
          <w:sz w:val="10"/>
          <w:szCs w:val="10"/>
          <w:lang w:eastAsia="pt-BR"/>
        </w:rPr>
        <w:t>FED</w:t>
      </w:r>
      <w:r w:rsidR="0085419F" w:rsidRPr="001E6E9D">
        <w:rPr>
          <w:rFonts w:asciiTheme="minorHAnsi" w:eastAsia="Times New Roman" w:hAnsiTheme="minorHAnsi" w:cstheme="minorHAnsi"/>
          <w:spacing w:val="-2"/>
          <w:sz w:val="10"/>
          <w:szCs w:val="10"/>
          <w:lang w:eastAsia="pt-BR"/>
        </w:rPr>
        <w:t>” e, em conjunto com a FERP, as “</w:t>
      </w:r>
      <w:r w:rsidR="0085419F" w:rsidRPr="001E6E9D">
        <w:rPr>
          <w:rFonts w:asciiTheme="minorHAnsi" w:eastAsia="Times New Roman" w:hAnsiTheme="minorHAnsi" w:cstheme="minorHAnsi"/>
          <w:b/>
          <w:bCs/>
          <w:spacing w:val="-2"/>
          <w:sz w:val="10"/>
          <w:szCs w:val="10"/>
          <w:lang w:eastAsia="pt-BR"/>
        </w:rPr>
        <w:t>Acionistas</w:t>
      </w:r>
      <w:r w:rsidR="0085419F" w:rsidRPr="001E6E9D">
        <w:rPr>
          <w:rFonts w:asciiTheme="minorHAnsi" w:eastAsia="Times New Roman" w:hAnsiTheme="minorHAnsi" w:cstheme="minorHAnsi"/>
          <w:spacing w:val="-2"/>
          <w:sz w:val="10"/>
          <w:szCs w:val="10"/>
          <w:lang w:eastAsia="pt-BR"/>
        </w:rPr>
        <w:t>”)</w:t>
      </w:r>
      <w:r w:rsidR="00C530C0" w:rsidRPr="001E6E9D">
        <w:rPr>
          <w:rFonts w:asciiTheme="minorHAnsi" w:eastAsia="Times New Roman" w:hAnsiTheme="minorHAnsi" w:cstheme="minorHAnsi"/>
          <w:spacing w:val="-2"/>
          <w:sz w:val="10"/>
          <w:szCs w:val="10"/>
          <w:lang w:eastAsia="pt-BR"/>
        </w:rPr>
        <w:t xml:space="preserve"> </w:t>
      </w:r>
      <w:r w:rsidRPr="001E6E9D">
        <w:rPr>
          <w:rFonts w:asciiTheme="minorHAnsi" w:eastAsia="Times New Roman" w:hAnsiTheme="minorHAnsi" w:cstheme="minorHAnsi"/>
          <w:spacing w:val="-2"/>
          <w:sz w:val="10"/>
          <w:szCs w:val="10"/>
          <w:lang w:eastAsia="pt-BR"/>
        </w:rPr>
        <w:t xml:space="preserve">e </w:t>
      </w:r>
      <w:bookmarkStart w:id="6" w:name="_Hlk121872603"/>
      <w:r w:rsidRPr="001E6E9D">
        <w:rPr>
          <w:rFonts w:asciiTheme="minorHAnsi" w:eastAsia="Times New Roman" w:hAnsiTheme="minorHAnsi" w:cstheme="minorHAnsi"/>
          <w:spacing w:val="-2"/>
          <w:sz w:val="10"/>
          <w:szCs w:val="10"/>
          <w:lang w:eastAsia="pt-BR"/>
        </w:rPr>
        <w:t xml:space="preserve">a </w:t>
      </w:r>
      <w:r w:rsidRPr="001E6E9D">
        <w:rPr>
          <w:rFonts w:asciiTheme="minorHAnsi" w:eastAsia="Calibri" w:hAnsiTheme="minorHAnsi" w:cstheme="minorHAnsi"/>
          <w:b/>
          <w:spacing w:val="-2"/>
          <w:sz w:val="10"/>
          <w:szCs w:val="10"/>
        </w:rPr>
        <w:t>OLIVEIRA TRUST DISTRIBUIDORA DE TÍTULOS E VALORES MOBILIÁRIOS S.A.</w:t>
      </w:r>
      <w:bookmarkEnd w:id="6"/>
      <w:r w:rsidRPr="001E6E9D">
        <w:rPr>
          <w:rFonts w:asciiTheme="minorHAnsi" w:eastAsia="Calibri" w:hAnsiTheme="minorHAnsi" w:cstheme="minorHAnsi"/>
          <w:spacing w:val="-2"/>
          <w:sz w:val="10"/>
          <w:szCs w:val="10"/>
        </w:rPr>
        <w:t xml:space="preserve">, instituição financeira, inscrita no CNPJ sob o </w:t>
      </w:r>
      <w:r w:rsidR="000D5E35" w:rsidRPr="001E6E9D">
        <w:rPr>
          <w:rFonts w:asciiTheme="minorHAnsi" w:eastAsia="Calibri" w:hAnsiTheme="minorHAnsi" w:cstheme="minorHAnsi"/>
          <w:spacing w:val="-2"/>
          <w:sz w:val="10"/>
          <w:szCs w:val="10"/>
        </w:rPr>
        <w:t>nº</w:t>
      </w:r>
      <w:r w:rsidRPr="001E6E9D">
        <w:rPr>
          <w:rFonts w:asciiTheme="minorHAnsi" w:eastAsia="Calibri" w:hAnsiTheme="minorHAnsi" w:cstheme="minorHAnsi"/>
          <w:spacing w:val="-2"/>
          <w:sz w:val="10"/>
          <w:szCs w:val="10"/>
        </w:rPr>
        <w:t> 36.113.876/0004-34</w:t>
      </w:r>
      <w:r w:rsidRPr="001E6E9D">
        <w:rPr>
          <w:rFonts w:asciiTheme="minorHAnsi" w:eastAsia="Times New Roman" w:hAnsiTheme="minorHAnsi" w:cstheme="minorHAnsi"/>
          <w:spacing w:val="-2"/>
          <w:sz w:val="10"/>
          <w:szCs w:val="10"/>
          <w:lang w:eastAsia="pt-BR"/>
        </w:rPr>
        <w:t>, na qualidade de agente fiduciário e representante dos titulares das Debêntures (</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Debenturistas</w:t>
      </w:r>
      <w:r w:rsidRPr="001E6E9D">
        <w:rPr>
          <w:rFonts w:asciiTheme="minorHAnsi" w:eastAsia="Times New Roman" w:hAnsiTheme="minorHAnsi" w:cstheme="minorHAnsi"/>
          <w:spacing w:val="-2"/>
          <w:sz w:val="10"/>
          <w:szCs w:val="10"/>
          <w:lang w:eastAsia="pt-BR"/>
        </w:rPr>
        <w:t xml:space="preserve">” e </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Agente Fiduciário</w:t>
      </w:r>
      <w:r w:rsidRPr="001E6E9D">
        <w:rPr>
          <w:rFonts w:asciiTheme="minorHAnsi" w:eastAsia="Times New Roman" w:hAnsiTheme="minorHAnsi" w:cstheme="minorHAnsi"/>
          <w:spacing w:val="-2"/>
          <w:sz w:val="10"/>
          <w:szCs w:val="10"/>
          <w:lang w:eastAsia="pt-BR"/>
        </w:rPr>
        <w:t>”, respectivamente)</w:t>
      </w:r>
      <w:r w:rsidR="00850BEF">
        <w:rPr>
          <w:rFonts w:asciiTheme="minorHAnsi" w:eastAsia="Times New Roman" w:hAnsiTheme="minorHAnsi" w:cstheme="minorHAnsi"/>
          <w:spacing w:val="-2"/>
          <w:sz w:val="10"/>
          <w:szCs w:val="10"/>
          <w:lang w:eastAsia="pt-BR"/>
        </w:rPr>
        <w:t xml:space="preserve"> </w:t>
      </w:r>
      <w:r w:rsidRPr="001E6E9D">
        <w:rPr>
          <w:rFonts w:asciiTheme="minorHAnsi" w:eastAsia="Times New Roman" w:hAnsiTheme="minorHAnsi" w:cstheme="minorHAnsi"/>
          <w:spacing w:val="-2"/>
          <w:sz w:val="10"/>
          <w:szCs w:val="10"/>
          <w:lang w:eastAsia="pt-BR"/>
        </w:rPr>
        <w:t>(</w:t>
      </w:r>
      <w:r w:rsidR="000D5E3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b/>
          <w:bCs/>
          <w:spacing w:val="-2"/>
          <w:sz w:val="10"/>
          <w:szCs w:val="10"/>
          <w:lang w:eastAsia="pt-BR"/>
        </w:rPr>
        <w:t>Escritura de Emissão</w:t>
      </w:r>
      <w:r w:rsidRPr="001E6E9D">
        <w:rPr>
          <w:rFonts w:asciiTheme="minorHAnsi" w:eastAsia="Times New Roman" w:hAnsiTheme="minorHAnsi" w:cstheme="minorHAnsi"/>
          <w:spacing w:val="-2"/>
          <w:sz w:val="10"/>
          <w:szCs w:val="10"/>
          <w:lang w:eastAsia="pt-BR"/>
        </w:rPr>
        <w:t>”)</w:t>
      </w:r>
      <w:r w:rsidR="00B2413C">
        <w:rPr>
          <w:rFonts w:asciiTheme="minorHAnsi" w:eastAsia="Times New Roman" w:hAnsiTheme="minorHAnsi" w:cstheme="minorHAnsi"/>
          <w:spacing w:val="-2"/>
          <w:sz w:val="10"/>
          <w:szCs w:val="10"/>
          <w:lang w:eastAsia="pt-BR"/>
        </w:rPr>
        <w:t xml:space="preserve">, conforme aditada </w:t>
      </w:r>
      <w:r w:rsidR="00B2413C" w:rsidRPr="00B2413C">
        <w:rPr>
          <w:rFonts w:asciiTheme="minorHAnsi" w:eastAsia="Times New Roman" w:hAnsiTheme="minorHAnsi" w:cstheme="minorHAnsi"/>
          <w:spacing w:val="-2"/>
          <w:sz w:val="10"/>
          <w:szCs w:val="10"/>
          <w:lang w:eastAsia="pt-BR"/>
        </w:rPr>
        <w:t xml:space="preserve">pelo </w:t>
      </w:r>
      <w:r w:rsidR="00B2413C" w:rsidRPr="002E5F78">
        <w:rPr>
          <w:rFonts w:asciiTheme="minorHAnsi" w:eastAsia="Calibri" w:hAnsiTheme="minorHAnsi" w:cstheme="minorHAnsi"/>
          <w:spacing w:val="-2"/>
          <w:sz w:val="10"/>
          <w:szCs w:val="10"/>
        </w:rPr>
        <w:t>“</w:t>
      </w:r>
      <w:r w:rsidR="00B2413C" w:rsidRPr="002E5F78">
        <w:rPr>
          <w:rFonts w:asciiTheme="minorHAnsi" w:eastAsia="Calibri" w:hAnsiTheme="minorHAnsi" w:cstheme="minorHAnsi"/>
          <w:i/>
          <w:iCs/>
          <w:spacing w:val="-2"/>
          <w:sz w:val="10"/>
          <w:szCs w:val="10"/>
        </w:rPr>
        <w:t>Primeiro Aditamento ao</w:t>
      </w:r>
      <w:r w:rsidR="00B2413C" w:rsidRPr="002E5F78">
        <w:rPr>
          <w:rFonts w:asciiTheme="minorHAnsi" w:eastAsia="Calibri" w:hAnsiTheme="minorHAnsi" w:cstheme="minorHAnsi"/>
          <w:spacing w:val="-2"/>
          <w:sz w:val="10"/>
          <w:szCs w:val="10"/>
        </w:rPr>
        <w:t xml:space="preserve"> </w:t>
      </w:r>
      <w:r w:rsidR="00B2413C" w:rsidRPr="001E6E9D">
        <w:rPr>
          <w:rFonts w:asciiTheme="minorHAnsi" w:eastAsia="Calibri" w:hAnsiTheme="minorHAnsi" w:cstheme="minorHAnsi"/>
          <w:i/>
          <w:spacing w:val="-2"/>
          <w:sz w:val="10"/>
          <w:szCs w:val="10"/>
        </w:rPr>
        <w:t xml:space="preserve">Instrumento Particular de Escritura da 1ª (Primeira) Emissão de Debêntures Simples, Não Conversíveis em Ações, da Espécie com Garantia Real, com Garantia Adicional Fidejussória, em Série Única, para Distribuição Pública sob Rito de Registro Automático de Distribuição, da Faro Energy Projetos Solares Holding IV </w:t>
      </w:r>
      <w:r w:rsidR="00B2413C" w:rsidRPr="001E6E9D">
        <w:rPr>
          <w:rFonts w:asciiTheme="minorHAnsi" w:eastAsia="Calibri" w:hAnsiTheme="minorHAnsi" w:cstheme="minorHAnsi"/>
          <w:i/>
          <w:iCs/>
          <w:spacing w:val="-2"/>
          <w:sz w:val="10"/>
          <w:szCs w:val="10"/>
        </w:rPr>
        <w:t>S.A.</w:t>
      </w:r>
      <w:r w:rsidR="00B2413C" w:rsidRPr="002E5F78">
        <w:rPr>
          <w:rFonts w:asciiTheme="minorHAnsi" w:eastAsia="Calibri" w:hAnsiTheme="minorHAnsi" w:cstheme="minorHAnsi"/>
          <w:spacing w:val="-2"/>
          <w:sz w:val="10"/>
          <w:szCs w:val="10"/>
        </w:rPr>
        <w:t>”</w:t>
      </w:r>
      <w:r w:rsidR="00B2413C" w:rsidRPr="002E5F78">
        <w:rPr>
          <w:rFonts w:asciiTheme="minorHAnsi" w:eastAsia="Times New Roman" w:hAnsiTheme="minorHAnsi" w:cstheme="minorHAnsi"/>
          <w:spacing w:val="-2"/>
          <w:sz w:val="10"/>
          <w:szCs w:val="10"/>
          <w:lang w:eastAsia="pt-BR"/>
        </w:rPr>
        <w:t xml:space="preserve">, </w:t>
      </w:r>
      <w:r w:rsidR="00B2413C" w:rsidRPr="00AC236D">
        <w:rPr>
          <w:rFonts w:asciiTheme="minorHAnsi" w:eastAsia="Times New Roman" w:hAnsiTheme="minorHAnsi" w:cstheme="minorHAnsi"/>
          <w:spacing w:val="-2"/>
          <w:sz w:val="10"/>
          <w:szCs w:val="10"/>
          <w:lang w:eastAsia="pt-BR"/>
        </w:rPr>
        <w:t xml:space="preserve">celebrado em </w:t>
      </w:r>
      <w:r w:rsidR="00B2413C" w:rsidRPr="000C3C74">
        <w:rPr>
          <w:rFonts w:asciiTheme="minorHAnsi" w:hAnsiTheme="minorHAnsi"/>
          <w:spacing w:val="-2"/>
          <w:sz w:val="10"/>
        </w:rPr>
        <w:t>31</w:t>
      </w:r>
      <w:r w:rsidR="00B2413C" w:rsidRPr="00AC236D">
        <w:rPr>
          <w:rFonts w:asciiTheme="minorHAnsi" w:eastAsia="Times New Roman" w:hAnsiTheme="minorHAnsi" w:cstheme="minorHAnsi"/>
          <w:spacing w:val="-2"/>
          <w:sz w:val="10"/>
          <w:szCs w:val="10"/>
          <w:lang w:eastAsia="pt-BR"/>
        </w:rPr>
        <w:t xml:space="preserve"> de</w:t>
      </w:r>
      <w:r w:rsidR="00B2413C" w:rsidRPr="002E5F78">
        <w:rPr>
          <w:rFonts w:asciiTheme="minorHAnsi" w:eastAsia="Times New Roman" w:hAnsiTheme="minorHAnsi" w:cstheme="minorHAnsi"/>
          <w:spacing w:val="-2"/>
          <w:sz w:val="10"/>
          <w:szCs w:val="10"/>
          <w:lang w:eastAsia="pt-BR"/>
        </w:rPr>
        <w:t xml:space="preserve"> </w:t>
      </w:r>
      <w:r w:rsidR="00B2413C">
        <w:rPr>
          <w:rFonts w:asciiTheme="minorHAnsi" w:eastAsia="Times New Roman" w:hAnsiTheme="minorHAnsi" w:cstheme="minorHAnsi"/>
          <w:spacing w:val="-2"/>
          <w:sz w:val="10"/>
          <w:szCs w:val="10"/>
          <w:lang w:eastAsia="pt-BR"/>
        </w:rPr>
        <w:t>janeiro</w:t>
      </w:r>
      <w:r w:rsidR="00B2413C" w:rsidRPr="002E5F78">
        <w:rPr>
          <w:rFonts w:asciiTheme="minorHAnsi" w:eastAsia="Times New Roman" w:hAnsiTheme="minorHAnsi" w:cstheme="minorHAnsi"/>
          <w:spacing w:val="-2"/>
          <w:sz w:val="10"/>
          <w:szCs w:val="10"/>
          <w:lang w:eastAsia="pt-BR"/>
        </w:rPr>
        <w:t xml:space="preserve"> de 202</w:t>
      </w:r>
      <w:r w:rsidR="00B2413C">
        <w:rPr>
          <w:rFonts w:asciiTheme="minorHAnsi" w:eastAsia="Times New Roman" w:hAnsiTheme="minorHAnsi" w:cstheme="minorHAnsi"/>
          <w:spacing w:val="-2"/>
          <w:sz w:val="10"/>
          <w:szCs w:val="10"/>
          <w:lang w:eastAsia="pt-BR"/>
        </w:rPr>
        <w:t>5</w:t>
      </w:r>
      <w:r w:rsidR="00B2413C" w:rsidRPr="002E5F78">
        <w:rPr>
          <w:rFonts w:asciiTheme="minorHAnsi" w:eastAsia="Times New Roman" w:hAnsiTheme="minorHAnsi" w:cstheme="minorHAnsi"/>
          <w:spacing w:val="-2"/>
          <w:sz w:val="10"/>
          <w:szCs w:val="10"/>
          <w:lang w:eastAsia="pt-BR"/>
        </w:rPr>
        <w:t xml:space="preserve">, entre a Emissora, as Fiadoras, </w:t>
      </w:r>
      <w:r w:rsidR="00B2413C">
        <w:rPr>
          <w:rFonts w:asciiTheme="minorHAnsi" w:eastAsia="Times New Roman" w:hAnsiTheme="minorHAnsi" w:cstheme="minorHAnsi"/>
          <w:spacing w:val="-2"/>
          <w:sz w:val="10"/>
          <w:szCs w:val="10"/>
          <w:lang w:eastAsia="pt-BR"/>
        </w:rPr>
        <w:t>as Acionistas</w:t>
      </w:r>
      <w:r w:rsidR="00B2413C" w:rsidRPr="002E5F78">
        <w:rPr>
          <w:rFonts w:asciiTheme="minorHAnsi" w:eastAsia="Times New Roman" w:hAnsiTheme="minorHAnsi" w:cstheme="minorHAnsi"/>
          <w:spacing w:val="-2"/>
          <w:sz w:val="10"/>
          <w:szCs w:val="10"/>
          <w:lang w:eastAsia="pt-BR"/>
        </w:rPr>
        <w:t xml:space="preserve"> e o Agente Fiduciário (“</w:t>
      </w:r>
      <w:r w:rsidR="00B2413C" w:rsidRPr="002E5F78">
        <w:rPr>
          <w:rFonts w:asciiTheme="minorHAnsi" w:eastAsia="Times New Roman" w:hAnsiTheme="minorHAnsi" w:cstheme="minorHAnsi"/>
          <w:b/>
          <w:bCs/>
          <w:spacing w:val="-2"/>
          <w:sz w:val="10"/>
          <w:szCs w:val="10"/>
          <w:lang w:eastAsia="pt-BR"/>
        </w:rPr>
        <w:t>Primeiro Aditamento à Escritura de Emissão</w:t>
      </w:r>
      <w:r w:rsidR="00B2413C" w:rsidRPr="002E5F78">
        <w:rPr>
          <w:rFonts w:asciiTheme="minorHAnsi" w:eastAsia="Times New Roman" w:hAnsiTheme="minorHAnsi" w:cstheme="minorHAnsi"/>
          <w:spacing w:val="-2"/>
          <w:sz w:val="10"/>
          <w:szCs w:val="10"/>
          <w:lang w:eastAsia="pt-BR"/>
        </w:rPr>
        <w:t>”)</w:t>
      </w:r>
      <w:r w:rsidRPr="00B2413C">
        <w:rPr>
          <w:rFonts w:asciiTheme="minorHAnsi" w:eastAsia="Times New Roman" w:hAnsiTheme="minorHAnsi" w:cstheme="minorHAnsi"/>
          <w:spacing w:val="-2"/>
          <w:sz w:val="10"/>
          <w:szCs w:val="10"/>
          <w:lang w:eastAsia="pt-BR"/>
        </w:rPr>
        <w:t xml:space="preserve">. </w:t>
      </w:r>
      <w:r w:rsidR="00F5362C" w:rsidRPr="00B2413C">
        <w:rPr>
          <w:rFonts w:asciiTheme="minorHAnsi" w:hAnsiTheme="minorHAnsi" w:cstheme="minorHAnsi"/>
          <w:sz w:val="10"/>
          <w:szCs w:val="10"/>
        </w:rPr>
        <w:t>As Debêntures contarão com o incentivo</w:t>
      </w:r>
      <w:r w:rsidR="00F5362C" w:rsidRPr="001E6E9D">
        <w:rPr>
          <w:rFonts w:asciiTheme="minorHAnsi" w:hAnsiTheme="minorHAnsi" w:cstheme="minorHAnsi"/>
          <w:sz w:val="10"/>
          <w:szCs w:val="10"/>
        </w:rPr>
        <w:t xml:space="preserve"> fiscal previsto no artigo 2º da Lei nº 12.431, de 24 de junho de 2011, conforme alterada (</w:t>
      </w:r>
      <w:r w:rsidR="000D5E35" w:rsidRPr="001E6E9D">
        <w:rPr>
          <w:rFonts w:asciiTheme="minorHAnsi" w:hAnsiTheme="minorHAnsi" w:cstheme="minorHAnsi"/>
          <w:sz w:val="10"/>
          <w:szCs w:val="10"/>
        </w:rPr>
        <w:t>“</w:t>
      </w:r>
      <w:r w:rsidR="00F5362C" w:rsidRPr="001E6E9D">
        <w:rPr>
          <w:rFonts w:asciiTheme="minorHAnsi" w:eastAsia="Times New Roman" w:hAnsiTheme="minorHAnsi" w:cstheme="minorHAnsi"/>
          <w:b/>
          <w:bCs/>
          <w:spacing w:val="-2"/>
          <w:sz w:val="10"/>
          <w:szCs w:val="10"/>
          <w:lang w:eastAsia="pt-BR"/>
        </w:rPr>
        <w:t>Lei 12.431</w:t>
      </w:r>
      <w:r w:rsidR="00F5362C" w:rsidRPr="001E6E9D">
        <w:rPr>
          <w:rFonts w:asciiTheme="minorHAnsi" w:hAnsiTheme="minorHAnsi" w:cstheme="minorHAnsi"/>
          <w:sz w:val="10"/>
          <w:szCs w:val="10"/>
        </w:rPr>
        <w:t xml:space="preserve">”), do artigo 2º, inciso </w:t>
      </w:r>
      <w:r w:rsidR="000D5E35" w:rsidRPr="001E6E9D">
        <w:rPr>
          <w:rFonts w:asciiTheme="minorHAnsi" w:hAnsiTheme="minorHAnsi" w:cstheme="minorHAnsi"/>
          <w:sz w:val="10"/>
          <w:szCs w:val="10"/>
        </w:rPr>
        <w:t>“</w:t>
      </w:r>
      <w:r w:rsidR="00F5362C" w:rsidRPr="001E6E9D">
        <w:rPr>
          <w:rFonts w:asciiTheme="minorHAnsi" w:hAnsiTheme="minorHAnsi" w:cstheme="minorHAnsi"/>
          <w:sz w:val="10"/>
          <w:szCs w:val="10"/>
        </w:rPr>
        <w:t xml:space="preserve">I” e artigo 4º, inciso </w:t>
      </w:r>
      <w:r w:rsidR="000D5E35" w:rsidRPr="001E6E9D">
        <w:rPr>
          <w:rFonts w:asciiTheme="minorHAnsi" w:hAnsiTheme="minorHAnsi" w:cstheme="minorHAnsi"/>
          <w:sz w:val="10"/>
          <w:szCs w:val="10"/>
        </w:rPr>
        <w:t>“</w:t>
      </w:r>
      <w:r w:rsidR="00F5362C" w:rsidRPr="001E6E9D">
        <w:rPr>
          <w:rFonts w:asciiTheme="minorHAnsi" w:hAnsiTheme="minorHAnsi" w:cstheme="minorHAnsi"/>
          <w:sz w:val="10"/>
          <w:szCs w:val="10"/>
        </w:rPr>
        <w:t xml:space="preserve">III”, alínea </w:t>
      </w:r>
      <w:r w:rsidR="000D5E35" w:rsidRPr="001E6E9D">
        <w:rPr>
          <w:rFonts w:asciiTheme="minorHAnsi" w:hAnsiTheme="minorHAnsi" w:cstheme="minorHAnsi"/>
          <w:sz w:val="10"/>
          <w:szCs w:val="10"/>
        </w:rPr>
        <w:t>“</w:t>
      </w:r>
      <w:r w:rsidR="00F5362C" w:rsidRPr="001E6E9D">
        <w:rPr>
          <w:rFonts w:asciiTheme="minorHAnsi" w:hAnsiTheme="minorHAnsi" w:cstheme="minorHAnsi"/>
          <w:sz w:val="10"/>
          <w:szCs w:val="10"/>
        </w:rPr>
        <w:t>a” e artigo 17 do Decreto nº 11.964, de 26</w:t>
      </w:r>
      <w:r w:rsidR="00A9008E">
        <w:rPr>
          <w:rFonts w:asciiTheme="minorHAnsi" w:hAnsiTheme="minorHAnsi" w:cstheme="minorHAnsi"/>
          <w:sz w:val="10"/>
          <w:szCs w:val="10"/>
        </w:rPr>
        <w:t> </w:t>
      </w:r>
      <w:r w:rsidR="00F5362C" w:rsidRPr="001E6E9D">
        <w:rPr>
          <w:rFonts w:asciiTheme="minorHAnsi" w:hAnsiTheme="minorHAnsi" w:cstheme="minorHAnsi"/>
          <w:sz w:val="10"/>
          <w:szCs w:val="10"/>
        </w:rPr>
        <w:t>de março de 2024 (</w:t>
      </w:r>
      <w:r w:rsidR="000D5E35" w:rsidRPr="001E6E9D">
        <w:rPr>
          <w:rFonts w:asciiTheme="minorHAnsi" w:hAnsiTheme="minorHAnsi" w:cstheme="minorHAnsi"/>
          <w:sz w:val="10"/>
          <w:szCs w:val="10"/>
        </w:rPr>
        <w:t>“</w:t>
      </w:r>
      <w:r w:rsidR="00F5362C" w:rsidRPr="001E6E9D">
        <w:rPr>
          <w:rFonts w:asciiTheme="minorHAnsi" w:eastAsia="Times New Roman" w:hAnsiTheme="minorHAnsi" w:cstheme="minorHAnsi"/>
          <w:b/>
          <w:bCs/>
          <w:spacing w:val="-2"/>
          <w:sz w:val="10"/>
          <w:szCs w:val="10"/>
          <w:lang w:eastAsia="pt-BR"/>
        </w:rPr>
        <w:t>Decreto 11.964</w:t>
      </w:r>
      <w:r w:rsidR="00F5362C" w:rsidRPr="001E6E9D">
        <w:rPr>
          <w:rFonts w:asciiTheme="minorHAnsi" w:hAnsiTheme="minorHAnsi" w:cstheme="minorHAnsi"/>
          <w:sz w:val="10"/>
          <w:szCs w:val="10"/>
        </w:rPr>
        <w:t>”), na Resolução do Conselho Monetário Nacional (</w:t>
      </w:r>
      <w:r w:rsidR="000D5E35" w:rsidRPr="001E6E9D">
        <w:rPr>
          <w:rFonts w:asciiTheme="minorHAnsi" w:hAnsiTheme="minorHAnsi" w:cstheme="minorHAnsi"/>
          <w:sz w:val="10"/>
          <w:szCs w:val="10"/>
        </w:rPr>
        <w:t>“</w:t>
      </w:r>
      <w:r w:rsidR="00F5362C" w:rsidRPr="001E6E9D">
        <w:rPr>
          <w:rFonts w:asciiTheme="minorHAnsi" w:eastAsia="Times New Roman" w:hAnsiTheme="minorHAnsi" w:cstheme="minorHAnsi"/>
          <w:b/>
          <w:bCs/>
          <w:spacing w:val="-2"/>
          <w:sz w:val="10"/>
          <w:szCs w:val="10"/>
          <w:lang w:eastAsia="pt-BR"/>
        </w:rPr>
        <w:t>CMN</w:t>
      </w:r>
      <w:r w:rsidR="00F5362C" w:rsidRPr="001E6E9D">
        <w:rPr>
          <w:rFonts w:asciiTheme="minorHAnsi" w:hAnsiTheme="minorHAnsi" w:cstheme="minorHAnsi"/>
          <w:sz w:val="10"/>
          <w:szCs w:val="10"/>
        </w:rPr>
        <w:t>”) nº 5.034, de 21 de julho de 2022 (</w:t>
      </w:r>
      <w:r w:rsidR="000D5E35" w:rsidRPr="001E6E9D">
        <w:rPr>
          <w:rFonts w:asciiTheme="minorHAnsi" w:hAnsiTheme="minorHAnsi" w:cstheme="minorHAnsi"/>
          <w:sz w:val="10"/>
          <w:szCs w:val="10"/>
        </w:rPr>
        <w:t>“</w:t>
      </w:r>
      <w:r w:rsidR="00F5362C" w:rsidRPr="001E6E9D">
        <w:rPr>
          <w:rFonts w:asciiTheme="minorHAnsi" w:hAnsiTheme="minorHAnsi" w:cstheme="minorHAnsi"/>
          <w:b/>
          <w:sz w:val="10"/>
          <w:szCs w:val="10"/>
        </w:rPr>
        <w:t>Resolução CMN 5.034</w:t>
      </w:r>
      <w:r w:rsidR="00F5362C" w:rsidRPr="001E6E9D">
        <w:rPr>
          <w:rFonts w:asciiTheme="minorHAnsi" w:hAnsiTheme="minorHAnsi" w:cstheme="minorHAnsi"/>
          <w:sz w:val="10"/>
          <w:szCs w:val="10"/>
        </w:rPr>
        <w:t>”), da Resolução CMN nº 4.751, de 26 de setembro de 2019 (</w:t>
      </w:r>
      <w:r w:rsidR="000D5E35" w:rsidRPr="001E6E9D">
        <w:rPr>
          <w:rFonts w:asciiTheme="minorHAnsi" w:hAnsiTheme="minorHAnsi" w:cstheme="minorHAnsi"/>
          <w:sz w:val="10"/>
          <w:szCs w:val="10"/>
        </w:rPr>
        <w:t>“</w:t>
      </w:r>
      <w:r w:rsidR="00F5362C" w:rsidRPr="001E6E9D">
        <w:rPr>
          <w:rFonts w:asciiTheme="minorHAnsi" w:eastAsia="Times New Roman" w:hAnsiTheme="minorHAnsi" w:cstheme="minorHAnsi"/>
          <w:b/>
          <w:bCs/>
          <w:spacing w:val="-2"/>
          <w:sz w:val="10"/>
          <w:szCs w:val="10"/>
          <w:lang w:eastAsia="pt-BR"/>
        </w:rPr>
        <w:t>Resolução</w:t>
      </w:r>
      <w:r w:rsidR="00A9008E">
        <w:rPr>
          <w:rFonts w:asciiTheme="minorHAnsi" w:eastAsia="Times New Roman" w:hAnsiTheme="minorHAnsi" w:cstheme="minorHAnsi"/>
          <w:b/>
          <w:bCs/>
          <w:spacing w:val="-2"/>
          <w:sz w:val="10"/>
          <w:szCs w:val="10"/>
          <w:lang w:eastAsia="pt-BR"/>
        </w:rPr>
        <w:t> </w:t>
      </w:r>
      <w:r w:rsidR="00F5362C" w:rsidRPr="001E6E9D">
        <w:rPr>
          <w:rFonts w:asciiTheme="minorHAnsi" w:eastAsia="Times New Roman" w:hAnsiTheme="minorHAnsi" w:cstheme="minorHAnsi"/>
          <w:b/>
          <w:bCs/>
          <w:spacing w:val="-2"/>
          <w:sz w:val="10"/>
          <w:szCs w:val="10"/>
          <w:lang w:eastAsia="pt-BR"/>
        </w:rPr>
        <w:t>CMN 4.751</w:t>
      </w:r>
      <w:r w:rsidR="00F5362C" w:rsidRPr="001E6E9D">
        <w:rPr>
          <w:rFonts w:asciiTheme="minorHAnsi" w:hAnsiTheme="minorHAnsi" w:cstheme="minorHAnsi"/>
          <w:sz w:val="10"/>
          <w:szCs w:val="10"/>
        </w:rPr>
        <w:t>”), ou de normas posteriores que as alterem, substituam ou complementem, sendo a totalidade dos recursos captados na Emissão das Debêntures aplicados no custeio das despesas já incorridas nos 24 (vinte e quatro) meses anteriores à data de encerramento da Oferta, no pagamento de dívidas contratadas e novos investimentos relativos ao Projeto (conforme definido abaixo), tendo em vista o enquadramento do Projeto como projeto prioritário pelo protocolo de enquadramento realizado no Ministério de Minas e Energia (</w:t>
      </w:r>
      <w:r w:rsidR="000D5E35" w:rsidRPr="001E6E9D">
        <w:rPr>
          <w:rFonts w:asciiTheme="minorHAnsi" w:hAnsiTheme="minorHAnsi" w:cstheme="minorHAnsi"/>
          <w:sz w:val="10"/>
          <w:szCs w:val="10"/>
        </w:rPr>
        <w:t>“</w:t>
      </w:r>
      <w:r w:rsidR="00F5362C" w:rsidRPr="001E6E9D">
        <w:rPr>
          <w:rFonts w:asciiTheme="minorHAnsi" w:eastAsia="Times New Roman" w:hAnsiTheme="minorHAnsi" w:cstheme="minorHAnsi"/>
          <w:b/>
          <w:bCs/>
          <w:spacing w:val="-2"/>
          <w:sz w:val="10"/>
          <w:szCs w:val="10"/>
          <w:lang w:eastAsia="pt-BR"/>
        </w:rPr>
        <w:t>MME</w:t>
      </w:r>
      <w:r w:rsidR="00F5362C" w:rsidRPr="001E6E9D">
        <w:rPr>
          <w:rFonts w:asciiTheme="minorHAnsi" w:hAnsiTheme="minorHAnsi" w:cstheme="minorHAnsi"/>
          <w:sz w:val="10"/>
          <w:szCs w:val="10"/>
        </w:rPr>
        <w:t>”)</w:t>
      </w:r>
      <w:r w:rsidR="00F74BE4" w:rsidRPr="001E6E9D">
        <w:rPr>
          <w:rFonts w:asciiTheme="minorHAnsi" w:hAnsiTheme="minorHAnsi" w:cstheme="minorHAnsi"/>
          <w:sz w:val="10"/>
          <w:szCs w:val="10"/>
        </w:rPr>
        <w:t xml:space="preserve"> nº </w:t>
      </w:r>
      <w:r w:rsidR="00F74BE4" w:rsidRPr="001E6E9D">
        <w:rPr>
          <w:rFonts w:asciiTheme="minorHAnsi" w:hAnsiTheme="minorHAnsi" w:cstheme="minorHAnsi"/>
          <w:bCs/>
          <w:sz w:val="10"/>
          <w:szCs w:val="10"/>
        </w:rPr>
        <w:t>48340.006059/2024-62</w:t>
      </w:r>
      <w:r w:rsidR="00F5362C" w:rsidRPr="001E6E9D">
        <w:rPr>
          <w:rFonts w:asciiTheme="minorHAnsi" w:hAnsiTheme="minorHAnsi" w:cstheme="minorHAnsi"/>
          <w:sz w:val="10"/>
          <w:szCs w:val="10"/>
        </w:rPr>
        <w:t xml:space="preserve">,em </w:t>
      </w:r>
      <w:r w:rsidR="00F74BE4" w:rsidRPr="001E6E9D">
        <w:rPr>
          <w:rFonts w:asciiTheme="minorHAnsi" w:hAnsiTheme="minorHAnsi" w:cstheme="minorHAnsi"/>
          <w:sz w:val="10"/>
          <w:szCs w:val="10"/>
        </w:rPr>
        <w:t xml:space="preserve">4 </w:t>
      </w:r>
      <w:r w:rsidR="00F5362C" w:rsidRPr="001E6E9D">
        <w:rPr>
          <w:rFonts w:asciiTheme="minorHAnsi" w:hAnsiTheme="minorHAnsi" w:cstheme="minorHAnsi"/>
          <w:sz w:val="10"/>
          <w:szCs w:val="10"/>
        </w:rPr>
        <w:t xml:space="preserve">de </w:t>
      </w:r>
      <w:r w:rsidR="00F74BE4" w:rsidRPr="001E6E9D">
        <w:rPr>
          <w:rFonts w:asciiTheme="minorHAnsi" w:hAnsiTheme="minorHAnsi" w:cstheme="minorHAnsi"/>
          <w:sz w:val="10"/>
          <w:szCs w:val="10"/>
        </w:rPr>
        <w:t xml:space="preserve">dezembro </w:t>
      </w:r>
      <w:r w:rsidR="00F5362C" w:rsidRPr="001E6E9D">
        <w:rPr>
          <w:rFonts w:asciiTheme="minorHAnsi" w:hAnsiTheme="minorHAnsi" w:cstheme="minorHAnsi"/>
          <w:sz w:val="10"/>
          <w:szCs w:val="10"/>
        </w:rPr>
        <w:t>de 2024, nos termos do artigo 2º, parágrafos 1º, 1º-A e 1º-B, da Lei 12.431, do Decreto 11.964 e da Resolução do CMN nº 5.034, de 21 de julho de 2022</w:t>
      </w:r>
      <w:r w:rsidRPr="001E6E9D">
        <w:rPr>
          <w:rFonts w:asciiTheme="minorHAnsi" w:eastAsia="Times New Roman" w:hAnsiTheme="minorHAnsi" w:cstheme="minorHAnsi"/>
          <w:spacing w:val="-2"/>
          <w:sz w:val="10"/>
          <w:szCs w:val="10"/>
          <w:lang w:eastAsia="pt-BR"/>
        </w:rPr>
        <w:t xml:space="preserve">, sendo certo que os </w:t>
      </w:r>
      <w:r w:rsidR="00804375" w:rsidRPr="001E6E9D">
        <w:rPr>
          <w:rFonts w:asciiTheme="minorHAnsi" w:eastAsia="Times New Roman" w:hAnsiTheme="minorHAnsi" w:cstheme="minorHAnsi"/>
          <w:spacing w:val="-2"/>
          <w:sz w:val="10"/>
          <w:szCs w:val="10"/>
          <w:lang w:eastAsia="pt-BR"/>
        </w:rPr>
        <w:t xml:space="preserve">recursos obtidos pela Emissora por meio da Oferta serão destinados, nos termos do artigo 2º, parágrafo 1º, da Lei 12.431, do Decreto 8.874 e da Resolução CMN 5.034, exclusivamente para </w:t>
      </w:r>
      <w:r w:rsidR="00804375" w:rsidRPr="001E6E9D">
        <w:rPr>
          <w:rFonts w:asciiTheme="minorHAnsi" w:eastAsia="Times New Roman" w:hAnsiTheme="minorHAnsi" w:cstheme="minorHAnsi"/>
          <w:b/>
          <w:spacing w:val="-2"/>
          <w:sz w:val="10"/>
          <w:szCs w:val="10"/>
          <w:lang w:eastAsia="pt-BR"/>
        </w:rPr>
        <w:t>(i)</w:t>
      </w:r>
      <w:r w:rsidR="00804375" w:rsidRPr="001E6E9D">
        <w:rPr>
          <w:rFonts w:asciiTheme="minorHAnsi" w:eastAsia="Times New Roman" w:hAnsiTheme="minorHAnsi" w:cstheme="minorHAnsi"/>
          <w:spacing w:val="-2"/>
          <w:sz w:val="10"/>
          <w:szCs w:val="10"/>
          <w:lang w:eastAsia="pt-BR"/>
        </w:rPr>
        <w:t xml:space="preserve"> o pagamento de despesas e gastos futuros</w:t>
      </w:r>
      <w:r w:rsidR="00CB5D22" w:rsidRPr="001E6E9D">
        <w:rPr>
          <w:rFonts w:asciiTheme="minorHAnsi" w:eastAsia="Times New Roman" w:hAnsiTheme="minorHAnsi" w:cstheme="minorHAnsi"/>
          <w:spacing w:val="-2"/>
          <w:sz w:val="10"/>
          <w:szCs w:val="10"/>
          <w:lang w:eastAsia="pt-BR"/>
        </w:rPr>
        <w:t>;</w:t>
      </w:r>
      <w:r w:rsidR="00804375" w:rsidRPr="001E6E9D">
        <w:rPr>
          <w:rFonts w:asciiTheme="minorHAnsi" w:eastAsia="Times New Roman" w:hAnsiTheme="minorHAnsi" w:cstheme="minorHAnsi"/>
          <w:spacing w:val="-2"/>
          <w:sz w:val="10"/>
          <w:szCs w:val="10"/>
          <w:lang w:eastAsia="pt-BR"/>
        </w:rPr>
        <w:t xml:space="preserve"> e/ou </w:t>
      </w:r>
      <w:r w:rsidR="00804375" w:rsidRPr="001E6E9D">
        <w:rPr>
          <w:rFonts w:asciiTheme="minorHAnsi" w:eastAsia="Times New Roman" w:hAnsiTheme="minorHAnsi" w:cstheme="minorHAnsi"/>
          <w:b/>
          <w:spacing w:val="-2"/>
          <w:sz w:val="10"/>
          <w:szCs w:val="10"/>
          <w:lang w:eastAsia="pt-BR"/>
        </w:rPr>
        <w:t>(ii)</w:t>
      </w:r>
      <w:r w:rsidR="00804375" w:rsidRPr="001E6E9D">
        <w:rPr>
          <w:rFonts w:asciiTheme="minorHAnsi" w:eastAsia="Times New Roman" w:hAnsiTheme="minorHAnsi" w:cstheme="minorHAnsi"/>
          <w:spacing w:val="-2"/>
          <w:sz w:val="10"/>
          <w:szCs w:val="10"/>
          <w:lang w:eastAsia="pt-BR"/>
        </w:rPr>
        <w:t xml:space="preserve"> o reembolso de despesas e/ou gastos incorridos em um período igual ou inferior a 24 (vinte e quatro) meses anteriores a data de encerramento da Oferta; em ambos os casos relacionados ao projeto, conforme detalhado neste Prospecto (</w:t>
      </w:r>
      <w:r w:rsidR="000D5E35" w:rsidRPr="001E6E9D">
        <w:rPr>
          <w:rFonts w:asciiTheme="minorHAnsi" w:eastAsia="Times New Roman" w:hAnsiTheme="minorHAnsi" w:cstheme="minorHAnsi"/>
          <w:spacing w:val="-2"/>
          <w:sz w:val="10"/>
          <w:szCs w:val="10"/>
          <w:lang w:eastAsia="pt-BR"/>
        </w:rPr>
        <w:t>“</w:t>
      </w:r>
      <w:r w:rsidR="00804375" w:rsidRPr="001E6E9D">
        <w:rPr>
          <w:rFonts w:asciiTheme="minorHAnsi" w:eastAsia="Times New Roman" w:hAnsiTheme="minorHAnsi" w:cstheme="minorHAnsi"/>
          <w:b/>
          <w:bCs/>
          <w:spacing w:val="-2"/>
          <w:sz w:val="10"/>
          <w:szCs w:val="10"/>
          <w:lang w:eastAsia="pt-BR"/>
        </w:rPr>
        <w:t>Projeto</w:t>
      </w:r>
      <w:r w:rsidR="0080437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spacing w:val="-2"/>
          <w:sz w:val="10"/>
          <w:szCs w:val="10"/>
          <w:lang w:eastAsia="pt-BR"/>
        </w:rPr>
        <w:t xml:space="preserve">. </w:t>
      </w:r>
      <w:r w:rsidR="00804375" w:rsidRPr="001E6E9D">
        <w:rPr>
          <w:rFonts w:asciiTheme="minorHAnsi" w:eastAsia="Times New Roman" w:hAnsiTheme="minorHAnsi" w:cstheme="minorHAnsi"/>
          <w:spacing w:val="-2"/>
          <w:sz w:val="10"/>
          <w:szCs w:val="10"/>
          <w:lang w:eastAsia="pt-BR"/>
        </w:rPr>
        <w:t>O Valor Nominal Unitário ou saldo do Valor Nominal Unitário das Debêntures, conforme o caso, será atualizado monetariamente pela variação do IPCA – Índice Nacional de Preços ao Consumidor Amplo calculado (</w:t>
      </w:r>
      <w:r w:rsidR="000D5E35" w:rsidRPr="001E6E9D">
        <w:rPr>
          <w:rFonts w:asciiTheme="minorHAnsi" w:eastAsia="Times New Roman" w:hAnsiTheme="minorHAnsi" w:cstheme="minorHAnsi"/>
          <w:spacing w:val="-2"/>
          <w:sz w:val="10"/>
          <w:szCs w:val="10"/>
          <w:lang w:eastAsia="pt-BR"/>
        </w:rPr>
        <w:t>“</w:t>
      </w:r>
      <w:r w:rsidR="00804375" w:rsidRPr="001E6E9D">
        <w:rPr>
          <w:rFonts w:asciiTheme="minorHAnsi" w:eastAsia="Times New Roman" w:hAnsiTheme="minorHAnsi" w:cstheme="minorHAnsi"/>
          <w:b/>
          <w:bCs/>
          <w:spacing w:val="-2"/>
          <w:sz w:val="10"/>
          <w:szCs w:val="10"/>
          <w:lang w:eastAsia="pt-BR"/>
        </w:rPr>
        <w:t>IPCA</w:t>
      </w:r>
      <w:r w:rsidR="00804375" w:rsidRPr="001E6E9D">
        <w:rPr>
          <w:rFonts w:asciiTheme="minorHAnsi" w:eastAsia="Times New Roman" w:hAnsiTheme="minorHAnsi" w:cstheme="minorHAnsi"/>
          <w:spacing w:val="-2"/>
          <w:sz w:val="10"/>
          <w:szCs w:val="10"/>
          <w:lang w:eastAsia="pt-BR"/>
        </w:rPr>
        <w:t>”), apurado e divulgado pelo IBGE – Instituto Brasileiro de Geografia e Estatística (</w:t>
      </w:r>
      <w:r w:rsidR="000D5E35" w:rsidRPr="001E6E9D">
        <w:rPr>
          <w:rFonts w:asciiTheme="minorHAnsi" w:eastAsia="Times New Roman" w:hAnsiTheme="minorHAnsi" w:cstheme="minorHAnsi"/>
          <w:spacing w:val="-2"/>
          <w:sz w:val="10"/>
          <w:szCs w:val="10"/>
          <w:lang w:eastAsia="pt-BR"/>
        </w:rPr>
        <w:t>“</w:t>
      </w:r>
      <w:r w:rsidR="00804375" w:rsidRPr="001E6E9D">
        <w:rPr>
          <w:rFonts w:asciiTheme="minorHAnsi" w:eastAsia="Times New Roman" w:hAnsiTheme="minorHAnsi" w:cstheme="minorHAnsi"/>
          <w:b/>
          <w:bCs/>
          <w:spacing w:val="-2"/>
          <w:sz w:val="10"/>
          <w:szCs w:val="10"/>
          <w:lang w:eastAsia="pt-BR"/>
        </w:rPr>
        <w:t>IBGE</w:t>
      </w:r>
      <w:r w:rsidR="00804375" w:rsidRPr="001E6E9D">
        <w:rPr>
          <w:rFonts w:asciiTheme="minorHAnsi" w:eastAsia="Times New Roman" w:hAnsiTheme="minorHAnsi" w:cstheme="minorHAnsi"/>
          <w:spacing w:val="-2"/>
          <w:sz w:val="10"/>
          <w:szCs w:val="10"/>
          <w:lang w:eastAsia="pt-BR"/>
        </w:rPr>
        <w:t>”), desde a Data de Início da Rentabilidade até a data do efetivo pagamento (</w:t>
      </w:r>
      <w:r w:rsidR="000D5E35" w:rsidRPr="001E6E9D">
        <w:rPr>
          <w:rFonts w:asciiTheme="minorHAnsi" w:eastAsia="Times New Roman" w:hAnsiTheme="minorHAnsi" w:cstheme="minorHAnsi"/>
          <w:spacing w:val="-2"/>
          <w:sz w:val="10"/>
          <w:szCs w:val="10"/>
          <w:lang w:eastAsia="pt-BR"/>
        </w:rPr>
        <w:t>“</w:t>
      </w:r>
      <w:r w:rsidR="00804375" w:rsidRPr="001E6E9D">
        <w:rPr>
          <w:rFonts w:asciiTheme="minorHAnsi" w:eastAsia="Times New Roman" w:hAnsiTheme="minorHAnsi" w:cstheme="minorHAnsi"/>
          <w:b/>
          <w:bCs/>
          <w:spacing w:val="-2"/>
          <w:sz w:val="10"/>
          <w:szCs w:val="10"/>
          <w:lang w:eastAsia="pt-BR"/>
        </w:rPr>
        <w:t>Atualização Monetária</w:t>
      </w:r>
      <w:r w:rsidR="00804375" w:rsidRPr="001E6E9D">
        <w:rPr>
          <w:rFonts w:asciiTheme="minorHAnsi" w:eastAsia="Times New Roman" w:hAnsiTheme="minorHAnsi" w:cstheme="minorHAnsi"/>
          <w:spacing w:val="-2"/>
          <w:sz w:val="10"/>
          <w:szCs w:val="10"/>
          <w:lang w:eastAsia="pt-BR"/>
        </w:rPr>
        <w:t>”), sendo o produto da Atualização Monetária automaticamente incorporado ao Valor Nominal Unitário das Debêntures ou ao saldo do Valor Nominal Unitário das Debêntures, conforme o caso (</w:t>
      </w:r>
      <w:r w:rsidR="000D5E35" w:rsidRPr="001E6E9D">
        <w:rPr>
          <w:rFonts w:asciiTheme="minorHAnsi" w:eastAsia="Times New Roman" w:hAnsiTheme="minorHAnsi" w:cstheme="minorHAnsi"/>
          <w:spacing w:val="-2"/>
          <w:sz w:val="10"/>
          <w:szCs w:val="10"/>
          <w:lang w:eastAsia="pt-BR"/>
        </w:rPr>
        <w:t>“</w:t>
      </w:r>
      <w:r w:rsidR="00804375" w:rsidRPr="001E6E9D">
        <w:rPr>
          <w:rFonts w:asciiTheme="minorHAnsi" w:eastAsia="Times New Roman" w:hAnsiTheme="minorHAnsi" w:cstheme="minorHAnsi"/>
          <w:b/>
          <w:bCs/>
          <w:spacing w:val="-2"/>
          <w:sz w:val="10"/>
          <w:szCs w:val="10"/>
          <w:lang w:eastAsia="pt-BR"/>
        </w:rPr>
        <w:t>Valor Nominal Atualizado</w:t>
      </w:r>
      <w:r w:rsidR="00804375" w:rsidRPr="001E6E9D">
        <w:rPr>
          <w:rFonts w:asciiTheme="minorHAnsi" w:eastAsia="Times New Roman" w:hAnsiTheme="minorHAnsi" w:cstheme="minorHAnsi"/>
          <w:spacing w:val="-2"/>
          <w:sz w:val="10"/>
          <w:szCs w:val="10"/>
          <w:lang w:eastAsia="pt-BR"/>
        </w:rPr>
        <w:t>”)</w:t>
      </w:r>
      <w:r w:rsidRPr="001E6E9D">
        <w:rPr>
          <w:rFonts w:asciiTheme="minorHAnsi" w:eastAsia="Times New Roman" w:hAnsiTheme="minorHAnsi" w:cstheme="minorHAnsi"/>
          <w:spacing w:val="-2"/>
          <w:sz w:val="10"/>
          <w:szCs w:val="10"/>
          <w:lang w:eastAsia="pt-BR"/>
        </w:rPr>
        <w:t xml:space="preserve">. </w:t>
      </w:r>
      <w:r w:rsidR="00B2413C" w:rsidRPr="002E5F78">
        <w:rPr>
          <w:rFonts w:asciiTheme="minorHAnsi" w:eastAsia="Times New Roman" w:hAnsiTheme="minorHAnsi" w:cstheme="minorHAnsi"/>
          <w:spacing w:val="-2"/>
          <w:sz w:val="10"/>
          <w:szCs w:val="10"/>
          <w:lang w:eastAsia="pt-BR"/>
        </w:rPr>
        <w:t xml:space="preserve">Sobre o Valor Nominal Atualizado das Debêntures incidirão juros remuneratórios equivalentes a </w:t>
      </w:r>
      <w:r w:rsidR="00AC236D" w:rsidRPr="00AC236D">
        <w:rPr>
          <w:rFonts w:asciiTheme="minorHAnsi" w:eastAsia="Times New Roman" w:hAnsiTheme="minorHAnsi" w:cstheme="minorHAnsi"/>
          <w:spacing w:val="-2"/>
          <w:sz w:val="10"/>
          <w:szCs w:val="10"/>
          <w:lang w:eastAsia="pt-BR"/>
        </w:rPr>
        <w:t>8,6895% (oito inteiros e seis mil oitocentos e noventa e cinco décimos de milésimo por cento</w:t>
      </w:r>
      <w:r w:rsidR="00B2413C" w:rsidRPr="002E5F78">
        <w:rPr>
          <w:rFonts w:asciiTheme="minorHAnsi" w:eastAsia="Times New Roman" w:hAnsiTheme="minorHAnsi" w:cstheme="minorHAnsi"/>
          <w:spacing w:val="-2"/>
          <w:sz w:val="10"/>
          <w:szCs w:val="10"/>
          <w:lang w:eastAsia="pt-BR"/>
        </w:rPr>
        <w:t xml:space="preserve">) ao ano, base 252 (duzentos e cinquenta e dois) Dias Úteis, calculado de forma exponencial e cumulativa </w:t>
      </w:r>
      <w:r w:rsidR="00B2413C" w:rsidRPr="002E5F78">
        <w:rPr>
          <w:rFonts w:asciiTheme="minorHAnsi" w:eastAsia="Times New Roman" w:hAnsiTheme="minorHAnsi" w:cstheme="minorHAnsi"/>
          <w:i/>
          <w:iCs/>
          <w:spacing w:val="-2"/>
          <w:sz w:val="10"/>
          <w:szCs w:val="10"/>
          <w:lang w:eastAsia="pt-BR"/>
        </w:rPr>
        <w:t>pro rata temporis</w:t>
      </w:r>
      <w:r w:rsidR="00B2413C" w:rsidRPr="002E5F78">
        <w:rPr>
          <w:rFonts w:asciiTheme="minorHAnsi" w:eastAsia="Times New Roman" w:hAnsiTheme="minorHAnsi" w:cstheme="minorHAnsi"/>
          <w:spacing w:val="-2"/>
          <w:sz w:val="10"/>
          <w:szCs w:val="10"/>
          <w:lang w:eastAsia="pt-BR"/>
        </w:rPr>
        <w:t xml:space="preserve"> por Dias Úteis decorridos (“</w:t>
      </w:r>
      <w:r w:rsidR="00B2413C" w:rsidRPr="002E5F78">
        <w:rPr>
          <w:rFonts w:asciiTheme="minorHAnsi" w:eastAsia="Times New Roman" w:hAnsiTheme="minorHAnsi" w:cstheme="minorHAnsi"/>
          <w:b/>
          <w:bCs/>
          <w:spacing w:val="-2"/>
          <w:sz w:val="10"/>
          <w:szCs w:val="10"/>
          <w:lang w:eastAsia="pt-BR"/>
        </w:rPr>
        <w:t>Juros Remuneratórios</w:t>
      </w:r>
      <w:r w:rsidR="00B2413C" w:rsidRPr="002E5F78">
        <w:rPr>
          <w:rFonts w:asciiTheme="minorHAnsi" w:eastAsia="Times New Roman" w:hAnsiTheme="minorHAnsi" w:cstheme="minorHAnsi"/>
          <w:spacing w:val="-2"/>
          <w:sz w:val="10"/>
          <w:szCs w:val="10"/>
          <w:lang w:eastAsia="pt-BR"/>
        </w:rPr>
        <w:t>”)</w:t>
      </w:r>
      <w:r w:rsidR="0081331B" w:rsidRPr="001E6E9D">
        <w:rPr>
          <w:rFonts w:asciiTheme="minorHAnsi" w:eastAsia="Times New Roman" w:hAnsiTheme="minorHAnsi" w:cstheme="minorHAnsi"/>
          <w:spacing w:val="-2"/>
          <w:sz w:val="10"/>
          <w:szCs w:val="10"/>
          <w:lang w:eastAsia="pt-BR" w:bidi="pt-BR"/>
        </w:rPr>
        <w:t>, incidentes desde a Data de Início da Rentabilidade ou a Data de Pagamento dos Juros Remuneratórios (conforme definida abaixo) imediatamente anterior, conforme o caso, até a data do efetivo pagamento</w:t>
      </w:r>
      <w:r w:rsidRPr="001E6E9D">
        <w:rPr>
          <w:rFonts w:asciiTheme="minorHAnsi" w:eastAsia="Times New Roman" w:hAnsiTheme="minorHAnsi" w:cstheme="minorHAnsi"/>
          <w:spacing w:val="-2"/>
          <w:sz w:val="10"/>
          <w:szCs w:val="10"/>
          <w:lang w:eastAsia="pt-BR"/>
        </w:rPr>
        <w:t xml:space="preserve">. As Debêntures serão depositadas para: </w:t>
      </w:r>
      <w:r w:rsidRPr="001E6E9D">
        <w:rPr>
          <w:rFonts w:asciiTheme="minorHAnsi" w:eastAsia="Times New Roman" w:hAnsiTheme="minorHAnsi" w:cstheme="minorHAnsi"/>
          <w:b/>
          <w:bCs/>
          <w:spacing w:val="-2"/>
          <w:sz w:val="10"/>
          <w:szCs w:val="10"/>
          <w:lang w:eastAsia="pt-BR"/>
        </w:rPr>
        <w:t>(i)</w:t>
      </w:r>
      <w:r w:rsidRPr="001E6E9D">
        <w:rPr>
          <w:rFonts w:asciiTheme="minorHAnsi" w:eastAsia="Times New Roman" w:hAnsiTheme="minorHAnsi" w:cstheme="minorHAnsi"/>
          <w:spacing w:val="-2"/>
          <w:sz w:val="10"/>
          <w:szCs w:val="10"/>
          <w:lang w:eastAsia="pt-BR"/>
        </w:rPr>
        <w:t xml:space="preserve"> </w:t>
      </w:r>
      <w:r w:rsidRPr="001E6E9D">
        <w:rPr>
          <w:rFonts w:asciiTheme="minorHAnsi" w:eastAsia="Calibri" w:hAnsiTheme="minorHAnsi" w:cstheme="minorHAnsi"/>
          <w:spacing w:val="-2"/>
          <w:sz w:val="10"/>
          <w:szCs w:val="10"/>
        </w:rPr>
        <w:t>distribuição no mercado primário por meio do MDA – Módulo de Distribuição de Ativos</w:t>
      </w:r>
      <w:r w:rsidRPr="001E6E9D">
        <w:rPr>
          <w:rFonts w:asciiTheme="minorHAnsi" w:eastAsia="Times New Roman" w:hAnsiTheme="minorHAnsi" w:cstheme="minorHAnsi"/>
          <w:spacing w:val="-2"/>
          <w:sz w:val="10"/>
          <w:szCs w:val="10"/>
          <w:lang w:eastAsia="pt-BR"/>
        </w:rPr>
        <w:t xml:space="preserve"> (</w:t>
      </w:r>
      <w:r w:rsidR="000D5E35" w:rsidRPr="001E6E9D">
        <w:rPr>
          <w:rFonts w:asciiTheme="minorHAnsi" w:eastAsia="Times New Roman" w:hAnsiTheme="minorHAnsi" w:cstheme="minorHAnsi"/>
          <w:spacing w:val="-2"/>
          <w:sz w:val="10"/>
          <w:szCs w:val="10"/>
          <w:lang w:eastAsia="pt-BR"/>
        </w:rPr>
        <w:t>“</w:t>
      </w:r>
      <w:r w:rsidRPr="001E6E9D">
        <w:rPr>
          <w:rFonts w:asciiTheme="minorHAnsi" w:eastAsia="Calibri" w:hAnsiTheme="minorHAnsi" w:cstheme="minorHAnsi"/>
          <w:b/>
          <w:bCs/>
          <w:spacing w:val="-2"/>
          <w:sz w:val="10"/>
          <w:szCs w:val="10"/>
        </w:rPr>
        <w:t>MDA</w:t>
      </w:r>
      <w:r w:rsidRPr="001E6E9D">
        <w:rPr>
          <w:rFonts w:asciiTheme="minorHAnsi" w:eastAsia="Times New Roman" w:hAnsiTheme="minorHAnsi" w:cstheme="minorHAnsi"/>
          <w:spacing w:val="-2"/>
          <w:sz w:val="10"/>
          <w:szCs w:val="10"/>
          <w:lang w:eastAsia="pt-BR"/>
        </w:rPr>
        <w:t>”)</w:t>
      </w:r>
      <w:r w:rsidRPr="001E6E9D">
        <w:rPr>
          <w:rFonts w:asciiTheme="minorHAnsi" w:eastAsia="Calibri" w:hAnsiTheme="minorHAnsi" w:cstheme="minorHAnsi"/>
          <w:spacing w:val="-2"/>
          <w:sz w:val="10"/>
          <w:szCs w:val="10"/>
        </w:rPr>
        <w:t>, administrado e operacionalizado pela B3 S.A. – Brasil, Bolsa, Balcão – Balcão B3 (</w:t>
      </w:r>
      <w:r w:rsidR="000D5E35" w:rsidRPr="001E6E9D">
        <w:rPr>
          <w:rFonts w:asciiTheme="minorHAnsi" w:eastAsia="Calibri" w:hAnsiTheme="minorHAnsi" w:cstheme="minorHAnsi"/>
          <w:spacing w:val="-2"/>
          <w:sz w:val="10"/>
          <w:szCs w:val="10"/>
        </w:rPr>
        <w:t>“</w:t>
      </w:r>
      <w:r w:rsidRPr="001E6E9D">
        <w:rPr>
          <w:rFonts w:asciiTheme="minorHAnsi" w:eastAsia="Calibri" w:hAnsiTheme="minorHAnsi" w:cstheme="minorHAnsi"/>
          <w:b/>
          <w:bCs/>
          <w:spacing w:val="-2"/>
          <w:sz w:val="10"/>
          <w:szCs w:val="10"/>
        </w:rPr>
        <w:t>B3</w:t>
      </w:r>
      <w:r w:rsidRPr="001E6E9D">
        <w:rPr>
          <w:rFonts w:asciiTheme="minorHAnsi" w:eastAsia="Calibri" w:hAnsiTheme="minorHAnsi" w:cstheme="minorHAnsi"/>
          <w:spacing w:val="-2"/>
          <w:sz w:val="10"/>
          <w:szCs w:val="10"/>
        </w:rPr>
        <w:t>”), sendo a distribuição liquidada financeiramente por meio da B3</w:t>
      </w:r>
      <w:r w:rsidRPr="001E6E9D">
        <w:rPr>
          <w:rFonts w:asciiTheme="minorHAnsi" w:eastAsia="Times New Roman" w:hAnsiTheme="minorHAnsi" w:cstheme="minorHAnsi"/>
          <w:spacing w:val="-2"/>
          <w:sz w:val="10"/>
          <w:szCs w:val="10"/>
          <w:lang w:eastAsia="pt-BR"/>
        </w:rPr>
        <w:t xml:space="preserve">; e </w:t>
      </w:r>
      <w:r w:rsidRPr="001E6E9D">
        <w:rPr>
          <w:rFonts w:asciiTheme="minorHAnsi" w:eastAsia="Times New Roman" w:hAnsiTheme="minorHAnsi" w:cstheme="minorHAnsi"/>
          <w:b/>
          <w:bCs/>
          <w:spacing w:val="-2"/>
          <w:sz w:val="10"/>
          <w:szCs w:val="10"/>
          <w:lang w:eastAsia="pt-BR"/>
        </w:rPr>
        <w:t>(ii)</w:t>
      </w:r>
      <w:r w:rsidRPr="001E6E9D">
        <w:rPr>
          <w:rFonts w:asciiTheme="minorHAnsi" w:eastAsia="Times New Roman" w:hAnsiTheme="minorHAnsi" w:cstheme="minorHAnsi"/>
          <w:spacing w:val="-2"/>
          <w:sz w:val="10"/>
          <w:szCs w:val="10"/>
          <w:lang w:eastAsia="pt-BR"/>
        </w:rPr>
        <w:t xml:space="preserve"> </w:t>
      </w:r>
      <w:r w:rsidRPr="001E6E9D">
        <w:rPr>
          <w:rFonts w:asciiTheme="minorHAnsi" w:eastAsia="Calibri" w:hAnsiTheme="minorHAnsi" w:cstheme="minorHAnsi"/>
          <w:spacing w:val="-2"/>
          <w:sz w:val="10"/>
          <w:szCs w:val="10"/>
        </w:rPr>
        <w:t xml:space="preserve">observado o disposto na </w:t>
      </w:r>
      <w:r w:rsidRPr="001E6E9D">
        <w:rPr>
          <w:rFonts w:asciiTheme="minorHAnsi" w:eastAsia="Times New Roman" w:hAnsiTheme="minorHAnsi" w:cstheme="minorHAnsi"/>
          <w:spacing w:val="-2"/>
          <w:sz w:val="10"/>
          <w:szCs w:val="10"/>
          <w:lang w:eastAsia="pt-BR"/>
        </w:rPr>
        <w:t>Escritura de Emissão</w:t>
      </w:r>
      <w:r w:rsidRPr="001E6E9D">
        <w:rPr>
          <w:rFonts w:asciiTheme="minorHAnsi" w:eastAsia="Calibri" w:hAnsiTheme="minorHAnsi" w:cstheme="minorHAnsi"/>
          <w:spacing w:val="-2"/>
          <w:sz w:val="10"/>
          <w:szCs w:val="10"/>
        </w:rPr>
        <w:t xml:space="preserve">, negociação no mercado secundário por meio do CETIP21 – Títulos e Valores Mobiliários, administrado e operacionalizado pela B3, sendo as negociações liquidadas financeiramente na B3 </w:t>
      </w:r>
      <w:r w:rsidRPr="001E6E9D">
        <w:rPr>
          <w:rFonts w:asciiTheme="minorHAnsi" w:eastAsia="Calibri" w:hAnsiTheme="minorHAnsi" w:cstheme="minorHAnsi"/>
          <w:iCs/>
          <w:spacing w:val="-2"/>
          <w:sz w:val="10"/>
          <w:szCs w:val="10"/>
        </w:rPr>
        <w:t>e as Debêntures custodiadas eletronicamente na B3</w:t>
      </w:r>
      <w:r w:rsidRPr="001E6E9D">
        <w:rPr>
          <w:rFonts w:asciiTheme="minorHAnsi" w:eastAsia="Times New Roman" w:hAnsiTheme="minorHAnsi" w:cstheme="minorHAnsi"/>
          <w:spacing w:val="-2"/>
          <w:sz w:val="10"/>
          <w:szCs w:val="10"/>
          <w:lang w:eastAsia="pt-BR"/>
        </w:rPr>
        <w:t>.</w:t>
      </w:r>
      <w:r w:rsidR="00B2413C">
        <w:rPr>
          <w:rFonts w:asciiTheme="minorHAnsi" w:eastAsia="Times New Roman" w:hAnsiTheme="minorHAnsi" w:cstheme="minorHAnsi"/>
          <w:spacing w:val="-2"/>
          <w:sz w:val="10"/>
          <w:szCs w:val="10"/>
          <w:lang w:eastAsia="pt-BR"/>
        </w:rPr>
        <w:t xml:space="preserve"> O registro da Oferta foi automaticamente </w:t>
      </w:r>
      <w:r w:rsidR="00B2413C" w:rsidRPr="00332057">
        <w:rPr>
          <w:rFonts w:asciiTheme="minorHAnsi" w:eastAsia="Times New Roman" w:hAnsiTheme="minorHAnsi" w:cstheme="minorHAnsi"/>
          <w:spacing w:val="-2"/>
          <w:sz w:val="10"/>
          <w:szCs w:val="10"/>
          <w:lang w:eastAsia="pt-BR"/>
        </w:rPr>
        <w:t>concedido pela CVM em 0</w:t>
      </w:r>
      <w:r w:rsidR="002D21AA">
        <w:rPr>
          <w:rFonts w:asciiTheme="minorHAnsi" w:eastAsia="Times New Roman" w:hAnsiTheme="minorHAnsi" w:cstheme="minorHAnsi"/>
          <w:spacing w:val="-2"/>
          <w:sz w:val="10"/>
          <w:szCs w:val="10"/>
          <w:lang w:eastAsia="pt-BR"/>
        </w:rPr>
        <w:t>5</w:t>
      </w:r>
      <w:r w:rsidR="00B2413C" w:rsidRPr="00CC0854">
        <w:rPr>
          <w:rFonts w:asciiTheme="minorHAnsi" w:hAnsiTheme="minorHAnsi"/>
          <w:spacing w:val="-2"/>
          <w:sz w:val="10"/>
        </w:rPr>
        <w:t xml:space="preserve"> de fevereiro de 2025</w:t>
      </w:r>
      <w:r w:rsidRPr="00332057">
        <w:rPr>
          <w:rFonts w:asciiTheme="minorHAnsi" w:eastAsia="Times New Roman" w:hAnsiTheme="minorHAnsi" w:cstheme="minorHAnsi"/>
          <w:spacing w:val="-2"/>
          <w:sz w:val="10"/>
          <w:szCs w:val="10"/>
          <w:lang w:eastAsia="pt-BR"/>
        </w:rPr>
        <w:t>. Sujeita</w:t>
      </w:r>
      <w:r w:rsidRPr="00332057">
        <w:rPr>
          <w:rFonts w:asciiTheme="minorHAnsi" w:eastAsia="Calibri" w:hAnsiTheme="minorHAnsi" w:cstheme="minorHAnsi"/>
          <w:spacing w:val="-2"/>
          <w:sz w:val="10"/>
          <w:szCs w:val="10"/>
        </w:rPr>
        <w:t xml:space="preserve"> </w:t>
      </w:r>
      <w:r w:rsidRPr="00332057">
        <w:rPr>
          <w:rFonts w:asciiTheme="minorHAnsi" w:eastAsia="Times New Roman" w:hAnsiTheme="minorHAnsi" w:cstheme="minorHAnsi"/>
          <w:spacing w:val="-2"/>
          <w:sz w:val="10"/>
          <w:szCs w:val="10"/>
          <w:lang w:eastAsia="pt-BR"/>
        </w:rPr>
        <w:t>à</w:t>
      </w:r>
      <w:r w:rsidRPr="001E6E9D">
        <w:rPr>
          <w:rFonts w:asciiTheme="minorHAnsi" w:eastAsia="Calibri" w:hAnsiTheme="minorHAnsi" w:cstheme="minorHAnsi"/>
          <w:spacing w:val="-2"/>
          <w:sz w:val="10"/>
          <w:szCs w:val="10"/>
        </w:rPr>
        <w:t xml:space="preserve"> implementação da Condição Suspensiva (</w:t>
      </w:r>
      <w:r w:rsidRPr="001E6E9D">
        <w:rPr>
          <w:rFonts w:asciiTheme="minorHAnsi" w:eastAsia="Times New Roman" w:hAnsiTheme="minorHAnsi" w:cstheme="minorHAnsi"/>
          <w:spacing w:val="-2"/>
          <w:sz w:val="10"/>
          <w:szCs w:val="10"/>
          <w:lang w:eastAsia="pt-BR"/>
        </w:rPr>
        <w:t xml:space="preserve">conforme definido </w:t>
      </w:r>
      <w:r w:rsidR="0088402D" w:rsidRPr="001E6E9D">
        <w:rPr>
          <w:rFonts w:asciiTheme="minorHAnsi" w:eastAsia="Times New Roman" w:hAnsiTheme="minorHAnsi" w:cstheme="minorHAnsi"/>
          <w:spacing w:val="-2"/>
          <w:sz w:val="10"/>
          <w:szCs w:val="10"/>
          <w:lang w:eastAsia="pt-BR"/>
        </w:rPr>
        <w:t>abaixo</w:t>
      </w:r>
      <w:r w:rsidRPr="001E6E9D">
        <w:rPr>
          <w:rFonts w:asciiTheme="minorHAnsi" w:eastAsia="Calibri" w:hAnsiTheme="minorHAnsi" w:cstheme="minorHAnsi"/>
          <w:spacing w:val="-2"/>
          <w:sz w:val="10"/>
          <w:szCs w:val="10"/>
        </w:rPr>
        <w:t xml:space="preserve">), </w:t>
      </w:r>
      <w:r w:rsidRPr="001E6E9D">
        <w:rPr>
          <w:rFonts w:asciiTheme="minorHAnsi" w:eastAsia="Times New Roman" w:hAnsiTheme="minorHAnsi" w:cstheme="minorHAnsi"/>
          <w:spacing w:val="-2"/>
          <w:sz w:val="10"/>
          <w:szCs w:val="10"/>
          <w:lang w:eastAsia="pt-BR" w:bidi="pt-BR"/>
        </w:rPr>
        <w:t>para assegurar o fiel, e integral cumprimento de todas as Obrigações Garantidas (</w:t>
      </w:r>
      <w:r w:rsidRPr="001E6E9D">
        <w:rPr>
          <w:rFonts w:asciiTheme="minorHAnsi" w:eastAsia="Times New Roman" w:hAnsiTheme="minorHAnsi" w:cstheme="minorHAnsi"/>
          <w:spacing w:val="-2"/>
          <w:sz w:val="10"/>
          <w:szCs w:val="10"/>
          <w:lang w:eastAsia="pt-BR"/>
        </w:rPr>
        <w:t xml:space="preserve">conforme definido </w:t>
      </w:r>
      <w:r w:rsidR="0088402D" w:rsidRPr="001E6E9D">
        <w:rPr>
          <w:rFonts w:asciiTheme="minorHAnsi" w:eastAsia="Times New Roman" w:hAnsiTheme="minorHAnsi" w:cstheme="minorHAnsi"/>
          <w:spacing w:val="-2"/>
          <w:sz w:val="10"/>
          <w:szCs w:val="10"/>
          <w:lang w:eastAsia="pt-BR"/>
        </w:rPr>
        <w:t>abaixo</w:t>
      </w:r>
      <w:r w:rsidRPr="001E6E9D">
        <w:rPr>
          <w:rFonts w:asciiTheme="minorHAnsi" w:eastAsia="Times New Roman" w:hAnsiTheme="minorHAnsi" w:cstheme="minorHAnsi"/>
          <w:spacing w:val="-2"/>
          <w:sz w:val="10"/>
          <w:szCs w:val="10"/>
          <w:lang w:eastAsia="pt-BR" w:bidi="pt-BR"/>
        </w:rPr>
        <w:t xml:space="preserve">), </w:t>
      </w:r>
      <w:r w:rsidR="0088402D" w:rsidRPr="001E6E9D">
        <w:rPr>
          <w:rFonts w:asciiTheme="minorHAnsi" w:eastAsia="Times New Roman" w:hAnsiTheme="minorHAnsi" w:cstheme="minorHAnsi"/>
          <w:spacing w:val="-2"/>
          <w:sz w:val="10"/>
          <w:szCs w:val="10"/>
          <w:lang w:eastAsia="pt-BR" w:bidi="pt-BR"/>
        </w:rPr>
        <w:t>a Emissora</w:t>
      </w:r>
      <w:r w:rsidR="00FF777C" w:rsidRPr="001E6E9D">
        <w:rPr>
          <w:rFonts w:asciiTheme="minorHAnsi" w:eastAsia="Times New Roman" w:hAnsiTheme="minorHAnsi" w:cstheme="minorHAnsi"/>
          <w:spacing w:val="-2"/>
          <w:sz w:val="10"/>
          <w:szCs w:val="10"/>
          <w:lang w:eastAsia="pt-BR" w:bidi="pt-BR"/>
        </w:rPr>
        <w:t>,</w:t>
      </w:r>
      <w:r w:rsidR="0088402D" w:rsidRPr="001E6E9D">
        <w:rPr>
          <w:rFonts w:asciiTheme="minorHAnsi" w:eastAsia="Times New Roman" w:hAnsiTheme="minorHAnsi" w:cstheme="minorHAnsi"/>
          <w:spacing w:val="-2"/>
          <w:sz w:val="10"/>
          <w:szCs w:val="10"/>
          <w:lang w:eastAsia="pt-BR" w:bidi="pt-BR"/>
        </w:rPr>
        <w:t xml:space="preserve"> as Fiadoras</w:t>
      </w:r>
      <w:r w:rsidR="00FF777C" w:rsidRPr="001E6E9D">
        <w:rPr>
          <w:rFonts w:asciiTheme="minorHAnsi" w:eastAsia="Times New Roman" w:hAnsiTheme="minorHAnsi" w:cstheme="minorHAnsi"/>
          <w:spacing w:val="-2"/>
          <w:sz w:val="10"/>
          <w:szCs w:val="10"/>
          <w:lang w:eastAsia="pt-BR" w:bidi="pt-BR"/>
        </w:rPr>
        <w:t xml:space="preserve"> e as Acionistas</w:t>
      </w:r>
      <w:r w:rsidR="0088402D" w:rsidRPr="001E6E9D">
        <w:rPr>
          <w:rFonts w:asciiTheme="minorHAnsi" w:eastAsia="Times New Roman" w:hAnsiTheme="minorHAnsi" w:cstheme="minorHAnsi"/>
          <w:spacing w:val="-2"/>
          <w:sz w:val="10"/>
          <w:szCs w:val="10"/>
          <w:lang w:eastAsia="pt-BR" w:bidi="pt-BR"/>
        </w:rPr>
        <w:t xml:space="preserve">, conforme aplicável, comprometem-se a constituir </w:t>
      </w:r>
      <w:r w:rsidR="0088402D" w:rsidRPr="001E6E9D">
        <w:rPr>
          <w:rFonts w:asciiTheme="minorHAnsi" w:eastAsia="Times New Roman" w:hAnsiTheme="minorHAnsi" w:cstheme="minorHAnsi"/>
          <w:b/>
          <w:bCs/>
          <w:spacing w:val="-2"/>
          <w:sz w:val="10"/>
          <w:szCs w:val="10"/>
          <w:lang w:eastAsia="pt-BR" w:bidi="pt-BR"/>
        </w:rPr>
        <w:t>(a)</w:t>
      </w:r>
      <w:r w:rsidR="0088402D" w:rsidRPr="001E6E9D">
        <w:rPr>
          <w:rFonts w:asciiTheme="minorHAnsi" w:eastAsia="Times New Roman" w:hAnsiTheme="minorHAnsi" w:cstheme="minorHAnsi"/>
          <w:spacing w:val="-2"/>
          <w:sz w:val="10"/>
          <w:szCs w:val="10"/>
          <w:lang w:eastAsia="pt-BR" w:bidi="pt-BR"/>
        </w:rPr>
        <w:t xml:space="preserve"> a Alienação Fiduciária de Ações da Emissora</w:t>
      </w:r>
      <w:r w:rsidR="0088402D" w:rsidRPr="001E6E9D" w:rsidDel="0088402D">
        <w:rPr>
          <w:rFonts w:asciiTheme="minorHAnsi" w:eastAsia="Times New Roman" w:hAnsiTheme="minorHAnsi" w:cstheme="minorHAnsi"/>
          <w:spacing w:val="-2"/>
          <w:sz w:val="10"/>
          <w:szCs w:val="10"/>
          <w:lang w:eastAsia="pt-BR" w:bidi="pt-BR"/>
        </w:rPr>
        <w:t xml:space="preserve"> </w:t>
      </w:r>
      <w:r w:rsidR="0088402D" w:rsidRPr="001E6E9D">
        <w:rPr>
          <w:rFonts w:asciiTheme="minorHAnsi" w:eastAsia="Times New Roman" w:hAnsiTheme="minorHAnsi" w:cstheme="minorHAnsi"/>
          <w:spacing w:val="-2"/>
          <w:sz w:val="10"/>
          <w:szCs w:val="10"/>
          <w:lang w:eastAsia="pt-BR" w:bidi="pt-BR"/>
        </w:rPr>
        <w:t>e a Alienação Fiduciária de Quotas das SPEs</w:t>
      </w:r>
      <w:r w:rsidR="0088402D" w:rsidRPr="001E6E9D" w:rsidDel="0088402D">
        <w:rPr>
          <w:rFonts w:asciiTheme="minorHAnsi" w:eastAsia="Times New Roman" w:hAnsiTheme="minorHAnsi" w:cstheme="minorHAnsi"/>
          <w:spacing w:val="-2"/>
          <w:sz w:val="10"/>
          <w:szCs w:val="10"/>
          <w:lang w:eastAsia="pt-BR" w:bidi="pt-BR"/>
        </w:rPr>
        <w:t xml:space="preserve"> </w:t>
      </w:r>
      <w:r w:rsidR="0088402D" w:rsidRPr="001E6E9D">
        <w:rPr>
          <w:rFonts w:asciiTheme="minorHAnsi" w:eastAsia="Times New Roman" w:hAnsiTheme="minorHAnsi" w:cstheme="minorHAnsi"/>
          <w:spacing w:val="-2"/>
          <w:sz w:val="10"/>
          <w:szCs w:val="10"/>
          <w:lang w:eastAsia="pt-BR" w:bidi="pt-BR"/>
        </w:rPr>
        <w:t xml:space="preserve">(conforme abaixo definidos), </w:t>
      </w:r>
      <w:r w:rsidR="0088402D" w:rsidRPr="001E6E9D">
        <w:rPr>
          <w:rFonts w:asciiTheme="minorHAnsi" w:eastAsia="Times New Roman" w:hAnsiTheme="minorHAnsi" w:cstheme="minorHAnsi"/>
          <w:b/>
          <w:bCs/>
          <w:spacing w:val="-2"/>
          <w:sz w:val="10"/>
          <w:szCs w:val="10"/>
          <w:lang w:eastAsia="pt-BR" w:bidi="pt-BR"/>
        </w:rPr>
        <w:t>(b)</w:t>
      </w:r>
      <w:r w:rsidR="0088402D" w:rsidRPr="001E6E9D">
        <w:rPr>
          <w:rFonts w:asciiTheme="minorHAnsi" w:eastAsia="Times New Roman" w:hAnsiTheme="minorHAnsi" w:cstheme="minorHAnsi"/>
          <w:spacing w:val="-2"/>
          <w:sz w:val="10"/>
          <w:szCs w:val="10"/>
          <w:lang w:eastAsia="pt-BR" w:bidi="pt-BR"/>
        </w:rPr>
        <w:t xml:space="preserve"> a Alienação Fiduciária de Equipamentos</w:t>
      </w:r>
      <w:r w:rsidR="00C669D2" w:rsidRPr="001E6E9D">
        <w:rPr>
          <w:rFonts w:asciiTheme="minorHAnsi" w:eastAsia="Times New Roman" w:hAnsiTheme="minorHAnsi" w:cstheme="minorHAnsi"/>
          <w:spacing w:val="-2"/>
          <w:sz w:val="10"/>
          <w:szCs w:val="10"/>
          <w:lang w:eastAsia="pt-BR" w:bidi="pt-BR"/>
        </w:rPr>
        <w:t xml:space="preserve"> (conforme abaixo definido)</w:t>
      </w:r>
      <w:r w:rsidR="0088402D" w:rsidRPr="001E6E9D">
        <w:rPr>
          <w:rFonts w:asciiTheme="minorHAnsi" w:eastAsia="Times New Roman" w:hAnsiTheme="minorHAnsi" w:cstheme="minorHAnsi"/>
          <w:spacing w:val="-2"/>
          <w:sz w:val="10"/>
          <w:szCs w:val="10"/>
          <w:lang w:eastAsia="pt-BR" w:bidi="pt-BR"/>
        </w:rPr>
        <w:t xml:space="preserve">, </w:t>
      </w:r>
      <w:r w:rsidR="0088402D" w:rsidRPr="001E6E9D">
        <w:rPr>
          <w:rFonts w:asciiTheme="minorHAnsi" w:eastAsia="Times New Roman" w:hAnsiTheme="minorHAnsi" w:cstheme="minorHAnsi"/>
          <w:b/>
          <w:bCs/>
          <w:spacing w:val="-2"/>
          <w:sz w:val="10"/>
          <w:szCs w:val="10"/>
          <w:lang w:eastAsia="pt-BR" w:bidi="pt-BR"/>
        </w:rPr>
        <w:t>(c)</w:t>
      </w:r>
      <w:r w:rsidR="0088402D" w:rsidRPr="001E6E9D">
        <w:rPr>
          <w:rFonts w:asciiTheme="minorHAnsi" w:eastAsia="Times New Roman" w:hAnsiTheme="minorHAnsi" w:cstheme="minorHAnsi"/>
          <w:spacing w:val="-2"/>
          <w:sz w:val="10"/>
          <w:szCs w:val="10"/>
          <w:lang w:eastAsia="pt-BR" w:bidi="pt-BR"/>
        </w:rPr>
        <w:t xml:space="preserve"> </w:t>
      </w:r>
      <w:r w:rsidR="00C669D2" w:rsidRPr="001E6E9D">
        <w:rPr>
          <w:rFonts w:asciiTheme="minorHAnsi" w:eastAsia="Times New Roman" w:hAnsiTheme="minorHAnsi" w:cstheme="minorHAnsi"/>
          <w:spacing w:val="-2"/>
          <w:sz w:val="10"/>
          <w:szCs w:val="10"/>
          <w:lang w:eastAsia="pt-BR" w:bidi="pt-BR"/>
        </w:rPr>
        <w:t>a Cessão Fiduciária (conforme abaixo definido),</w:t>
      </w:r>
      <w:r w:rsidR="00667968" w:rsidRPr="001E6E9D">
        <w:rPr>
          <w:rFonts w:asciiTheme="minorHAnsi" w:eastAsia="Times New Roman" w:hAnsiTheme="minorHAnsi" w:cstheme="minorHAnsi"/>
          <w:spacing w:val="-2"/>
          <w:sz w:val="10"/>
          <w:szCs w:val="10"/>
          <w:lang w:eastAsia="pt-BR" w:bidi="pt-BR"/>
        </w:rPr>
        <w:t xml:space="preserve"> e</w:t>
      </w:r>
      <w:r w:rsidR="00C669D2" w:rsidRPr="001E6E9D">
        <w:rPr>
          <w:rFonts w:asciiTheme="minorHAnsi" w:eastAsia="Times New Roman" w:hAnsiTheme="minorHAnsi" w:cstheme="minorHAnsi"/>
          <w:spacing w:val="-2"/>
          <w:sz w:val="10"/>
          <w:szCs w:val="10"/>
          <w:lang w:eastAsia="pt-BR" w:bidi="pt-BR"/>
        </w:rPr>
        <w:t xml:space="preserve"> </w:t>
      </w:r>
      <w:r w:rsidR="00C669D2" w:rsidRPr="001E6E9D">
        <w:rPr>
          <w:rFonts w:asciiTheme="minorHAnsi" w:eastAsia="Times New Roman" w:hAnsiTheme="minorHAnsi" w:cstheme="minorHAnsi"/>
          <w:b/>
          <w:bCs/>
          <w:spacing w:val="-2"/>
          <w:sz w:val="10"/>
          <w:szCs w:val="10"/>
          <w:lang w:eastAsia="pt-BR" w:bidi="pt-BR"/>
        </w:rPr>
        <w:t>(d)</w:t>
      </w:r>
      <w:r w:rsidR="0088402D" w:rsidRPr="001E6E9D" w:rsidDel="0088402D">
        <w:rPr>
          <w:rFonts w:asciiTheme="minorHAnsi" w:eastAsia="Times New Roman" w:hAnsiTheme="minorHAnsi" w:cstheme="minorHAnsi"/>
          <w:b/>
          <w:bCs/>
          <w:spacing w:val="-2"/>
          <w:sz w:val="10"/>
          <w:szCs w:val="10"/>
          <w:lang w:eastAsia="pt-BR" w:bidi="pt-BR"/>
        </w:rPr>
        <w:t xml:space="preserve"> </w:t>
      </w:r>
      <w:r w:rsidR="00C669D2" w:rsidRPr="001E6E9D">
        <w:rPr>
          <w:rFonts w:asciiTheme="minorHAnsi" w:eastAsia="Times New Roman" w:hAnsiTheme="minorHAnsi" w:cstheme="minorHAnsi"/>
          <w:spacing w:val="-2"/>
          <w:sz w:val="10"/>
          <w:szCs w:val="10"/>
          <w:lang w:eastAsia="pt-BR" w:bidi="pt-BR"/>
        </w:rPr>
        <w:t>a Fiança</w:t>
      </w:r>
      <w:r w:rsidR="00C669D2" w:rsidRPr="001E6E9D" w:rsidDel="0088402D">
        <w:rPr>
          <w:rFonts w:asciiTheme="minorHAnsi" w:eastAsia="Times New Roman" w:hAnsiTheme="minorHAnsi" w:cstheme="minorHAnsi"/>
          <w:spacing w:val="-2"/>
          <w:sz w:val="10"/>
          <w:szCs w:val="10"/>
          <w:lang w:eastAsia="pt-BR" w:bidi="pt-BR"/>
        </w:rPr>
        <w:t xml:space="preserve"> </w:t>
      </w:r>
      <w:r w:rsidR="00C669D2" w:rsidRPr="001E6E9D">
        <w:rPr>
          <w:rFonts w:asciiTheme="minorHAnsi" w:eastAsia="Times New Roman" w:hAnsiTheme="minorHAnsi" w:cstheme="minorHAnsi"/>
          <w:spacing w:val="-2"/>
          <w:sz w:val="10"/>
          <w:szCs w:val="10"/>
          <w:lang w:eastAsia="pt-BR" w:bidi="pt-BR"/>
        </w:rPr>
        <w:t>(conforme abaixo definido)</w:t>
      </w:r>
      <w:bookmarkStart w:id="7" w:name="_Hlk146551040"/>
      <w:r w:rsidRPr="001E6E9D">
        <w:rPr>
          <w:rFonts w:asciiTheme="minorHAnsi" w:eastAsia="Arial Unicode MS" w:hAnsiTheme="minorHAnsi" w:cstheme="minorHAnsi"/>
          <w:bCs/>
          <w:spacing w:val="-2"/>
          <w:sz w:val="10"/>
          <w:szCs w:val="10"/>
          <w:lang w:eastAsia="pt-BR"/>
        </w:rPr>
        <w:t>. Para os fins deste Prospecto</w:t>
      </w:r>
      <w:r w:rsidR="00C669D2" w:rsidRPr="001E6E9D">
        <w:rPr>
          <w:rFonts w:asciiTheme="minorHAnsi" w:eastAsia="Arial Unicode MS" w:hAnsiTheme="minorHAnsi" w:cstheme="minorHAnsi"/>
          <w:bCs/>
          <w:spacing w:val="-2"/>
          <w:sz w:val="10"/>
          <w:szCs w:val="10"/>
          <w:lang w:eastAsia="pt-BR"/>
        </w:rPr>
        <w:t xml:space="preserve"> e da Escritura de Emissão</w:t>
      </w:r>
      <w:r w:rsidRPr="001E6E9D">
        <w:rPr>
          <w:rFonts w:asciiTheme="minorHAnsi" w:eastAsia="Arial Unicode MS" w:hAnsiTheme="minorHAnsi" w:cstheme="minorHAnsi"/>
          <w:bCs/>
          <w:spacing w:val="-2"/>
          <w:sz w:val="10"/>
          <w:szCs w:val="10"/>
          <w:lang w:eastAsia="pt-BR"/>
        </w:rPr>
        <w:t xml:space="preserve">, </w:t>
      </w:r>
      <w:r w:rsidR="000D5E35" w:rsidRPr="001E6E9D">
        <w:rPr>
          <w:rFonts w:asciiTheme="minorHAnsi" w:eastAsia="Arial Unicode MS" w:hAnsiTheme="minorHAnsi" w:cstheme="minorHAnsi"/>
          <w:bCs/>
          <w:spacing w:val="-2"/>
          <w:sz w:val="10"/>
          <w:szCs w:val="10"/>
          <w:lang w:eastAsia="pt-BR"/>
        </w:rPr>
        <w:t>“</w:t>
      </w:r>
      <w:r w:rsidRPr="001E6E9D">
        <w:rPr>
          <w:rFonts w:asciiTheme="minorHAnsi" w:eastAsia="Arial Unicode MS" w:hAnsiTheme="minorHAnsi" w:cstheme="minorHAnsi"/>
          <w:b/>
          <w:spacing w:val="-2"/>
          <w:sz w:val="10"/>
          <w:szCs w:val="10"/>
          <w:lang w:eastAsia="pt-BR"/>
        </w:rPr>
        <w:t>Dia</w:t>
      </w:r>
      <w:r w:rsidR="003E09A8" w:rsidRPr="001E6E9D">
        <w:rPr>
          <w:rFonts w:asciiTheme="minorHAnsi" w:eastAsia="Arial Unicode MS" w:hAnsiTheme="minorHAnsi" w:cstheme="minorHAnsi"/>
          <w:b/>
          <w:spacing w:val="-2"/>
          <w:sz w:val="10"/>
          <w:szCs w:val="10"/>
          <w:lang w:eastAsia="pt-BR"/>
        </w:rPr>
        <w:t> </w:t>
      </w:r>
      <w:r w:rsidRPr="001E6E9D">
        <w:rPr>
          <w:rFonts w:asciiTheme="minorHAnsi" w:eastAsia="Arial Unicode MS" w:hAnsiTheme="minorHAnsi" w:cstheme="minorHAnsi"/>
          <w:b/>
          <w:spacing w:val="-2"/>
          <w:sz w:val="10"/>
          <w:szCs w:val="10"/>
          <w:lang w:eastAsia="pt-BR"/>
        </w:rPr>
        <w:t>Útil</w:t>
      </w:r>
      <w:r w:rsidRPr="001E6E9D">
        <w:rPr>
          <w:rFonts w:asciiTheme="minorHAnsi" w:eastAsia="Arial Unicode MS" w:hAnsiTheme="minorHAnsi" w:cstheme="minorHAnsi"/>
          <w:bCs/>
          <w:spacing w:val="-2"/>
          <w:sz w:val="10"/>
          <w:szCs w:val="10"/>
          <w:lang w:eastAsia="pt-BR"/>
        </w:rPr>
        <w:t xml:space="preserve">” </w:t>
      </w:r>
      <w:r w:rsidR="00C669D2" w:rsidRPr="001E6E9D">
        <w:rPr>
          <w:rFonts w:asciiTheme="minorHAnsi" w:hAnsiTheme="minorHAnsi" w:cstheme="minorHAnsi"/>
          <w:sz w:val="10"/>
          <w:szCs w:val="10"/>
        </w:rPr>
        <w:t xml:space="preserve">significa </w:t>
      </w:r>
      <w:r w:rsidR="00C669D2" w:rsidRPr="001E6E9D">
        <w:rPr>
          <w:rFonts w:asciiTheme="minorHAnsi" w:hAnsiTheme="minorHAnsi" w:cstheme="minorHAnsi"/>
          <w:b/>
          <w:sz w:val="10"/>
          <w:szCs w:val="10"/>
        </w:rPr>
        <w:t>(i)</w:t>
      </w:r>
      <w:r w:rsidR="00C669D2" w:rsidRPr="001E6E9D">
        <w:rPr>
          <w:rFonts w:asciiTheme="minorHAnsi" w:hAnsiTheme="minorHAnsi" w:cstheme="minorHAnsi"/>
          <w:sz w:val="10"/>
          <w:szCs w:val="10"/>
        </w:rPr>
        <w:t xml:space="preserve"> qualquer dia que não seja sábado, domingo ou feriado declarado nacional, com relação a qualquer obrigação pecuniária realizada por meio da B3, inclusive para fins de cálculo; ou </w:t>
      </w:r>
      <w:r w:rsidR="00C669D2" w:rsidRPr="001E6E9D">
        <w:rPr>
          <w:rFonts w:asciiTheme="minorHAnsi" w:hAnsiTheme="minorHAnsi" w:cstheme="minorHAnsi"/>
          <w:b/>
          <w:sz w:val="10"/>
          <w:szCs w:val="10"/>
        </w:rPr>
        <w:t>(ii)</w:t>
      </w:r>
      <w:r w:rsidR="00C669D2" w:rsidRPr="001E6E9D">
        <w:rPr>
          <w:rFonts w:asciiTheme="minorHAnsi" w:hAnsiTheme="minorHAnsi" w:cstheme="minorHAnsi"/>
          <w:sz w:val="10"/>
          <w:szCs w:val="10"/>
        </w:rPr>
        <w:t xml:space="preserve"> qualquer dia que não seja sábado ou domingo, feriado declarado nacional ou em que não haja expediente nos bancos comerciais na Cidade de São Paulo, Estado de São Paulo, com relação à qualquer obrigação pecuniária que não seja realizada por meio da B3 ou demais obrigações previstas na Escritura de Emissão e no presente Prospecto. </w:t>
      </w:r>
    </w:p>
    <w:p w14:paraId="304C78B4" w14:textId="33D0B88F" w:rsidR="003468A1" w:rsidRPr="00FF699B" w:rsidRDefault="00E27592" w:rsidP="000C3C74">
      <w:pPr>
        <w:tabs>
          <w:tab w:val="left" w:pos="0"/>
        </w:tabs>
        <w:spacing w:before="40" w:after="40"/>
        <w:ind w:right="-1"/>
        <w:rPr>
          <w:rFonts w:asciiTheme="minorHAnsi" w:eastAsia="Arial Unicode MS" w:hAnsiTheme="minorHAnsi" w:cstheme="minorHAnsi"/>
          <w:bCs/>
          <w:spacing w:val="-4"/>
          <w:sz w:val="10"/>
          <w:szCs w:val="10"/>
          <w:lang w:eastAsia="pt-BR"/>
        </w:rPr>
      </w:pPr>
      <w:r w:rsidRPr="00FF699B">
        <w:rPr>
          <w:rFonts w:asciiTheme="minorHAnsi" w:hAnsiTheme="minorHAnsi" w:cstheme="minorHAnsi"/>
          <w:spacing w:val="-4"/>
          <w:sz w:val="10"/>
          <w:szCs w:val="10"/>
        </w:rPr>
        <w:t xml:space="preserve">As Debêntures serão caracterizadas como </w:t>
      </w:r>
      <w:r w:rsidR="000D5E35" w:rsidRPr="00FF699B">
        <w:rPr>
          <w:rFonts w:asciiTheme="minorHAnsi" w:hAnsiTheme="minorHAnsi" w:cstheme="minorHAnsi"/>
          <w:spacing w:val="-4"/>
          <w:sz w:val="10"/>
          <w:szCs w:val="10"/>
        </w:rPr>
        <w:t>“</w:t>
      </w:r>
      <w:r w:rsidRPr="00FF699B">
        <w:rPr>
          <w:rFonts w:asciiTheme="minorHAnsi" w:hAnsiTheme="minorHAnsi" w:cstheme="minorHAnsi"/>
          <w:b/>
          <w:bCs/>
          <w:spacing w:val="-4"/>
          <w:sz w:val="10"/>
          <w:szCs w:val="10"/>
        </w:rPr>
        <w:t>Debêntures Verdes</w:t>
      </w:r>
      <w:r w:rsidRPr="00FF699B">
        <w:rPr>
          <w:rFonts w:asciiTheme="minorHAnsi" w:hAnsiTheme="minorHAnsi" w:cstheme="minorHAnsi"/>
          <w:spacing w:val="-4"/>
          <w:sz w:val="10"/>
          <w:szCs w:val="10"/>
        </w:rPr>
        <w:t xml:space="preserve">” com base no compromisso da Emissora em destinar os recursos captados com as Debêntures para projetos operados pela Emissora </w:t>
      </w:r>
      <w:r w:rsidR="00FF777C" w:rsidRPr="00FF699B">
        <w:rPr>
          <w:rFonts w:asciiTheme="minorHAnsi" w:hAnsiTheme="minorHAnsi" w:cstheme="minorHAnsi"/>
          <w:spacing w:val="-4"/>
          <w:sz w:val="10"/>
          <w:szCs w:val="10"/>
        </w:rPr>
        <w:t>em linha com os Princípios para Títulos Verdes (Green Bond Principles) publicado pela International Capital Markets Association (ICMA) e com os Princípios para Empréstimos Verdes (Green Loan Principles) publicados pela Loan Market Association (LMA), Loan Syndications &amp; Trading Association (LSTA) e a Asia Pacific Loan Market Association (APLMA), e em conformidade com o Guia para Ofertas de Títulos Sustentáveis ANBIMA, bem como com o preenchimento dos Objetivos de Desenvolvimento Sustentávei (ODS) 7, 9 e 13,</w:t>
      </w:r>
      <w:r w:rsidRPr="00FF699B">
        <w:rPr>
          <w:rFonts w:asciiTheme="minorHAnsi" w:hAnsiTheme="minorHAnsi" w:cstheme="minorHAnsi"/>
          <w:spacing w:val="-4"/>
          <w:sz w:val="10"/>
          <w:szCs w:val="10"/>
        </w:rPr>
        <w:t>, conforme confirmado por Parecer Independente de Segunda Opinião (</w:t>
      </w:r>
      <w:r w:rsidR="000D5E35" w:rsidRPr="00FF699B">
        <w:rPr>
          <w:rFonts w:asciiTheme="minorHAnsi" w:hAnsiTheme="minorHAnsi" w:cstheme="minorHAnsi"/>
          <w:spacing w:val="-4"/>
          <w:sz w:val="10"/>
          <w:szCs w:val="10"/>
        </w:rPr>
        <w:t>“</w:t>
      </w:r>
      <w:r w:rsidRPr="00FF699B">
        <w:rPr>
          <w:rFonts w:asciiTheme="minorHAnsi" w:hAnsiTheme="minorHAnsi" w:cstheme="minorHAnsi"/>
          <w:b/>
          <w:bCs/>
          <w:spacing w:val="-4"/>
          <w:sz w:val="10"/>
          <w:szCs w:val="10"/>
        </w:rPr>
        <w:t>Parecer Independente</w:t>
      </w:r>
      <w:r w:rsidRPr="00FF699B">
        <w:rPr>
          <w:rFonts w:asciiTheme="minorHAnsi" w:hAnsiTheme="minorHAnsi" w:cstheme="minorHAnsi"/>
          <w:spacing w:val="-4"/>
          <w:sz w:val="10"/>
          <w:szCs w:val="10"/>
        </w:rPr>
        <w:t xml:space="preserve">”), emitido por consultoria especializada independente contratada pela Emissora, qual seja EXAME. LTDA., com endereço na cidade do São Paulo, Estado do São Paulo, na Avenida Presidente Juscelino Kubitschek, </w:t>
      </w:r>
      <w:r w:rsidR="000D5E35" w:rsidRPr="00FF699B">
        <w:rPr>
          <w:rFonts w:asciiTheme="minorHAnsi" w:hAnsiTheme="minorHAnsi" w:cstheme="minorHAnsi"/>
          <w:spacing w:val="-4"/>
          <w:sz w:val="10"/>
          <w:szCs w:val="10"/>
        </w:rPr>
        <w:t>nº</w:t>
      </w:r>
      <w:r w:rsidRPr="00FF699B">
        <w:rPr>
          <w:rFonts w:asciiTheme="minorHAnsi" w:hAnsiTheme="minorHAnsi" w:cstheme="minorHAnsi"/>
          <w:spacing w:val="-4"/>
          <w:sz w:val="10"/>
          <w:szCs w:val="10"/>
        </w:rPr>
        <w:t xml:space="preserve"> 1.830, Torre I, sala 31, Vila Nova Conceição, CEP </w:t>
      </w:r>
      <w:r w:rsidR="000D5E35" w:rsidRPr="00FF699B">
        <w:rPr>
          <w:rFonts w:asciiTheme="minorHAnsi" w:hAnsiTheme="minorHAnsi" w:cstheme="minorHAnsi"/>
          <w:spacing w:val="-4"/>
          <w:sz w:val="10"/>
          <w:szCs w:val="10"/>
        </w:rPr>
        <w:t>nº</w:t>
      </w:r>
      <w:r w:rsidRPr="00FF699B">
        <w:rPr>
          <w:rFonts w:asciiTheme="minorHAnsi" w:hAnsiTheme="minorHAnsi" w:cstheme="minorHAnsi"/>
          <w:spacing w:val="-4"/>
          <w:sz w:val="10"/>
          <w:szCs w:val="10"/>
        </w:rPr>
        <w:t xml:space="preserve"> 04.543-900, inscrito no CNPJ/MF sob </w:t>
      </w:r>
      <w:r w:rsidR="000D5E35" w:rsidRPr="00FF699B">
        <w:rPr>
          <w:rFonts w:asciiTheme="minorHAnsi" w:hAnsiTheme="minorHAnsi" w:cstheme="minorHAnsi"/>
          <w:spacing w:val="-4"/>
          <w:sz w:val="10"/>
          <w:szCs w:val="10"/>
        </w:rPr>
        <w:t>nº</w:t>
      </w:r>
      <w:r w:rsidRPr="00FF699B">
        <w:rPr>
          <w:rFonts w:asciiTheme="minorHAnsi" w:hAnsiTheme="minorHAnsi" w:cstheme="minorHAnsi"/>
          <w:spacing w:val="-4"/>
          <w:sz w:val="10"/>
          <w:szCs w:val="10"/>
        </w:rPr>
        <w:t xml:space="preserve"> 34.906.443/0001-68 (</w:t>
      </w:r>
      <w:r w:rsidR="000D5E35" w:rsidRPr="00FF699B">
        <w:rPr>
          <w:rFonts w:asciiTheme="minorHAnsi" w:hAnsiTheme="minorHAnsi" w:cstheme="minorHAnsi"/>
          <w:spacing w:val="-4"/>
          <w:sz w:val="10"/>
          <w:szCs w:val="10"/>
        </w:rPr>
        <w:t>“</w:t>
      </w:r>
      <w:r w:rsidRPr="00FF699B">
        <w:rPr>
          <w:rFonts w:asciiTheme="minorHAnsi" w:hAnsiTheme="minorHAnsi" w:cstheme="minorHAnsi"/>
          <w:b/>
          <w:spacing w:val="-4"/>
          <w:sz w:val="10"/>
          <w:szCs w:val="10"/>
        </w:rPr>
        <w:t>attestESG</w:t>
      </w:r>
      <w:r w:rsidRPr="00FF699B">
        <w:rPr>
          <w:rFonts w:asciiTheme="minorHAnsi" w:hAnsiTheme="minorHAnsi" w:cstheme="minorHAnsi"/>
          <w:spacing w:val="-4"/>
          <w:sz w:val="10"/>
          <w:szCs w:val="10"/>
        </w:rPr>
        <w:t>”), com base nas diretrizes nos Princípios para Títulos Verdes International Capital Markets Association (ICMA), Princípios para Empréstimos Verdes (LMA/APLMA/LSTA), nas melhores práticas descritas no Guia para Ofertas de Títulos Sustentáveis da Associação Brasileira das Entidades dos Mercados Financeiro e de Capitais (ANBIMA) e Objetivos de Desenvolvimento Sustentável da Organização das Nações Unidas (ONU) de tempos em tempos.</w:t>
      </w:r>
    </w:p>
    <w:bookmarkEnd w:id="7"/>
    <w:p w14:paraId="521BF5A2" w14:textId="19628354" w:rsidR="001F0BE5" w:rsidRPr="001E6E9D" w:rsidRDefault="0053704D" w:rsidP="000C3C74">
      <w:pPr>
        <w:tabs>
          <w:tab w:val="left" w:pos="1134"/>
        </w:tabs>
        <w:spacing w:after="80"/>
        <w:ind w:right="11"/>
        <w:rPr>
          <w:rFonts w:asciiTheme="minorHAnsi" w:eastAsia="Times New Roman" w:hAnsiTheme="minorHAnsi" w:cstheme="minorHAnsi"/>
          <w:spacing w:val="-2"/>
          <w:sz w:val="10"/>
          <w:szCs w:val="10"/>
          <w:lang w:eastAsia="pt-BR"/>
        </w:rPr>
      </w:pPr>
      <w:r w:rsidRPr="001E6E9D">
        <w:rPr>
          <w:rFonts w:asciiTheme="minorHAnsi" w:eastAsia="Times New Roman" w:hAnsiTheme="minorHAnsi" w:cstheme="minorHAnsi"/>
          <w:b/>
          <w:bCs/>
          <w:spacing w:val="-2"/>
          <w:sz w:val="10"/>
          <w:szCs w:val="10"/>
          <w:lang w:eastAsia="pt-BR"/>
        </w:rPr>
        <w:t>O REGISTRO DA OFERTA NÃO IMPLICA, POR PARTE DA CVM, GARANTIA DE VERACIDADE DAS INFORMAÇÕES PRESTADAS OU JULGAMENTO SOBRE A QUALIDADE DA EMISSORA</w:t>
      </w:r>
      <w:r w:rsidR="00FF777C" w:rsidRPr="001E6E9D">
        <w:rPr>
          <w:rFonts w:asciiTheme="minorHAnsi" w:eastAsia="Times New Roman" w:hAnsiTheme="minorHAnsi" w:cstheme="minorHAnsi"/>
          <w:b/>
          <w:bCs/>
          <w:spacing w:val="-2"/>
          <w:sz w:val="10"/>
          <w:szCs w:val="10"/>
          <w:lang w:eastAsia="pt-BR"/>
        </w:rPr>
        <w:t>, DAS SPES, DAS ACIONISTAS</w:t>
      </w:r>
      <w:r w:rsidRPr="001E6E9D">
        <w:rPr>
          <w:rFonts w:asciiTheme="minorHAnsi" w:eastAsia="Times New Roman" w:hAnsiTheme="minorHAnsi" w:cstheme="minorHAnsi"/>
          <w:b/>
          <w:bCs/>
          <w:spacing w:val="-2"/>
          <w:sz w:val="10"/>
          <w:szCs w:val="10"/>
          <w:lang w:eastAsia="pt-BR"/>
        </w:rPr>
        <w:t xml:space="preserve"> OU DAS DEBÊNTURES. AS DEBÊNTURES SERÃO NEGOCIADAS NOS MERCADOS DE BALCÃO ORGANIZADO E NÃO ORGANIZADO, MAS NÃO EM BOLSA, SEM QUE A EMISSORA POSSUA O REGISTRO DE QUE TRATA O ARTIGO 21 DA LEI </w:t>
      </w:r>
      <w:r w:rsidR="000D5E35" w:rsidRPr="001E6E9D">
        <w:rPr>
          <w:rFonts w:asciiTheme="minorHAnsi" w:eastAsia="Times New Roman" w:hAnsiTheme="minorHAnsi" w:cstheme="minorHAnsi"/>
          <w:b/>
          <w:bCs/>
          <w:spacing w:val="-2"/>
          <w:sz w:val="10"/>
          <w:szCs w:val="10"/>
          <w:lang w:eastAsia="pt-BR"/>
        </w:rPr>
        <w:t>Nº</w:t>
      </w:r>
      <w:r w:rsidRPr="001E6E9D">
        <w:rPr>
          <w:rFonts w:asciiTheme="minorHAnsi" w:eastAsia="Times New Roman" w:hAnsiTheme="minorHAnsi" w:cstheme="minorHAnsi"/>
          <w:b/>
          <w:bCs/>
          <w:spacing w:val="-2"/>
          <w:sz w:val="10"/>
          <w:szCs w:val="10"/>
          <w:lang w:eastAsia="pt-BR"/>
        </w:rPr>
        <w:t xml:space="preserve"> 6.385, DE 7 DE DEZEMBRO DE 1976, CONFORME EM VIGOR (</w:t>
      </w:r>
      <w:r w:rsidR="000D5E35" w:rsidRPr="001E6E9D">
        <w:rPr>
          <w:rFonts w:asciiTheme="minorHAnsi" w:eastAsia="Times New Roman" w:hAnsiTheme="minorHAnsi" w:cstheme="minorHAnsi"/>
          <w:b/>
          <w:bCs/>
          <w:spacing w:val="-2"/>
          <w:sz w:val="10"/>
          <w:szCs w:val="10"/>
          <w:lang w:eastAsia="pt-BR"/>
        </w:rPr>
        <w:t>“</w:t>
      </w:r>
      <w:r w:rsidRPr="001E6E9D">
        <w:rPr>
          <w:rFonts w:asciiTheme="minorHAnsi" w:eastAsia="Times New Roman" w:hAnsiTheme="minorHAnsi" w:cstheme="minorHAnsi"/>
          <w:b/>
          <w:bCs/>
          <w:spacing w:val="-2"/>
          <w:sz w:val="10"/>
          <w:szCs w:val="10"/>
          <w:lang w:eastAsia="pt-BR"/>
        </w:rPr>
        <w:t xml:space="preserve">LEI DO MERCADO DE VALORES MOBILIÁRIOS”), NOS TERMOS DO ARTIGO 88 DA RESOLUÇÃO CVM 160, NÃO PODENDO SER ASSEGURADA A DISPONIBILIDADE DE INFORMAÇÕES SOBRE OS PREÇOS PRATICADOS OU SOBRE OS NEGÓCIOS REALIZADOS. OS VALORES MOBILIÁRIOS OBJETO DA OFERTA ESTÃO EXPOSTOS PRIMORDIALMENTE AO RISCO DE CRÉDITO DA EMISSORA. </w:t>
      </w:r>
      <w:bookmarkEnd w:id="1"/>
      <w:bookmarkEnd w:id="4"/>
      <w:r w:rsidRPr="001E6E9D">
        <w:rPr>
          <w:rFonts w:asciiTheme="minorHAnsi" w:eastAsia="Times New Roman" w:hAnsiTheme="minorHAnsi" w:cstheme="minorHAnsi"/>
          <w:b/>
          <w:bCs/>
          <w:spacing w:val="-2"/>
          <w:sz w:val="10"/>
          <w:szCs w:val="10"/>
          <w:lang w:eastAsia="pt-BR"/>
        </w:rPr>
        <w:t xml:space="preserve">OS INVESTIDORES DEVEM LER ATENTAMENTE E INTEGRALMENTE ESTE PROSPECTO, PRINCIPALMENTE A </w:t>
      </w:r>
      <w:r w:rsidRPr="001E6E9D">
        <w:rPr>
          <w:rFonts w:asciiTheme="minorHAnsi" w:eastAsia="Times New Roman" w:hAnsiTheme="minorHAnsi" w:cstheme="minorHAnsi"/>
          <w:b/>
          <w:bCs/>
          <w:spacing w:val="-2"/>
          <w:sz w:val="10"/>
          <w:szCs w:val="10"/>
          <w:u w:val="single"/>
          <w:lang w:eastAsia="pt-BR"/>
        </w:rPr>
        <w:t>SEÇÃO 4</w:t>
      </w:r>
      <w:r w:rsidRPr="001E6E9D">
        <w:rPr>
          <w:rFonts w:asciiTheme="minorHAnsi" w:eastAsia="Times New Roman" w:hAnsiTheme="minorHAnsi" w:cstheme="minorHAnsi"/>
          <w:b/>
          <w:bCs/>
          <w:spacing w:val="-2"/>
          <w:sz w:val="10"/>
          <w:szCs w:val="10"/>
          <w:lang w:eastAsia="pt-BR"/>
        </w:rPr>
        <w:t xml:space="preserve">, NAS PÁGINAS </w:t>
      </w:r>
      <w:r w:rsidR="0052469F" w:rsidRPr="001E6E9D">
        <w:rPr>
          <w:rFonts w:asciiTheme="minorHAnsi" w:eastAsia="Times New Roman" w:hAnsiTheme="minorHAnsi" w:cstheme="minorHAnsi"/>
          <w:b/>
          <w:bCs/>
          <w:spacing w:val="-2"/>
          <w:sz w:val="10"/>
          <w:szCs w:val="10"/>
          <w:lang w:eastAsia="pt-BR"/>
        </w:rPr>
        <w:fldChar w:fldCharType="begin"/>
      </w:r>
      <w:r w:rsidR="0052469F" w:rsidRPr="001E6E9D">
        <w:rPr>
          <w:rFonts w:asciiTheme="minorHAnsi" w:eastAsia="Times New Roman" w:hAnsiTheme="minorHAnsi" w:cstheme="minorHAnsi"/>
          <w:b/>
          <w:bCs/>
          <w:spacing w:val="-2"/>
          <w:sz w:val="10"/>
          <w:szCs w:val="10"/>
          <w:lang w:eastAsia="pt-BR"/>
        </w:rPr>
        <w:instrText xml:space="preserve"> PAGEREF _Ref158844927 \h </w:instrText>
      </w:r>
      <w:r w:rsidR="0052469F" w:rsidRPr="001E6E9D">
        <w:rPr>
          <w:rFonts w:asciiTheme="minorHAnsi" w:eastAsia="Times New Roman" w:hAnsiTheme="minorHAnsi" w:cstheme="minorHAnsi"/>
          <w:b/>
          <w:bCs/>
          <w:spacing w:val="-2"/>
          <w:sz w:val="10"/>
          <w:szCs w:val="10"/>
          <w:lang w:eastAsia="pt-BR"/>
        </w:rPr>
      </w:r>
      <w:r w:rsidR="0052469F" w:rsidRPr="001E6E9D">
        <w:rPr>
          <w:rFonts w:asciiTheme="minorHAnsi" w:eastAsia="Times New Roman" w:hAnsiTheme="minorHAnsi" w:cstheme="minorHAnsi"/>
          <w:b/>
          <w:bCs/>
          <w:spacing w:val="-2"/>
          <w:sz w:val="10"/>
          <w:szCs w:val="10"/>
          <w:lang w:eastAsia="pt-BR"/>
        </w:rPr>
        <w:fldChar w:fldCharType="separate"/>
      </w:r>
      <w:r w:rsidR="00720666">
        <w:rPr>
          <w:rFonts w:asciiTheme="minorHAnsi" w:eastAsia="Times New Roman" w:hAnsiTheme="minorHAnsi" w:cstheme="minorHAnsi"/>
          <w:b/>
          <w:bCs/>
          <w:noProof/>
          <w:spacing w:val="-2"/>
          <w:sz w:val="10"/>
          <w:szCs w:val="10"/>
          <w:lang w:eastAsia="pt-BR"/>
        </w:rPr>
        <w:t>45</w:t>
      </w:r>
      <w:r w:rsidR="0052469F" w:rsidRPr="001E6E9D">
        <w:rPr>
          <w:rFonts w:asciiTheme="minorHAnsi" w:eastAsia="Times New Roman" w:hAnsiTheme="minorHAnsi" w:cstheme="minorHAnsi"/>
          <w:b/>
          <w:bCs/>
          <w:spacing w:val="-2"/>
          <w:sz w:val="10"/>
          <w:szCs w:val="10"/>
          <w:lang w:eastAsia="pt-BR"/>
        </w:rPr>
        <w:fldChar w:fldCharType="end"/>
      </w:r>
      <w:r w:rsidR="00D425A7" w:rsidRPr="001E6E9D">
        <w:rPr>
          <w:rFonts w:asciiTheme="minorHAnsi" w:eastAsia="Times New Roman" w:hAnsiTheme="minorHAnsi" w:cstheme="minorHAnsi"/>
          <w:b/>
          <w:bCs/>
          <w:spacing w:val="-2"/>
          <w:sz w:val="10"/>
          <w:szCs w:val="10"/>
          <w:lang w:eastAsia="pt-BR"/>
        </w:rPr>
        <w:t xml:space="preserve"> </w:t>
      </w:r>
      <w:r w:rsidRPr="001E6E9D">
        <w:rPr>
          <w:rFonts w:asciiTheme="minorHAnsi" w:eastAsia="Times New Roman" w:hAnsiTheme="minorHAnsi" w:cstheme="minorHAnsi"/>
          <w:b/>
          <w:bCs/>
          <w:spacing w:val="-2"/>
          <w:sz w:val="10"/>
          <w:szCs w:val="10"/>
          <w:lang w:eastAsia="pt-BR"/>
        </w:rPr>
        <w:t>A</w:t>
      </w:r>
      <w:r w:rsidR="0052469F" w:rsidRPr="001E6E9D">
        <w:rPr>
          <w:rFonts w:asciiTheme="minorHAnsi" w:eastAsia="Times New Roman" w:hAnsiTheme="minorHAnsi" w:cstheme="minorHAnsi"/>
          <w:b/>
          <w:bCs/>
          <w:spacing w:val="-2"/>
          <w:sz w:val="10"/>
          <w:szCs w:val="10"/>
          <w:lang w:eastAsia="pt-BR"/>
        </w:rPr>
        <w:t xml:space="preserve"> </w:t>
      </w:r>
      <w:r w:rsidR="0052469F" w:rsidRPr="001E6E9D">
        <w:rPr>
          <w:rFonts w:asciiTheme="minorHAnsi" w:eastAsia="Times New Roman" w:hAnsiTheme="minorHAnsi" w:cstheme="minorHAnsi"/>
          <w:b/>
          <w:bCs/>
          <w:spacing w:val="-2"/>
          <w:sz w:val="10"/>
          <w:szCs w:val="10"/>
          <w:lang w:eastAsia="pt-BR"/>
        </w:rPr>
        <w:fldChar w:fldCharType="begin"/>
      </w:r>
      <w:r w:rsidR="0052469F" w:rsidRPr="001E6E9D">
        <w:rPr>
          <w:rFonts w:asciiTheme="minorHAnsi" w:eastAsia="Times New Roman" w:hAnsiTheme="minorHAnsi" w:cstheme="minorHAnsi"/>
          <w:b/>
          <w:bCs/>
          <w:spacing w:val="-2"/>
          <w:sz w:val="10"/>
          <w:szCs w:val="10"/>
          <w:lang w:eastAsia="pt-BR"/>
        </w:rPr>
        <w:instrText xml:space="preserve"> PAGEREF _Ref184134231 \h </w:instrText>
      </w:r>
      <w:r w:rsidR="0052469F" w:rsidRPr="001E6E9D">
        <w:rPr>
          <w:rFonts w:asciiTheme="minorHAnsi" w:eastAsia="Times New Roman" w:hAnsiTheme="minorHAnsi" w:cstheme="minorHAnsi"/>
          <w:b/>
          <w:bCs/>
          <w:spacing w:val="-2"/>
          <w:sz w:val="10"/>
          <w:szCs w:val="10"/>
          <w:lang w:eastAsia="pt-BR"/>
        </w:rPr>
      </w:r>
      <w:r w:rsidR="0052469F" w:rsidRPr="001E6E9D">
        <w:rPr>
          <w:rFonts w:asciiTheme="minorHAnsi" w:eastAsia="Times New Roman" w:hAnsiTheme="minorHAnsi" w:cstheme="minorHAnsi"/>
          <w:b/>
          <w:bCs/>
          <w:spacing w:val="-2"/>
          <w:sz w:val="10"/>
          <w:szCs w:val="10"/>
          <w:lang w:eastAsia="pt-BR"/>
        </w:rPr>
        <w:fldChar w:fldCharType="separate"/>
      </w:r>
      <w:r w:rsidR="00720666">
        <w:rPr>
          <w:rFonts w:asciiTheme="minorHAnsi" w:eastAsia="Times New Roman" w:hAnsiTheme="minorHAnsi" w:cstheme="minorHAnsi"/>
          <w:b/>
          <w:bCs/>
          <w:noProof/>
          <w:spacing w:val="-2"/>
          <w:sz w:val="10"/>
          <w:szCs w:val="10"/>
          <w:lang w:eastAsia="pt-BR"/>
        </w:rPr>
        <w:t>57</w:t>
      </w:r>
      <w:r w:rsidR="0052469F" w:rsidRPr="001E6E9D">
        <w:rPr>
          <w:rFonts w:asciiTheme="minorHAnsi" w:eastAsia="Times New Roman" w:hAnsiTheme="minorHAnsi" w:cstheme="minorHAnsi"/>
          <w:b/>
          <w:bCs/>
          <w:spacing w:val="-2"/>
          <w:sz w:val="10"/>
          <w:szCs w:val="10"/>
          <w:lang w:eastAsia="pt-BR"/>
        </w:rPr>
        <w:fldChar w:fldCharType="end"/>
      </w:r>
      <w:r w:rsidRPr="001E6E9D">
        <w:rPr>
          <w:rFonts w:asciiTheme="minorHAnsi" w:eastAsia="Times New Roman" w:hAnsiTheme="minorHAnsi" w:cstheme="minorHAnsi"/>
          <w:b/>
          <w:bCs/>
          <w:spacing w:val="-2"/>
          <w:sz w:val="10"/>
          <w:szCs w:val="10"/>
          <w:lang w:eastAsia="pt-BR"/>
        </w:rPr>
        <w:t>, PARA AVALIAÇÃO DOS RISCOS QUE DEVEM SER CONSIDERADOS ANTES DE INVESTIR NAS DEBÊNTURES. QUAISQUER OUTRAS INFORMAÇÕES OU ESCLARECIMENTOS SOBRE A EMISSORA E A DISTRIBUIÇÃO EM QUESTÃO PODERÃO SER OBTIDAS JUNTO AOS COORDENADORES OU À CVM.</w:t>
      </w:r>
      <w:bookmarkEnd w:id="2"/>
      <w:bookmarkEnd w:id="3"/>
      <w:r w:rsidRPr="001E6E9D">
        <w:rPr>
          <w:rFonts w:asciiTheme="minorHAnsi" w:eastAsia="Times New Roman" w:hAnsiTheme="minorHAnsi" w:cstheme="minorHAnsi"/>
          <w:b/>
          <w:bCs/>
          <w:spacing w:val="-2"/>
          <w:sz w:val="10"/>
          <w:szCs w:val="10"/>
          <w:lang w:eastAsia="pt-BR"/>
        </w:rPr>
        <w:t xml:space="preserve"> O PROSPECTO DEFINITIVO ESTARÁ DISPONÍVEL NA PÁGINA NA REDE MUNDIAL DE COMPUTADORES DA EMISSORA, DOS COORDENADORES, DA B3 E DA CVM. A CVM NÃO REALIZOU ANÁLISE PRÉVIA DO CONTEÚDO DESTE PROSPECTO, NEM DOS DOCUMENTOS DA OFERTA, DE ACORDO COM O ITEM 3.4 DO ANEXO B DA RESOLUÇÃO CVM 160. EXISTEM RESTRIÇÕES QUE SE APLICAM À REVENDA DOS V</w:t>
      </w:r>
      <w:r w:rsidR="00D425A7" w:rsidRPr="001E6E9D">
        <w:rPr>
          <w:rFonts w:asciiTheme="minorHAnsi" w:eastAsia="Times New Roman" w:hAnsiTheme="minorHAnsi" w:cstheme="minorHAnsi"/>
          <w:b/>
          <w:bCs/>
          <w:spacing w:val="-2"/>
          <w:sz w:val="10"/>
          <w:szCs w:val="10"/>
          <w:lang w:eastAsia="pt-BR"/>
        </w:rPr>
        <w:t>A</w:t>
      </w:r>
      <w:r w:rsidRPr="001E6E9D">
        <w:rPr>
          <w:rFonts w:asciiTheme="minorHAnsi" w:eastAsia="Times New Roman" w:hAnsiTheme="minorHAnsi" w:cstheme="minorHAnsi"/>
          <w:b/>
          <w:bCs/>
          <w:spacing w:val="-2"/>
          <w:sz w:val="10"/>
          <w:szCs w:val="10"/>
          <w:lang w:eastAsia="pt-BR"/>
        </w:rPr>
        <w:t xml:space="preserve">LORES MOBILIÁRIOS, CONFORME DESCRITAS NA </w:t>
      </w:r>
      <w:r w:rsidRPr="001E6E9D">
        <w:rPr>
          <w:rFonts w:asciiTheme="minorHAnsi" w:eastAsia="Times New Roman" w:hAnsiTheme="minorHAnsi" w:cstheme="minorHAnsi"/>
          <w:b/>
          <w:bCs/>
          <w:spacing w:val="-2"/>
          <w:sz w:val="10"/>
          <w:szCs w:val="10"/>
          <w:u w:val="single"/>
          <w:lang w:eastAsia="pt-BR"/>
        </w:rPr>
        <w:t>SUBSEÇÃO 6.1</w:t>
      </w:r>
      <w:r w:rsidRPr="001E6E9D">
        <w:rPr>
          <w:rFonts w:asciiTheme="minorHAnsi" w:eastAsia="Times New Roman" w:hAnsiTheme="minorHAnsi" w:cstheme="minorHAnsi"/>
          <w:b/>
          <w:bCs/>
          <w:spacing w:val="-2"/>
          <w:sz w:val="10"/>
          <w:szCs w:val="10"/>
          <w:lang w:eastAsia="pt-BR"/>
        </w:rPr>
        <w:t xml:space="preserve"> DESTE PROSPECTO, NA PÁGINA </w:t>
      </w:r>
      <w:r w:rsidR="00D425A7" w:rsidRPr="001E6E9D">
        <w:rPr>
          <w:rFonts w:asciiTheme="minorHAnsi" w:eastAsia="Times New Roman" w:hAnsiTheme="minorHAnsi" w:cstheme="minorHAnsi"/>
          <w:b/>
          <w:bCs/>
          <w:spacing w:val="-2"/>
          <w:sz w:val="10"/>
          <w:szCs w:val="10"/>
          <w:lang w:eastAsia="pt-BR"/>
        </w:rPr>
        <w:fldChar w:fldCharType="begin"/>
      </w:r>
      <w:r w:rsidR="00D425A7" w:rsidRPr="001E6E9D">
        <w:rPr>
          <w:rFonts w:asciiTheme="minorHAnsi" w:eastAsia="Times New Roman" w:hAnsiTheme="minorHAnsi" w:cstheme="minorHAnsi"/>
          <w:b/>
          <w:bCs/>
          <w:spacing w:val="-2"/>
          <w:sz w:val="10"/>
          <w:szCs w:val="10"/>
          <w:lang w:eastAsia="pt-BR"/>
        </w:rPr>
        <w:instrText xml:space="preserve"> PAGEREF _Ref158845007 \h </w:instrText>
      </w:r>
      <w:r w:rsidR="00D425A7" w:rsidRPr="001E6E9D">
        <w:rPr>
          <w:rFonts w:asciiTheme="minorHAnsi" w:eastAsia="Times New Roman" w:hAnsiTheme="minorHAnsi" w:cstheme="minorHAnsi"/>
          <w:b/>
          <w:bCs/>
          <w:spacing w:val="-2"/>
          <w:sz w:val="10"/>
          <w:szCs w:val="10"/>
          <w:lang w:eastAsia="pt-BR"/>
        </w:rPr>
      </w:r>
      <w:r w:rsidR="00D425A7" w:rsidRPr="001E6E9D">
        <w:rPr>
          <w:rFonts w:asciiTheme="minorHAnsi" w:eastAsia="Times New Roman" w:hAnsiTheme="minorHAnsi" w:cstheme="minorHAnsi"/>
          <w:b/>
          <w:bCs/>
          <w:spacing w:val="-2"/>
          <w:sz w:val="10"/>
          <w:szCs w:val="10"/>
          <w:lang w:eastAsia="pt-BR"/>
        </w:rPr>
        <w:fldChar w:fldCharType="separate"/>
      </w:r>
      <w:r w:rsidR="00720666">
        <w:rPr>
          <w:rFonts w:asciiTheme="minorHAnsi" w:eastAsia="Times New Roman" w:hAnsiTheme="minorHAnsi" w:cstheme="minorHAnsi"/>
          <w:b/>
          <w:bCs/>
          <w:noProof/>
          <w:spacing w:val="-2"/>
          <w:sz w:val="10"/>
          <w:szCs w:val="10"/>
          <w:lang w:eastAsia="pt-BR"/>
        </w:rPr>
        <w:t>61</w:t>
      </w:r>
      <w:r w:rsidR="00D425A7" w:rsidRPr="001E6E9D">
        <w:rPr>
          <w:rFonts w:asciiTheme="minorHAnsi" w:eastAsia="Times New Roman" w:hAnsiTheme="minorHAnsi" w:cstheme="minorHAnsi"/>
          <w:b/>
          <w:bCs/>
          <w:spacing w:val="-2"/>
          <w:sz w:val="10"/>
          <w:szCs w:val="10"/>
          <w:lang w:eastAsia="pt-BR"/>
        </w:rPr>
        <w:fldChar w:fldCharType="end"/>
      </w:r>
      <w:r w:rsidRPr="001E6E9D">
        <w:rPr>
          <w:rFonts w:asciiTheme="minorHAnsi" w:eastAsia="Times New Roman" w:hAnsiTheme="minorHAnsi" w:cstheme="minorHAnsi"/>
          <w:b/>
          <w:bCs/>
          <w:spacing w:val="-2"/>
          <w:sz w:val="10"/>
          <w:szCs w:val="10"/>
          <w:lang w:eastAsia="pt-BR"/>
        </w:rPr>
        <w:t>.</w:t>
      </w:r>
      <w:r w:rsidR="001F0BE5" w:rsidRPr="001F0BE5">
        <w:rPr>
          <w:rFonts w:asciiTheme="minorHAnsi" w:eastAsia="Times New Roman" w:hAnsiTheme="minorHAnsi" w:cstheme="minorHAnsi"/>
          <w:spacing w:val="-2"/>
          <w:sz w:val="10"/>
          <w:szCs w:val="10"/>
          <w:lang w:eastAsia="pt-BR"/>
        </w:rPr>
        <w:t xml:space="preserve"> </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68" w:type="dxa"/>
          <w:bottom w:w="40" w:type="dxa"/>
          <w:right w:w="68" w:type="dxa"/>
        </w:tblCellMar>
        <w:tblLook w:val="04A0" w:firstRow="1" w:lastRow="0" w:firstColumn="1" w:lastColumn="0" w:noHBand="0" w:noVBand="1"/>
      </w:tblPr>
      <w:tblGrid>
        <w:gridCol w:w="3023"/>
        <w:gridCol w:w="3023"/>
        <w:gridCol w:w="3025"/>
      </w:tblGrid>
      <w:tr w:rsidR="001F0BE5" w:rsidRPr="001E6E9D" w14:paraId="76A84385" w14:textId="77777777" w:rsidTr="001F0BE5">
        <w:tc>
          <w:tcPr>
            <w:tcW w:w="1666" w:type="pct"/>
            <w:shd w:val="clear" w:color="auto" w:fill="auto"/>
            <w:vAlign w:val="center"/>
          </w:tcPr>
          <w:p w14:paraId="15AB18A1" w14:textId="77777777" w:rsidR="001F0BE5" w:rsidRPr="001E6E9D" w:rsidRDefault="001F0BE5" w:rsidP="00BE2C56">
            <w:pPr>
              <w:spacing w:after="40"/>
              <w:jc w:val="center"/>
              <w:rPr>
                <w:rFonts w:asciiTheme="minorHAnsi" w:eastAsia="Times New Roman" w:hAnsiTheme="minorHAnsi" w:cstheme="minorHAnsi"/>
                <w:spacing w:val="-2"/>
                <w:sz w:val="16"/>
                <w:szCs w:val="10"/>
                <w:lang w:eastAsia="pt-BR"/>
              </w:rPr>
            </w:pPr>
            <w:r w:rsidRPr="001E6E9D">
              <w:rPr>
                <w:rFonts w:asciiTheme="minorHAnsi" w:hAnsiTheme="minorHAnsi" w:cstheme="minorHAnsi"/>
                <w:noProof/>
                <w:color w:val="0082CB"/>
                <w:sz w:val="16"/>
                <w:szCs w:val="10"/>
              </w:rPr>
              <w:drawing>
                <wp:inline distT="0" distB="0" distL="0" distR="0" wp14:anchorId="10933B11" wp14:editId="7B4DBB29">
                  <wp:extent cx="460375" cy="34526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43790" name="Picture 2"/>
                          <pic:cNvPicPr>
                            <a:picLocks noChangeAspect="1" noChangeArrowheads="1"/>
                          </pic:cNvPicPr>
                        </pic:nvPicPr>
                        <pic:blipFill>
                          <a:blip r:embed="rId11"/>
                          <a:stretch>
                            <a:fillRect/>
                          </a:stretch>
                        </pic:blipFill>
                        <pic:spPr bwMode="auto">
                          <a:xfrm>
                            <a:off x="0" y="0"/>
                            <a:ext cx="473991" cy="355476"/>
                          </a:xfrm>
                          <a:prstGeom prst="rect">
                            <a:avLst/>
                          </a:prstGeom>
                          <a:noFill/>
                          <a:ln>
                            <a:noFill/>
                          </a:ln>
                        </pic:spPr>
                      </pic:pic>
                    </a:graphicData>
                  </a:graphic>
                </wp:inline>
              </w:drawing>
            </w:r>
          </w:p>
        </w:tc>
        <w:tc>
          <w:tcPr>
            <w:tcW w:w="1666" w:type="pct"/>
            <w:shd w:val="clear" w:color="auto" w:fill="auto"/>
            <w:vAlign w:val="center"/>
          </w:tcPr>
          <w:p w14:paraId="5FDC849F" w14:textId="77777777" w:rsidR="001F0BE5" w:rsidRPr="001E6E9D" w:rsidRDefault="001F0BE5" w:rsidP="00BE2C56">
            <w:pPr>
              <w:spacing w:after="40"/>
              <w:jc w:val="center"/>
              <w:rPr>
                <w:rFonts w:asciiTheme="minorHAnsi" w:eastAsia="Times New Roman" w:hAnsiTheme="minorHAnsi" w:cstheme="minorHAnsi"/>
                <w:spacing w:val="-2"/>
                <w:sz w:val="16"/>
                <w:szCs w:val="10"/>
                <w:lang w:eastAsia="pt-BR"/>
              </w:rPr>
            </w:pPr>
            <w:r w:rsidRPr="001E6E9D">
              <w:rPr>
                <w:rFonts w:asciiTheme="minorHAnsi" w:eastAsia="Times New Roman" w:hAnsiTheme="minorHAnsi" w:cstheme="minorHAnsi"/>
                <w:noProof/>
                <w:spacing w:val="-2"/>
                <w:sz w:val="16"/>
                <w:szCs w:val="10"/>
                <w:lang w:eastAsia="pt-BR"/>
              </w:rPr>
              <w:drawing>
                <wp:inline distT="0" distB="0" distL="0" distR="0" wp14:anchorId="701218BD" wp14:editId="014C0CD1">
                  <wp:extent cx="460750" cy="345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ENTE_FIDUCIARIO.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750" cy="345600"/>
                          </a:xfrm>
                          <a:prstGeom prst="rect">
                            <a:avLst/>
                          </a:prstGeom>
                        </pic:spPr>
                      </pic:pic>
                    </a:graphicData>
                  </a:graphic>
                </wp:inline>
              </w:drawing>
            </w:r>
          </w:p>
        </w:tc>
        <w:tc>
          <w:tcPr>
            <w:tcW w:w="1667" w:type="pct"/>
            <w:shd w:val="clear" w:color="auto" w:fill="auto"/>
            <w:vAlign w:val="center"/>
          </w:tcPr>
          <w:p w14:paraId="29D8A114" w14:textId="77777777" w:rsidR="001F0BE5" w:rsidRPr="001E6E9D" w:rsidRDefault="001F0BE5" w:rsidP="00BE2C56">
            <w:pPr>
              <w:spacing w:after="40"/>
              <w:jc w:val="center"/>
              <w:rPr>
                <w:rFonts w:asciiTheme="minorHAnsi" w:eastAsia="Times New Roman" w:hAnsiTheme="minorHAnsi" w:cstheme="minorHAnsi"/>
                <w:spacing w:val="-2"/>
                <w:sz w:val="16"/>
                <w:szCs w:val="10"/>
                <w:lang w:eastAsia="pt-BR"/>
              </w:rPr>
            </w:pPr>
            <w:r w:rsidRPr="001E6E9D">
              <w:rPr>
                <w:rFonts w:asciiTheme="minorHAnsi" w:eastAsia="Times New Roman" w:hAnsiTheme="minorHAnsi" w:cstheme="minorHAnsi"/>
                <w:noProof/>
                <w:spacing w:val="-2"/>
                <w:sz w:val="16"/>
                <w:szCs w:val="10"/>
                <w:lang w:eastAsia="pt-BR"/>
              </w:rPr>
              <w:drawing>
                <wp:inline distT="0" distB="0" distL="0" distR="0" wp14:anchorId="5D944EAB" wp14:editId="1D9ADE6D">
                  <wp:extent cx="461019" cy="345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ORDENADORES DE OFERTAS PUBLICAS.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019" cy="345600"/>
                          </a:xfrm>
                          <a:prstGeom prst="rect">
                            <a:avLst/>
                          </a:prstGeom>
                        </pic:spPr>
                      </pic:pic>
                    </a:graphicData>
                  </a:graphic>
                </wp:inline>
              </w:drawing>
            </w:r>
          </w:p>
        </w:tc>
      </w:tr>
    </w:tbl>
    <w:p w14:paraId="30333B8E" w14:textId="77777777" w:rsidR="001F0BE5" w:rsidRPr="001E6E9D" w:rsidRDefault="001F0BE5" w:rsidP="00BE2C56">
      <w:pPr>
        <w:spacing w:after="40"/>
        <w:ind w:right="11"/>
        <w:jc w:val="center"/>
        <w:rPr>
          <w:rFonts w:asciiTheme="minorHAnsi" w:eastAsia="Times New Roman" w:hAnsiTheme="minorHAnsi" w:cstheme="minorHAnsi"/>
          <w:spacing w:val="-2"/>
          <w:sz w:val="10"/>
          <w:szCs w:val="10"/>
          <w:lang w:eastAsia="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68" w:type="dxa"/>
          <w:bottom w:w="40" w:type="dxa"/>
          <w:right w:w="68" w:type="dxa"/>
        </w:tblCellMar>
        <w:tblLook w:val="04A0" w:firstRow="1" w:lastRow="0" w:firstColumn="1" w:lastColumn="0" w:noHBand="0" w:noVBand="1"/>
      </w:tblPr>
      <w:tblGrid>
        <w:gridCol w:w="4535"/>
        <w:gridCol w:w="4536"/>
      </w:tblGrid>
      <w:tr w:rsidR="001F0BE5" w:rsidRPr="001E6E9D" w14:paraId="0403A804" w14:textId="77777777" w:rsidTr="001F0BE5">
        <w:tc>
          <w:tcPr>
            <w:tcW w:w="2500" w:type="pct"/>
            <w:shd w:val="clear" w:color="auto" w:fill="auto"/>
            <w:vAlign w:val="center"/>
          </w:tcPr>
          <w:p w14:paraId="38808257" w14:textId="77777777" w:rsidR="001F0BE5" w:rsidRPr="001E6E9D" w:rsidRDefault="001F0BE5" w:rsidP="00BE2C56">
            <w:pPr>
              <w:spacing w:after="40"/>
              <w:jc w:val="center"/>
              <w:rPr>
                <w:rFonts w:asciiTheme="minorHAnsi" w:eastAsia="Times New Roman" w:hAnsiTheme="minorHAnsi" w:cstheme="minorHAnsi"/>
                <w:b/>
                <w:spacing w:val="-2"/>
                <w:sz w:val="14"/>
                <w:szCs w:val="14"/>
                <w:lang w:eastAsia="pt-BR"/>
              </w:rPr>
            </w:pPr>
            <w:r w:rsidRPr="001E6E9D">
              <w:rPr>
                <w:rFonts w:asciiTheme="minorHAnsi" w:hAnsiTheme="minorHAnsi" w:cstheme="minorHAnsi"/>
                <w:b/>
                <w:sz w:val="14"/>
                <w:szCs w:val="14"/>
                <w:lang w:val="pt-PT"/>
              </w:rPr>
              <w:t>COORDENADOR LÍDER</w:t>
            </w:r>
          </w:p>
        </w:tc>
        <w:tc>
          <w:tcPr>
            <w:tcW w:w="2500" w:type="pct"/>
            <w:shd w:val="clear" w:color="auto" w:fill="auto"/>
            <w:vAlign w:val="center"/>
          </w:tcPr>
          <w:p w14:paraId="35150F95" w14:textId="77777777" w:rsidR="001F0BE5" w:rsidRPr="001E6E9D" w:rsidRDefault="001F0BE5" w:rsidP="00BE2C56">
            <w:pPr>
              <w:spacing w:after="40"/>
              <w:jc w:val="center"/>
              <w:rPr>
                <w:rFonts w:asciiTheme="minorHAnsi" w:eastAsia="Times New Roman" w:hAnsiTheme="minorHAnsi" w:cstheme="minorHAnsi"/>
                <w:b/>
                <w:spacing w:val="-2"/>
                <w:sz w:val="14"/>
                <w:szCs w:val="14"/>
                <w:lang w:eastAsia="pt-BR"/>
              </w:rPr>
            </w:pPr>
            <w:r w:rsidRPr="001E6E9D">
              <w:rPr>
                <w:rFonts w:asciiTheme="minorHAnsi" w:hAnsiTheme="minorHAnsi" w:cstheme="minorHAnsi"/>
                <w:b/>
                <w:sz w:val="14"/>
                <w:szCs w:val="14"/>
                <w:lang w:val="pt-PT"/>
              </w:rPr>
              <w:t>COORDENADOR</w:t>
            </w:r>
          </w:p>
        </w:tc>
      </w:tr>
      <w:tr w:rsidR="001F0BE5" w:rsidRPr="001E6E9D" w14:paraId="426E9381" w14:textId="77777777" w:rsidTr="001F0BE5">
        <w:tc>
          <w:tcPr>
            <w:tcW w:w="2500" w:type="pct"/>
            <w:shd w:val="clear" w:color="auto" w:fill="auto"/>
            <w:vAlign w:val="center"/>
          </w:tcPr>
          <w:p w14:paraId="1B514F9D" w14:textId="77777777" w:rsidR="001F0BE5" w:rsidRPr="001E6E9D" w:rsidRDefault="001F0BE5" w:rsidP="00BE2C56">
            <w:pPr>
              <w:spacing w:after="40"/>
              <w:jc w:val="center"/>
              <w:rPr>
                <w:rFonts w:asciiTheme="minorHAnsi" w:eastAsia="Times New Roman" w:hAnsiTheme="minorHAnsi" w:cstheme="minorHAnsi"/>
                <w:spacing w:val="-2"/>
                <w:sz w:val="16"/>
                <w:szCs w:val="10"/>
                <w:lang w:eastAsia="pt-BR"/>
              </w:rPr>
            </w:pPr>
            <w:r w:rsidRPr="001E6E9D">
              <w:rPr>
                <w:rFonts w:asciiTheme="minorHAnsi" w:eastAsia="Times New Roman" w:hAnsiTheme="minorHAnsi" w:cstheme="minorHAnsi"/>
                <w:noProof/>
                <w:spacing w:val="-2"/>
                <w:sz w:val="16"/>
                <w:szCs w:val="10"/>
                <w:lang w:eastAsia="pt-BR"/>
              </w:rPr>
              <w:drawing>
                <wp:inline distT="0" distB="0" distL="0" distR="0" wp14:anchorId="5953B48B" wp14:editId="7B421421">
                  <wp:extent cx="1040606" cy="530225"/>
                  <wp:effectExtent l="0" t="0" r="762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co ITAU BBA Logo 2023 Preto.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4112" cy="577869"/>
                          </a:xfrm>
                          <a:prstGeom prst="rect">
                            <a:avLst/>
                          </a:prstGeom>
                        </pic:spPr>
                      </pic:pic>
                    </a:graphicData>
                  </a:graphic>
                </wp:inline>
              </w:drawing>
            </w:r>
          </w:p>
        </w:tc>
        <w:tc>
          <w:tcPr>
            <w:tcW w:w="2500" w:type="pct"/>
            <w:shd w:val="clear" w:color="auto" w:fill="auto"/>
            <w:vAlign w:val="center"/>
          </w:tcPr>
          <w:p w14:paraId="1967E951" w14:textId="77777777" w:rsidR="001F0BE5" w:rsidRPr="001E6E9D" w:rsidRDefault="001F0BE5" w:rsidP="00BE2C56">
            <w:pPr>
              <w:spacing w:after="40"/>
              <w:jc w:val="center"/>
              <w:rPr>
                <w:rFonts w:asciiTheme="minorHAnsi" w:eastAsia="Times New Roman" w:hAnsiTheme="minorHAnsi" w:cstheme="minorHAnsi"/>
                <w:spacing w:val="-2"/>
                <w:sz w:val="16"/>
                <w:szCs w:val="10"/>
                <w:lang w:eastAsia="pt-BR"/>
              </w:rPr>
            </w:pPr>
            <w:r w:rsidRPr="001E6E9D">
              <w:rPr>
                <w:rFonts w:asciiTheme="minorHAnsi" w:hAnsiTheme="minorHAnsi" w:cstheme="minorHAnsi"/>
                <w:noProof/>
                <w:color w:val="0082CB"/>
                <w:sz w:val="16"/>
                <w:szCs w:val="10"/>
                <w:lang w:val="pt-PT"/>
              </w:rPr>
              <w:drawing>
                <wp:inline distT="0" distB="0" distL="0" distR="0" wp14:anchorId="310B3BD0" wp14:editId="17025DED">
                  <wp:extent cx="1126962" cy="438150"/>
                  <wp:effectExtent l="0" t="0" r="0" b="0"/>
                  <wp:docPr id="6" name="Picture 6"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tipo, nome da empresa&#10;&#10;Descrição gerada automaticamente"/>
                          <pic:cNvPicPr>
                            <a:picLocks noChangeAspect="1" noChangeArrowheads="1"/>
                          </pic:cNvPicPr>
                        </pic:nvPicPr>
                        <pic:blipFill>
                          <a:blip r:embed="rId15"/>
                          <a:stretch>
                            <a:fillRect/>
                          </a:stretch>
                        </pic:blipFill>
                        <pic:spPr bwMode="auto">
                          <a:xfrm>
                            <a:off x="0" y="0"/>
                            <a:ext cx="1144910" cy="445128"/>
                          </a:xfrm>
                          <a:prstGeom prst="rect">
                            <a:avLst/>
                          </a:prstGeom>
                          <a:noFill/>
                          <a:ln>
                            <a:noFill/>
                          </a:ln>
                        </pic:spPr>
                      </pic:pic>
                    </a:graphicData>
                  </a:graphic>
                </wp:inline>
              </w:drawing>
            </w:r>
          </w:p>
        </w:tc>
      </w:tr>
    </w:tbl>
    <w:p w14:paraId="271D95DB" w14:textId="77777777" w:rsidR="001F0BE5" w:rsidRPr="00384AA8" w:rsidRDefault="001F0BE5" w:rsidP="00BE2C56">
      <w:pPr>
        <w:spacing w:after="40"/>
        <w:ind w:right="14"/>
        <w:jc w:val="center"/>
        <w:rPr>
          <w:rFonts w:asciiTheme="minorHAnsi" w:eastAsia="Times New Roman" w:hAnsiTheme="minorHAnsi" w:cstheme="minorHAnsi"/>
          <w:b/>
          <w:bCs/>
          <w:sz w:val="10"/>
          <w:szCs w:val="10"/>
          <w:lang w:eastAsia="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68" w:type="dxa"/>
          <w:bottom w:w="40" w:type="dxa"/>
          <w:right w:w="68" w:type="dxa"/>
        </w:tblCellMar>
        <w:tblLook w:val="04A0" w:firstRow="1" w:lastRow="0" w:firstColumn="1" w:lastColumn="0" w:noHBand="0" w:noVBand="1"/>
      </w:tblPr>
      <w:tblGrid>
        <w:gridCol w:w="9071"/>
      </w:tblGrid>
      <w:tr w:rsidR="001F0BE5" w:rsidRPr="001E6E9D" w14:paraId="756DCEFB" w14:textId="77777777" w:rsidTr="0009638F">
        <w:tc>
          <w:tcPr>
            <w:tcW w:w="5000" w:type="pct"/>
            <w:shd w:val="clear" w:color="auto" w:fill="auto"/>
            <w:vAlign w:val="center"/>
          </w:tcPr>
          <w:p w14:paraId="350AABCE" w14:textId="77777777" w:rsidR="001F0BE5" w:rsidRPr="001E6E9D" w:rsidRDefault="001F0BE5" w:rsidP="00BE2C56">
            <w:pPr>
              <w:spacing w:after="40"/>
              <w:jc w:val="center"/>
              <w:rPr>
                <w:rFonts w:asciiTheme="minorHAnsi" w:eastAsia="Times New Roman" w:hAnsiTheme="minorHAnsi" w:cstheme="minorHAnsi"/>
                <w:b/>
                <w:spacing w:val="-2"/>
                <w:sz w:val="14"/>
                <w:szCs w:val="14"/>
                <w:lang w:eastAsia="pt-BR"/>
              </w:rPr>
            </w:pPr>
            <w:r w:rsidRPr="00CE4E32">
              <w:rPr>
                <w:rFonts w:asciiTheme="minorHAnsi" w:hAnsiTheme="minorHAnsi" w:cstheme="minorHAnsi"/>
                <w:b/>
                <w:sz w:val="14"/>
                <w:szCs w:val="14"/>
                <w:lang w:val="pt-PT"/>
              </w:rPr>
              <w:t>AGENTE FIDUCIÁRIO</w:t>
            </w:r>
          </w:p>
        </w:tc>
      </w:tr>
      <w:tr w:rsidR="001F0BE5" w:rsidRPr="001E6E9D" w14:paraId="7478A189" w14:textId="77777777" w:rsidTr="0009638F">
        <w:tc>
          <w:tcPr>
            <w:tcW w:w="5000" w:type="pct"/>
            <w:shd w:val="clear" w:color="auto" w:fill="auto"/>
            <w:vAlign w:val="center"/>
          </w:tcPr>
          <w:p w14:paraId="10AA6886" w14:textId="77777777" w:rsidR="001F0BE5" w:rsidRPr="001E6E9D" w:rsidRDefault="001F0BE5" w:rsidP="00BE2C56">
            <w:pPr>
              <w:spacing w:after="40"/>
              <w:jc w:val="center"/>
              <w:rPr>
                <w:rFonts w:asciiTheme="minorHAnsi" w:eastAsia="Times New Roman" w:hAnsiTheme="minorHAnsi" w:cstheme="minorHAnsi"/>
                <w:spacing w:val="-2"/>
                <w:sz w:val="16"/>
                <w:szCs w:val="10"/>
                <w:lang w:eastAsia="pt-BR"/>
              </w:rPr>
            </w:pPr>
            <w:r w:rsidRPr="00680A4C">
              <w:rPr>
                <w:rFonts w:asciiTheme="minorHAnsi" w:eastAsia="Times New Roman" w:hAnsiTheme="minorHAnsi" w:cstheme="minorHAnsi"/>
                <w:noProof/>
                <w:sz w:val="14"/>
                <w:szCs w:val="14"/>
                <w:lang w:eastAsia="pt-BR"/>
              </w:rPr>
              <w:drawing>
                <wp:inline distT="0" distB="0" distL="0" distR="0" wp14:anchorId="50DA0BE3" wp14:editId="7745B9DD">
                  <wp:extent cx="1539875" cy="225960"/>
                  <wp:effectExtent l="0" t="0" r="3175" b="3175"/>
                  <wp:docPr id="1105942199"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6375" cy="237186"/>
                          </a:xfrm>
                          <a:prstGeom prst="rect">
                            <a:avLst/>
                          </a:prstGeom>
                          <a:noFill/>
                          <a:ln>
                            <a:noFill/>
                          </a:ln>
                        </pic:spPr>
                      </pic:pic>
                    </a:graphicData>
                  </a:graphic>
                </wp:inline>
              </w:drawing>
            </w:r>
          </w:p>
        </w:tc>
      </w:tr>
    </w:tbl>
    <w:p w14:paraId="6E24D36E" w14:textId="2C99E24C" w:rsidR="00552F76" w:rsidRPr="002E5F78" w:rsidRDefault="00B2413C" w:rsidP="00FF699B">
      <w:pPr>
        <w:tabs>
          <w:tab w:val="left" w:pos="1134"/>
        </w:tabs>
        <w:spacing w:before="80" w:after="80"/>
        <w:ind w:right="11"/>
        <w:jc w:val="center"/>
        <w:rPr>
          <w:rFonts w:asciiTheme="minorHAnsi" w:eastAsia="Times New Roman" w:hAnsiTheme="minorHAnsi" w:cstheme="minorHAnsi"/>
          <w:sz w:val="10"/>
          <w:szCs w:val="10"/>
          <w:lang w:eastAsia="pt-BR"/>
        </w:rPr>
        <w:sectPr w:rsidR="00552F76" w:rsidRPr="002E5F78" w:rsidSect="00B526F3">
          <w:headerReference w:type="default" r:id="rId17"/>
          <w:footerReference w:type="default" r:id="rId18"/>
          <w:pgSz w:w="11906" w:h="16840" w:code="9"/>
          <w:pgMar w:top="567" w:right="567" w:bottom="567" w:left="2268" w:header="0" w:footer="284" w:gutter="0"/>
          <w:pgNumType w:start="0"/>
          <w:cols w:space="708"/>
          <w:docGrid w:linePitch="360"/>
        </w:sectPr>
      </w:pPr>
      <w:r>
        <w:rPr>
          <w:rFonts w:asciiTheme="minorHAnsi" w:eastAsia="Times New Roman" w:hAnsiTheme="minorHAnsi" w:cstheme="minorHAnsi"/>
          <w:sz w:val="10"/>
          <w:szCs w:val="10"/>
          <w:lang w:eastAsia="pt-BR"/>
        </w:rPr>
        <w:t xml:space="preserve">A DATA DESTE </w:t>
      </w:r>
      <w:r w:rsidRPr="00332057">
        <w:rPr>
          <w:rFonts w:asciiTheme="minorHAnsi" w:eastAsia="Times New Roman" w:hAnsiTheme="minorHAnsi" w:cstheme="minorHAnsi"/>
          <w:sz w:val="10"/>
          <w:szCs w:val="10"/>
          <w:lang w:eastAsia="pt-BR"/>
        </w:rPr>
        <w:t xml:space="preserve">PROSPECTO É DE </w:t>
      </w:r>
      <w:r w:rsidR="00332057" w:rsidRPr="00332057">
        <w:rPr>
          <w:rFonts w:asciiTheme="minorHAnsi" w:eastAsia="Times New Roman" w:hAnsiTheme="minorHAnsi" w:cstheme="minorHAnsi"/>
          <w:sz w:val="10"/>
          <w:szCs w:val="10"/>
          <w:lang w:eastAsia="pt-BR"/>
        </w:rPr>
        <w:t>0</w:t>
      </w:r>
      <w:r w:rsidR="002D21AA">
        <w:rPr>
          <w:rFonts w:asciiTheme="minorHAnsi" w:eastAsia="Times New Roman" w:hAnsiTheme="minorHAnsi" w:cstheme="minorHAnsi"/>
          <w:sz w:val="10"/>
          <w:szCs w:val="10"/>
          <w:lang w:eastAsia="pt-BR"/>
        </w:rPr>
        <w:t>5</w:t>
      </w:r>
      <w:r w:rsidRPr="00CC0854">
        <w:rPr>
          <w:rFonts w:asciiTheme="minorHAnsi" w:hAnsiTheme="minorHAnsi"/>
          <w:sz w:val="10"/>
        </w:rPr>
        <w:t xml:space="preserve"> DE FEVEREIRO</w:t>
      </w:r>
      <w:r w:rsidRPr="00332057">
        <w:rPr>
          <w:rFonts w:asciiTheme="minorHAnsi" w:eastAsia="Times New Roman" w:hAnsiTheme="minorHAnsi" w:cstheme="minorHAnsi"/>
          <w:sz w:val="10"/>
          <w:szCs w:val="10"/>
          <w:lang w:eastAsia="pt-BR"/>
        </w:rPr>
        <w:t xml:space="preserve"> DE</w:t>
      </w:r>
      <w:r>
        <w:rPr>
          <w:rFonts w:asciiTheme="minorHAnsi" w:eastAsia="Times New Roman" w:hAnsiTheme="minorHAnsi" w:cstheme="minorHAnsi"/>
          <w:sz w:val="10"/>
          <w:szCs w:val="10"/>
          <w:lang w:eastAsia="pt-BR"/>
        </w:rPr>
        <w:t xml:space="preserve"> 2025</w:t>
      </w:r>
      <w:r w:rsidR="001F0BE5" w:rsidRPr="009F5654">
        <w:rPr>
          <w:rFonts w:asciiTheme="minorHAnsi" w:eastAsia="Times New Roman" w:hAnsiTheme="minorHAnsi" w:cstheme="minorHAnsi"/>
          <w:sz w:val="10"/>
          <w:szCs w:val="10"/>
          <w:lang w:eastAsia="pt-BR"/>
        </w:rPr>
        <w:t>.</w:t>
      </w:r>
    </w:p>
    <w:p w14:paraId="15D01E39" w14:textId="7384C32B" w:rsidR="00775FAA" w:rsidRPr="001E6E9D" w:rsidRDefault="0053704D" w:rsidP="00DC7081">
      <w:pPr>
        <w:ind w:right="9"/>
        <w:jc w:val="center"/>
        <w:rPr>
          <w:rFonts w:asciiTheme="minorHAnsi" w:eastAsiaTheme="majorEastAsia" w:hAnsiTheme="minorHAnsi" w:cstheme="minorHAnsi"/>
          <w:szCs w:val="20"/>
        </w:rPr>
        <w:sectPr w:rsidR="00775FAA" w:rsidRPr="001E6E9D" w:rsidSect="00B526F3">
          <w:footerReference w:type="default" r:id="rId19"/>
          <w:pgSz w:w="11906" w:h="16840" w:code="9"/>
          <w:pgMar w:top="851" w:right="567" w:bottom="851" w:left="2268" w:header="0" w:footer="284" w:gutter="0"/>
          <w:pgNumType w:start="0"/>
          <w:cols w:space="708"/>
          <w:vAlign w:val="center"/>
          <w:docGrid w:linePitch="360"/>
        </w:sectPr>
      </w:pPr>
      <w:r w:rsidRPr="001E6E9D">
        <w:rPr>
          <w:rFonts w:asciiTheme="minorHAnsi" w:eastAsiaTheme="majorEastAsia" w:hAnsiTheme="minorHAnsi" w:cstheme="minorHAnsi"/>
          <w:szCs w:val="20"/>
        </w:rPr>
        <w:lastRenderedPageBreak/>
        <w:t>(Esta página foi intencionalmente deixada em branco)</w:t>
      </w:r>
      <w:r w:rsidR="00775FAA" w:rsidRPr="001E6E9D">
        <w:rPr>
          <w:rFonts w:asciiTheme="minorHAnsi" w:eastAsiaTheme="majorEastAsia" w:hAnsiTheme="minorHAnsi" w:cstheme="minorHAnsi"/>
          <w:szCs w:val="20"/>
        </w:rPr>
        <w:t xml:space="preserve"> </w:t>
      </w:r>
    </w:p>
    <w:p w14:paraId="6C241C8A" w14:textId="77777777" w:rsidR="0053704D" w:rsidRPr="001E6E9D" w:rsidRDefault="0053704D" w:rsidP="00DC7081">
      <w:pPr>
        <w:pBdr>
          <w:bottom w:val="single" w:sz="8" w:space="1" w:color="0082CB"/>
        </w:pBdr>
        <w:ind w:left="360" w:hanging="360"/>
        <w:jc w:val="center"/>
        <w:rPr>
          <w:rFonts w:asciiTheme="minorHAnsi" w:eastAsia="Times New Roman" w:hAnsiTheme="minorHAnsi" w:cstheme="minorHAnsi"/>
          <w:b/>
          <w:bCs/>
          <w:color w:val="0082CB"/>
          <w:szCs w:val="20"/>
          <w:lang w:eastAsia="pt-BR"/>
        </w:rPr>
      </w:pPr>
      <w:r w:rsidRPr="001E6E9D">
        <w:rPr>
          <w:rFonts w:asciiTheme="minorHAnsi" w:eastAsia="Times New Roman" w:hAnsiTheme="minorHAnsi" w:cstheme="minorHAnsi"/>
          <w:b/>
          <w:bCs/>
          <w:color w:val="0082CB"/>
          <w:szCs w:val="20"/>
          <w:lang w:eastAsia="pt-BR"/>
        </w:rPr>
        <w:lastRenderedPageBreak/>
        <w:t>ÍNDICE</w:t>
      </w:r>
    </w:p>
    <w:p w14:paraId="6E8D713C" w14:textId="2BABBDD7" w:rsidR="00DC7081" w:rsidRPr="001E6E9D" w:rsidRDefault="00C932D7" w:rsidP="00DC7081">
      <w:pPr>
        <w:pStyle w:val="Sumrio1"/>
        <w:rPr>
          <w:rFonts w:eastAsiaTheme="minorEastAsia" w:cstheme="minorHAnsi"/>
          <w:b w:val="0"/>
          <w:color w:val="auto"/>
          <w:sz w:val="22"/>
        </w:rPr>
      </w:pPr>
      <w:r w:rsidRPr="001E6E9D">
        <w:rPr>
          <w:rFonts w:eastAsiaTheme="majorEastAsia" w:cstheme="minorHAnsi"/>
          <w:szCs w:val="20"/>
        </w:rPr>
        <w:fldChar w:fldCharType="begin"/>
      </w:r>
      <w:r w:rsidRPr="001E6E9D">
        <w:rPr>
          <w:rFonts w:eastAsiaTheme="majorEastAsia" w:cstheme="minorHAnsi"/>
          <w:szCs w:val="20"/>
        </w:rPr>
        <w:instrText xml:space="preserve"> TOC \o "2-2" \h \z \u \t "Título 1;1" </w:instrText>
      </w:r>
      <w:r w:rsidRPr="001E6E9D">
        <w:rPr>
          <w:rFonts w:eastAsiaTheme="majorEastAsia" w:cstheme="minorHAnsi"/>
          <w:szCs w:val="20"/>
        </w:rPr>
        <w:fldChar w:fldCharType="separate"/>
      </w:r>
      <w:hyperlink w:anchor="_Toc184129203" w:history="1">
        <w:r w:rsidR="00DC7081" w:rsidRPr="001E6E9D">
          <w:rPr>
            <w:rStyle w:val="Hyperlink"/>
            <w:rFonts w:cstheme="minorHAnsi"/>
          </w:rPr>
          <w:t>2. PRINCIPAIS CARACTERÍSTICAS DA OFERTA</w:t>
        </w:r>
        <w:r w:rsidR="00DC7081" w:rsidRPr="001E6E9D">
          <w:rPr>
            <w:rFonts w:cstheme="minorHAnsi"/>
            <w:webHidden/>
          </w:rPr>
          <w:tab/>
        </w:r>
        <w:r w:rsidR="00DC7081" w:rsidRPr="001E6E9D">
          <w:rPr>
            <w:rFonts w:cstheme="minorHAnsi"/>
            <w:webHidden/>
          </w:rPr>
          <w:fldChar w:fldCharType="begin"/>
        </w:r>
        <w:r w:rsidR="00DC7081" w:rsidRPr="001E6E9D">
          <w:rPr>
            <w:rFonts w:cstheme="minorHAnsi"/>
            <w:webHidden/>
          </w:rPr>
          <w:instrText xml:space="preserve"> PAGEREF _Toc184129203 \h </w:instrText>
        </w:r>
        <w:r w:rsidR="00DC7081" w:rsidRPr="001E6E9D">
          <w:rPr>
            <w:rFonts w:cstheme="minorHAnsi"/>
            <w:webHidden/>
          </w:rPr>
        </w:r>
        <w:r w:rsidR="00DC7081" w:rsidRPr="001E6E9D">
          <w:rPr>
            <w:rFonts w:cstheme="minorHAnsi"/>
            <w:webHidden/>
          </w:rPr>
          <w:fldChar w:fldCharType="separate"/>
        </w:r>
        <w:r w:rsidR="00720666">
          <w:rPr>
            <w:rFonts w:cstheme="minorHAnsi"/>
            <w:webHidden/>
          </w:rPr>
          <w:t>1</w:t>
        </w:r>
        <w:r w:rsidR="00DC7081" w:rsidRPr="001E6E9D">
          <w:rPr>
            <w:rFonts w:cstheme="minorHAnsi"/>
            <w:webHidden/>
          </w:rPr>
          <w:fldChar w:fldCharType="end"/>
        </w:r>
      </w:hyperlink>
    </w:p>
    <w:p w14:paraId="433E0F45" w14:textId="3DBC7E08" w:rsidR="00DC7081" w:rsidRPr="001E6E9D" w:rsidRDefault="00DC7081" w:rsidP="00DC7081">
      <w:pPr>
        <w:pStyle w:val="Sumrio2"/>
        <w:rPr>
          <w:rFonts w:eastAsiaTheme="minorEastAsia" w:cstheme="minorHAnsi"/>
          <w:sz w:val="22"/>
          <w:lang w:eastAsia="pt-BR"/>
        </w:rPr>
      </w:pPr>
      <w:hyperlink w:anchor="_Toc184129204" w:history="1">
        <w:r w:rsidRPr="001E6E9D">
          <w:rPr>
            <w:rStyle w:val="Hyperlink"/>
            <w:rFonts w:cstheme="minorHAnsi"/>
          </w:rPr>
          <w:t>2.1. Breve descrição da Oferta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_Toc184129204 \h </w:instrText>
        </w:r>
        <w:r w:rsidRPr="001E6E9D">
          <w:rPr>
            <w:rFonts w:cstheme="minorHAnsi"/>
            <w:webHidden/>
          </w:rPr>
        </w:r>
        <w:r w:rsidRPr="001E6E9D">
          <w:rPr>
            <w:rFonts w:cstheme="minorHAnsi"/>
            <w:webHidden/>
          </w:rPr>
          <w:fldChar w:fldCharType="separate"/>
        </w:r>
        <w:r w:rsidR="00720666">
          <w:rPr>
            <w:rFonts w:cstheme="minorHAnsi"/>
            <w:webHidden/>
          </w:rPr>
          <w:t>1</w:t>
        </w:r>
        <w:r w:rsidRPr="001E6E9D">
          <w:rPr>
            <w:rFonts w:cstheme="minorHAnsi"/>
            <w:webHidden/>
          </w:rPr>
          <w:fldChar w:fldCharType="end"/>
        </w:r>
      </w:hyperlink>
    </w:p>
    <w:p w14:paraId="3EDCA94D" w14:textId="2A4CECD6" w:rsidR="00DC7081" w:rsidRPr="001E6E9D" w:rsidRDefault="00DC7081" w:rsidP="00DC7081">
      <w:pPr>
        <w:pStyle w:val="Sumrio2"/>
        <w:rPr>
          <w:rFonts w:eastAsiaTheme="minorEastAsia" w:cstheme="minorHAnsi"/>
          <w:sz w:val="22"/>
          <w:lang w:eastAsia="pt-BR"/>
        </w:rPr>
      </w:pPr>
      <w:hyperlink w:anchor="_Toc184129205" w:history="1">
        <w:r w:rsidRPr="001E6E9D">
          <w:rPr>
            <w:rStyle w:val="Hyperlink"/>
            <w:rFonts w:cstheme="minorHAnsi"/>
          </w:rPr>
          <w:t>2.2. Apresentação da Emissora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_Toc184129205 \h </w:instrText>
        </w:r>
        <w:r w:rsidRPr="001E6E9D">
          <w:rPr>
            <w:rFonts w:cstheme="minorHAnsi"/>
            <w:webHidden/>
          </w:rPr>
        </w:r>
        <w:r w:rsidRPr="001E6E9D">
          <w:rPr>
            <w:rFonts w:cstheme="minorHAnsi"/>
            <w:webHidden/>
          </w:rPr>
          <w:fldChar w:fldCharType="separate"/>
        </w:r>
        <w:r w:rsidR="00720666">
          <w:rPr>
            <w:rFonts w:cstheme="minorHAnsi"/>
            <w:webHidden/>
          </w:rPr>
          <w:t>1</w:t>
        </w:r>
        <w:r w:rsidRPr="001E6E9D">
          <w:rPr>
            <w:rFonts w:cstheme="minorHAnsi"/>
            <w:webHidden/>
          </w:rPr>
          <w:fldChar w:fldCharType="end"/>
        </w:r>
      </w:hyperlink>
    </w:p>
    <w:p w14:paraId="3257C3A5" w14:textId="35351EA4" w:rsidR="00DC7081" w:rsidRPr="001E6E9D" w:rsidRDefault="00DC7081" w:rsidP="00DC7081">
      <w:pPr>
        <w:pStyle w:val="Sumrio2"/>
        <w:rPr>
          <w:rFonts w:eastAsiaTheme="minorEastAsia" w:cstheme="minorHAnsi"/>
          <w:sz w:val="22"/>
          <w:lang w:eastAsia="pt-BR"/>
        </w:rPr>
      </w:pPr>
      <w:hyperlink w:anchor="_Toc184129206" w:history="1">
        <w:r w:rsidRPr="001E6E9D">
          <w:rPr>
            <w:rStyle w:val="Hyperlink"/>
            <w:rFonts w:cstheme="minorHAnsi"/>
          </w:rPr>
          <w:t>2.3. Identificação do público-alvo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_Toc184129206 \h </w:instrText>
        </w:r>
        <w:r w:rsidRPr="001E6E9D">
          <w:rPr>
            <w:rFonts w:cstheme="minorHAnsi"/>
            <w:webHidden/>
          </w:rPr>
        </w:r>
        <w:r w:rsidRPr="001E6E9D">
          <w:rPr>
            <w:rFonts w:cstheme="minorHAnsi"/>
            <w:webHidden/>
          </w:rPr>
          <w:fldChar w:fldCharType="separate"/>
        </w:r>
        <w:r w:rsidR="00720666">
          <w:rPr>
            <w:rFonts w:cstheme="minorHAnsi"/>
            <w:webHidden/>
          </w:rPr>
          <w:t>1</w:t>
        </w:r>
        <w:r w:rsidRPr="001E6E9D">
          <w:rPr>
            <w:rFonts w:cstheme="minorHAnsi"/>
            <w:webHidden/>
          </w:rPr>
          <w:fldChar w:fldCharType="end"/>
        </w:r>
      </w:hyperlink>
    </w:p>
    <w:p w14:paraId="6BF94E28" w14:textId="61B60FF8" w:rsidR="00DC7081" w:rsidRPr="001E6E9D" w:rsidRDefault="00DC7081" w:rsidP="00DC7081">
      <w:pPr>
        <w:pStyle w:val="Sumrio2"/>
        <w:rPr>
          <w:rFonts w:eastAsiaTheme="minorEastAsia" w:cstheme="minorHAnsi"/>
          <w:sz w:val="22"/>
          <w:lang w:eastAsia="pt-BR"/>
        </w:rPr>
      </w:pPr>
      <w:hyperlink w:anchor="_Toc184129207" w:history="1">
        <w:r w:rsidRPr="001E6E9D">
          <w:rPr>
            <w:rStyle w:val="Hyperlink"/>
            <w:rFonts w:cstheme="minorHAnsi"/>
          </w:rPr>
          <w:t>2.4. Admissão à negociação em mercados organizados de bolsa e balcão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_Toc184129207 \h </w:instrText>
        </w:r>
        <w:r w:rsidRPr="001E6E9D">
          <w:rPr>
            <w:rFonts w:cstheme="minorHAnsi"/>
            <w:webHidden/>
          </w:rPr>
        </w:r>
        <w:r w:rsidRPr="001E6E9D">
          <w:rPr>
            <w:rFonts w:cstheme="minorHAnsi"/>
            <w:webHidden/>
          </w:rPr>
          <w:fldChar w:fldCharType="separate"/>
        </w:r>
        <w:r w:rsidR="00720666">
          <w:rPr>
            <w:rFonts w:cstheme="minorHAnsi"/>
            <w:webHidden/>
          </w:rPr>
          <w:t>2</w:t>
        </w:r>
        <w:r w:rsidRPr="001E6E9D">
          <w:rPr>
            <w:rFonts w:cstheme="minorHAnsi"/>
            <w:webHidden/>
          </w:rPr>
          <w:fldChar w:fldCharType="end"/>
        </w:r>
      </w:hyperlink>
    </w:p>
    <w:p w14:paraId="56383DBB" w14:textId="3DFFFBE6" w:rsidR="00DC7081" w:rsidRPr="001E6E9D" w:rsidRDefault="00DC7081" w:rsidP="00DC7081">
      <w:pPr>
        <w:pStyle w:val="Sumrio2"/>
        <w:rPr>
          <w:rFonts w:eastAsiaTheme="minorEastAsia" w:cstheme="minorHAnsi"/>
          <w:sz w:val="22"/>
          <w:lang w:eastAsia="pt-BR"/>
        </w:rPr>
      </w:pPr>
      <w:hyperlink w:anchor="_Toc184129208" w:history="1">
        <w:r w:rsidRPr="001E6E9D">
          <w:rPr>
            <w:rStyle w:val="Hyperlink"/>
            <w:rFonts w:cstheme="minorHAnsi"/>
          </w:rPr>
          <w:t>2.5. Valor total da Oferta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_Toc184129208 \h </w:instrText>
        </w:r>
        <w:r w:rsidRPr="001E6E9D">
          <w:rPr>
            <w:rFonts w:cstheme="minorHAnsi"/>
            <w:webHidden/>
          </w:rPr>
        </w:r>
        <w:r w:rsidRPr="001E6E9D">
          <w:rPr>
            <w:rFonts w:cstheme="minorHAnsi"/>
            <w:webHidden/>
          </w:rPr>
          <w:fldChar w:fldCharType="separate"/>
        </w:r>
        <w:r w:rsidR="00720666">
          <w:rPr>
            <w:rFonts w:cstheme="minorHAnsi"/>
            <w:webHidden/>
          </w:rPr>
          <w:t>2</w:t>
        </w:r>
        <w:r w:rsidRPr="001E6E9D">
          <w:rPr>
            <w:rFonts w:cstheme="minorHAnsi"/>
            <w:webHidden/>
          </w:rPr>
          <w:fldChar w:fldCharType="end"/>
        </w:r>
      </w:hyperlink>
    </w:p>
    <w:p w14:paraId="46A509AC" w14:textId="6E3EEFA6" w:rsidR="00DC7081" w:rsidRPr="001E6E9D" w:rsidRDefault="00DC7081" w:rsidP="00DC7081">
      <w:pPr>
        <w:pStyle w:val="Sumrio2"/>
        <w:rPr>
          <w:rFonts w:eastAsiaTheme="minorEastAsia" w:cstheme="minorHAnsi"/>
          <w:sz w:val="22"/>
          <w:lang w:eastAsia="pt-BR"/>
        </w:rPr>
      </w:pPr>
      <w:hyperlink w:anchor="_Toc184129209" w:history="1">
        <w:r w:rsidRPr="001E6E9D">
          <w:rPr>
            <w:rStyle w:val="Hyperlink"/>
            <w:rFonts w:cstheme="minorHAnsi"/>
          </w:rPr>
          <w:t>2.6. Características da Oferta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_Toc184129209 \h </w:instrText>
        </w:r>
        <w:r w:rsidRPr="001E6E9D">
          <w:rPr>
            <w:rFonts w:cstheme="minorHAnsi"/>
            <w:webHidden/>
          </w:rPr>
        </w:r>
        <w:r w:rsidRPr="001E6E9D">
          <w:rPr>
            <w:rFonts w:cstheme="minorHAnsi"/>
            <w:webHidden/>
          </w:rPr>
          <w:fldChar w:fldCharType="separate"/>
        </w:r>
        <w:r w:rsidR="00720666">
          <w:rPr>
            <w:rFonts w:cstheme="minorHAnsi"/>
            <w:webHidden/>
          </w:rPr>
          <w:t>2</w:t>
        </w:r>
        <w:r w:rsidRPr="001E6E9D">
          <w:rPr>
            <w:rFonts w:cstheme="minorHAnsi"/>
            <w:webHidden/>
          </w:rPr>
          <w:fldChar w:fldCharType="end"/>
        </w:r>
      </w:hyperlink>
    </w:p>
    <w:p w14:paraId="4470E40D" w14:textId="6C028AF0" w:rsidR="00DC7081" w:rsidRPr="001E6E9D" w:rsidRDefault="00DC7081" w:rsidP="00DC7081">
      <w:pPr>
        <w:pStyle w:val="Sumrio1"/>
        <w:rPr>
          <w:rFonts w:eastAsiaTheme="minorEastAsia" w:cstheme="minorHAnsi"/>
          <w:b w:val="0"/>
          <w:color w:val="auto"/>
          <w:sz w:val="22"/>
        </w:rPr>
      </w:pPr>
      <w:hyperlink w:anchor="_Toc184129210" w:history="1">
        <w:r w:rsidRPr="001E6E9D">
          <w:rPr>
            <w:rStyle w:val="Hyperlink"/>
            <w:rFonts w:cstheme="minorHAnsi"/>
          </w:rPr>
          <w:t>3. DESTINAÇÃO DE RECURSOS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_Toc184129210 \h </w:instrText>
        </w:r>
        <w:r w:rsidRPr="001E6E9D">
          <w:rPr>
            <w:rFonts w:cstheme="minorHAnsi"/>
            <w:webHidden/>
          </w:rPr>
        </w:r>
        <w:r w:rsidRPr="001E6E9D">
          <w:rPr>
            <w:rFonts w:cstheme="minorHAnsi"/>
            <w:webHidden/>
          </w:rPr>
          <w:fldChar w:fldCharType="separate"/>
        </w:r>
        <w:r w:rsidR="00720666">
          <w:rPr>
            <w:rFonts w:cstheme="minorHAnsi"/>
            <w:webHidden/>
          </w:rPr>
          <w:t>16</w:t>
        </w:r>
        <w:r w:rsidRPr="001E6E9D">
          <w:rPr>
            <w:rFonts w:cstheme="minorHAnsi"/>
            <w:webHidden/>
          </w:rPr>
          <w:fldChar w:fldCharType="end"/>
        </w:r>
      </w:hyperlink>
    </w:p>
    <w:p w14:paraId="39E99506" w14:textId="60CC8CFA" w:rsidR="00DC7081" w:rsidRPr="001E6E9D" w:rsidRDefault="00DC7081" w:rsidP="00DC7081">
      <w:pPr>
        <w:pStyle w:val="Sumrio2"/>
        <w:rPr>
          <w:rFonts w:eastAsiaTheme="minorEastAsia" w:cstheme="minorHAnsi"/>
          <w:sz w:val="22"/>
          <w:lang w:eastAsia="pt-BR"/>
        </w:rPr>
      </w:pPr>
      <w:hyperlink w:anchor="_Toc184129211" w:history="1">
        <w:r w:rsidRPr="001E6E9D">
          <w:rPr>
            <w:rStyle w:val="Hyperlink"/>
            <w:rFonts w:eastAsiaTheme="majorEastAsia" w:cstheme="minorHAnsi"/>
          </w:rPr>
          <w:t>3.1. Destinação</w:t>
        </w:r>
        <w:r w:rsidRPr="001E6E9D">
          <w:rPr>
            <w:rStyle w:val="Hyperlink"/>
            <w:rFonts w:cstheme="minorHAnsi"/>
          </w:rPr>
          <w:t xml:space="preserve"> dos Recursos e seu impacto na situação patrimonial e nos resultados da Emissora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_Toc184129211 \h </w:instrText>
        </w:r>
        <w:r w:rsidRPr="001E6E9D">
          <w:rPr>
            <w:rFonts w:cstheme="minorHAnsi"/>
            <w:webHidden/>
          </w:rPr>
        </w:r>
        <w:r w:rsidRPr="001E6E9D">
          <w:rPr>
            <w:rFonts w:cstheme="minorHAnsi"/>
            <w:webHidden/>
          </w:rPr>
          <w:fldChar w:fldCharType="separate"/>
        </w:r>
        <w:r w:rsidR="00720666">
          <w:rPr>
            <w:rFonts w:cstheme="minorHAnsi"/>
            <w:webHidden/>
          </w:rPr>
          <w:t>16</w:t>
        </w:r>
        <w:r w:rsidRPr="001E6E9D">
          <w:rPr>
            <w:rFonts w:cstheme="minorHAnsi"/>
            <w:webHidden/>
          </w:rPr>
          <w:fldChar w:fldCharType="end"/>
        </w:r>
      </w:hyperlink>
    </w:p>
    <w:p w14:paraId="5106D9E6" w14:textId="6C1DC2BF" w:rsidR="00DC7081" w:rsidRPr="001E6E9D" w:rsidRDefault="00DC7081" w:rsidP="00DC7081">
      <w:pPr>
        <w:pStyle w:val="Sumrio2"/>
        <w:rPr>
          <w:rFonts w:eastAsiaTheme="minorEastAsia" w:cstheme="minorHAnsi"/>
          <w:sz w:val="22"/>
          <w:lang w:eastAsia="pt-BR"/>
        </w:rPr>
      </w:pPr>
      <w:hyperlink w:anchor="_Toc184129212" w:history="1">
        <w:r w:rsidRPr="001E6E9D">
          <w:rPr>
            <w:rStyle w:val="Hyperlink"/>
            <w:rFonts w:cstheme="minorHAnsi"/>
          </w:rPr>
          <w:t>3.2. Se os Recursos forem, direta ou indiretamente, utilizados na aquisição de ativos, à exceção daqueles adquiridos no curso regular dos negócios, descrever sumariamente esses ativos e seus custos. Se forem adquiridos de partes relacionadas, informar de quem serão comprados e como o custo será determinado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_Toc184129212 \h </w:instrText>
        </w:r>
        <w:r w:rsidRPr="001E6E9D">
          <w:rPr>
            <w:rFonts w:cstheme="minorHAnsi"/>
            <w:webHidden/>
          </w:rPr>
        </w:r>
        <w:r w:rsidRPr="001E6E9D">
          <w:rPr>
            <w:rFonts w:cstheme="minorHAnsi"/>
            <w:webHidden/>
          </w:rPr>
          <w:fldChar w:fldCharType="separate"/>
        </w:r>
        <w:r w:rsidR="00720666">
          <w:rPr>
            <w:rFonts w:cstheme="minorHAnsi"/>
            <w:webHidden/>
          </w:rPr>
          <w:t>43</w:t>
        </w:r>
        <w:r w:rsidRPr="001E6E9D">
          <w:rPr>
            <w:rFonts w:cstheme="minorHAnsi"/>
            <w:webHidden/>
          </w:rPr>
          <w:fldChar w:fldCharType="end"/>
        </w:r>
      </w:hyperlink>
    </w:p>
    <w:p w14:paraId="0EE23AC7" w14:textId="3CEA1044" w:rsidR="00DC7081" w:rsidRPr="001E6E9D" w:rsidRDefault="00DC7081" w:rsidP="00DC7081">
      <w:pPr>
        <w:pStyle w:val="Sumrio2"/>
        <w:rPr>
          <w:rFonts w:eastAsiaTheme="minorEastAsia" w:cstheme="minorHAnsi"/>
          <w:sz w:val="22"/>
          <w:lang w:eastAsia="pt-BR"/>
        </w:rPr>
      </w:pPr>
      <w:hyperlink w:anchor="_Toc184129213" w:history="1">
        <w:r w:rsidRPr="001E6E9D">
          <w:rPr>
            <w:rStyle w:val="Hyperlink"/>
            <w:rFonts w:cstheme="minorHAnsi"/>
          </w:rPr>
          <w:t>3.3. Se os Recursos forem utilizados para adquirir outros negócios, apresentar descrição sumária desses negócios e o estágio das aquisições. Se forem adquiridos de partes relacionadas, informar de quem serão comprados e como o custo será determinado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_Toc184129213 \h </w:instrText>
        </w:r>
        <w:r w:rsidRPr="001E6E9D">
          <w:rPr>
            <w:rFonts w:cstheme="minorHAnsi"/>
            <w:webHidden/>
          </w:rPr>
        </w:r>
        <w:r w:rsidRPr="001E6E9D">
          <w:rPr>
            <w:rFonts w:cstheme="minorHAnsi"/>
            <w:webHidden/>
          </w:rPr>
          <w:fldChar w:fldCharType="separate"/>
        </w:r>
        <w:r w:rsidR="00720666">
          <w:rPr>
            <w:rFonts w:cstheme="minorHAnsi"/>
            <w:webHidden/>
          </w:rPr>
          <w:t>43</w:t>
        </w:r>
        <w:r w:rsidRPr="001E6E9D">
          <w:rPr>
            <w:rFonts w:cstheme="minorHAnsi"/>
            <w:webHidden/>
          </w:rPr>
          <w:fldChar w:fldCharType="end"/>
        </w:r>
      </w:hyperlink>
    </w:p>
    <w:p w14:paraId="17F59F30" w14:textId="6E9303AD" w:rsidR="00DC7081" w:rsidRPr="001E6E9D" w:rsidRDefault="00DC7081" w:rsidP="00DC7081">
      <w:pPr>
        <w:pStyle w:val="Sumrio2"/>
        <w:rPr>
          <w:rFonts w:eastAsiaTheme="minorEastAsia" w:cstheme="minorHAnsi"/>
          <w:sz w:val="22"/>
          <w:lang w:eastAsia="pt-BR"/>
        </w:rPr>
      </w:pPr>
      <w:hyperlink w:anchor="_Toc184129214" w:history="1">
        <w:r w:rsidRPr="001E6E9D">
          <w:rPr>
            <w:rStyle w:val="Hyperlink"/>
            <w:rFonts w:cstheme="minorHAnsi"/>
          </w:rPr>
          <w:t>3.4. Se parte significativa dos Recursos for utilizada para abater dívidas, descrever taxa de juros e prazo dessas dívidas e, para aquelas incorridas a partir do ano anterior, apresentar a destinação daqueles recursos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_Toc184129214 \h </w:instrText>
        </w:r>
        <w:r w:rsidRPr="001E6E9D">
          <w:rPr>
            <w:rFonts w:cstheme="minorHAnsi"/>
            <w:webHidden/>
          </w:rPr>
        </w:r>
        <w:r w:rsidRPr="001E6E9D">
          <w:rPr>
            <w:rFonts w:cstheme="minorHAnsi"/>
            <w:webHidden/>
          </w:rPr>
          <w:fldChar w:fldCharType="separate"/>
        </w:r>
        <w:r w:rsidR="00720666">
          <w:rPr>
            <w:rFonts w:cstheme="minorHAnsi"/>
            <w:webHidden/>
          </w:rPr>
          <w:t>43</w:t>
        </w:r>
        <w:r w:rsidRPr="001E6E9D">
          <w:rPr>
            <w:rFonts w:cstheme="minorHAnsi"/>
            <w:webHidden/>
          </w:rPr>
          <w:fldChar w:fldCharType="end"/>
        </w:r>
      </w:hyperlink>
    </w:p>
    <w:p w14:paraId="44E8C56F" w14:textId="54701637" w:rsidR="00DC7081" w:rsidRPr="001E6E9D" w:rsidRDefault="00DC7081" w:rsidP="00DC7081">
      <w:pPr>
        <w:pStyle w:val="Sumrio2"/>
        <w:rPr>
          <w:rFonts w:eastAsiaTheme="minorEastAsia" w:cstheme="minorHAnsi"/>
          <w:sz w:val="22"/>
          <w:lang w:eastAsia="pt-BR"/>
        </w:rPr>
      </w:pPr>
      <w:hyperlink w:anchor="_Toc184129215" w:history="1">
        <w:r w:rsidRPr="001E6E9D">
          <w:rPr>
            <w:rStyle w:val="Hyperlink"/>
            <w:rFonts w:cstheme="minorHAnsi"/>
          </w:rPr>
          <w:t>3.5. No caso de parte dos Recursos serem destinados a pagamentos a serem efetuados a partes relacionadas ou a Coordenadores, por conta de transações já realizadas ou cuja celebração seja esperada, indicação do montante e dos beneficiários do pagamento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_Toc184129215 \h </w:instrText>
        </w:r>
        <w:r w:rsidRPr="001E6E9D">
          <w:rPr>
            <w:rFonts w:cstheme="minorHAnsi"/>
            <w:webHidden/>
          </w:rPr>
        </w:r>
        <w:r w:rsidRPr="001E6E9D">
          <w:rPr>
            <w:rFonts w:cstheme="minorHAnsi"/>
            <w:webHidden/>
          </w:rPr>
          <w:fldChar w:fldCharType="separate"/>
        </w:r>
        <w:r w:rsidR="00720666">
          <w:rPr>
            <w:rFonts w:cstheme="minorHAnsi"/>
            <w:webHidden/>
          </w:rPr>
          <w:t>43</w:t>
        </w:r>
        <w:r w:rsidRPr="001E6E9D">
          <w:rPr>
            <w:rFonts w:cstheme="minorHAnsi"/>
            <w:webHidden/>
          </w:rPr>
          <w:fldChar w:fldCharType="end"/>
        </w:r>
      </w:hyperlink>
    </w:p>
    <w:p w14:paraId="30EB1ABA" w14:textId="08C9D31D" w:rsidR="00DC7081" w:rsidRPr="001E6E9D" w:rsidRDefault="00DC7081" w:rsidP="00DC7081">
      <w:pPr>
        <w:pStyle w:val="Sumrio2"/>
        <w:rPr>
          <w:rFonts w:eastAsiaTheme="minorEastAsia" w:cstheme="minorHAnsi"/>
          <w:sz w:val="22"/>
          <w:lang w:eastAsia="pt-BR"/>
        </w:rPr>
      </w:pPr>
      <w:hyperlink w:anchor="_Toc184129216" w:history="1">
        <w:r w:rsidRPr="001E6E9D">
          <w:rPr>
            <w:rStyle w:val="Hyperlink"/>
            <w:rFonts w:cstheme="minorHAnsi"/>
          </w:rPr>
          <w:t>3.6. No caso de apenas parte dos Recursos vir a ser obtida por meio da distribuição, especificação dos objetivos prioritários e se há outras formas de captação previstas para atingir todos os objetivos originais da Emissora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_Toc184129216 \h </w:instrText>
        </w:r>
        <w:r w:rsidRPr="001E6E9D">
          <w:rPr>
            <w:rFonts w:cstheme="minorHAnsi"/>
            <w:webHidden/>
          </w:rPr>
        </w:r>
        <w:r w:rsidRPr="001E6E9D">
          <w:rPr>
            <w:rFonts w:cstheme="minorHAnsi"/>
            <w:webHidden/>
          </w:rPr>
          <w:fldChar w:fldCharType="separate"/>
        </w:r>
        <w:r w:rsidR="00720666">
          <w:rPr>
            <w:rFonts w:cstheme="minorHAnsi"/>
            <w:webHidden/>
          </w:rPr>
          <w:t>43</w:t>
        </w:r>
        <w:r w:rsidRPr="001E6E9D">
          <w:rPr>
            <w:rFonts w:cstheme="minorHAnsi"/>
            <w:webHidden/>
          </w:rPr>
          <w:fldChar w:fldCharType="end"/>
        </w:r>
      </w:hyperlink>
    </w:p>
    <w:p w14:paraId="466D1E86" w14:textId="4ADFDBCC" w:rsidR="00DC7081" w:rsidRPr="001E6E9D" w:rsidRDefault="00DC7081" w:rsidP="00DC7081">
      <w:pPr>
        <w:pStyle w:val="Sumrio2"/>
        <w:rPr>
          <w:rFonts w:eastAsiaTheme="minorEastAsia" w:cstheme="minorHAnsi"/>
          <w:sz w:val="22"/>
          <w:lang w:eastAsia="pt-BR"/>
        </w:rPr>
      </w:pPr>
      <w:hyperlink w:anchor="_Toc184129217" w:history="1">
        <w:r w:rsidRPr="001E6E9D">
          <w:rPr>
            <w:rStyle w:val="Hyperlink"/>
            <w:rFonts w:cstheme="minorHAnsi"/>
          </w:rPr>
          <w:t>3.7. Outras fontes de recursos: se aplicável, discriminar outras fontes de recursos que terão destinação associada àquela relativa à distribuição pública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_Toc184129217 \h </w:instrText>
        </w:r>
        <w:r w:rsidRPr="001E6E9D">
          <w:rPr>
            <w:rFonts w:cstheme="minorHAnsi"/>
            <w:webHidden/>
          </w:rPr>
        </w:r>
        <w:r w:rsidRPr="001E6E9D">
          <w:rPr>
            <w:rFonts w:cstheme="minorHAnsi"/>
            <w:webHidden/>
          </w:rPr>
          <w:fldChar w:fldCharType="separate"/>
        </w:r>
        <w:r w:rsidR="00720666">
          <w:rPr>
            <w:rFonts w:cstheme="minorHAnsi"/>
            <w:webHidden/>
          </w:rPr>
          <w:t>43</w:t>
        </w:r>
        <w:r w:rsidRPr="001E6E9D">
          <w:rPr>
            <w:rFonts w:cstheme="minorHAnsi"/>
            <w:webHidden/>
          </w:rPr>
          <w:fldChar w:fldCharType="end"/>
        </w:r>
      </w:hyperlink>
    </w:p>
    <w:p w14:paraId="6338C30F" w14:textId="61113984" w:rsidR="00DC7081" w:rsidRPr="001E6E9D" w:rsidRDefault="00DC7081" w:rsidP="00DC7081">
      <w:pPr>
        <w:pStyle w:val="Sumrio2"/>
        <w:rPr>
          <w:rFonts w:eastAsiaTheme="minorEastAsia" w:cstheme="minorHAnsi"/>
          <w:sz w:val="22"/>
          <w:lang w:eastAsia="pt-BR"/>
        </w:rPr>
      </w:pPr>
      <w:hyperlink w:anchor="_Toc184129218" w:history="1">
        <w:r w:rsidRPr="001E6E9D">
          <w:rPr>
            <w:rStyle w:val="Hyperlink"/>
            <w:rFonts w:cstheme="minorHAnsi"/>
          </w:rPr>
          <w:t>3.8. Se o título ofertado for qualificado pelo emissor como “verde”, “social”, “sustentável” ou termos correlatos, informar: (a) quais metodologias, princípios ou diretrizes amplamente reconhecidos foram seguidos para qualificação da oferta conforme item acima; (b) qual a entidade independente responsável pela averiguação acima citada e tipo de avaliação envolvida; (c) obrigações que a oferta impõe quanto à persecução de objetivos “verdes”, “sociais”, “sustentáveis” ou termos correlatos, conforme metodologias, princípios ou diretrizes amplamente reconhecidos; e (d) especificação sobre a forma, a periodicidade e a entidade responsável pelo reporte acerca do cumprimento de obrigações impostas pela oferta quanto à persecução de objetivos “verdes”, “sociais”, “sustentáveis” ou termos correlatos, conforme a metodologia, princípios ou diretrizes amplamente reconhecidos.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_Toc184129218 \h </w:instrText>
        </w:r>
        <w:r w:rsidRPr="001E6E9D">
          <w:rPr>
            <w:rFonts w:cstheme="minorHAnsi"/>
            <w:webHidden/>
          </w:rPr>
        </w:r>
        <w:r w:rsidRPr="001E6E9D">
          <w:rPr>
            <w:rFonts w:cstheme="minorHAnsi"/>
            <w:webHidden/>
          </w:rPr>
          <w:fldChar w:fldCharType="separate"/>
        </w:r>
        <w:r w:rsidR="00720666">
          <w:rPr>
            <w:rFonts w:cstheme="minorHAnsi"/>
            <w:webHidden/>
          </w:rPr>
          <w:t>44</w:t>
        </w:r>
        <w:r w:rsidRPr="001E6E9D">
          <w:rPr>
            <w:rFonts w:cstheme="minorHAnsi"/>
            <w:webHidden/>
          </w:rPr>
          <w:fldChar w:fldCharType="end"/>
        </w:r>
      </w:hyperlink>
    </w:p>
    <w:p w14:paraId="13A00220" w14:textId="429D7A62" w:rsidR="00DC7081" w:rsidRPr="001E6E9D" w:rsidRDefault="00DC7081" w:rsidP="00DC7081">
      <w:pPr>
        <w:pStyle w:val="Sumrio1"/>
        <w:rPr>
          <w:rFonts w:eastAsiaTheme="minorEastAsia" w:cstheme="minorHAnsi"/>
          <w:b w:val="0"/>
          <w:color w:val="auto"/>
          <w:sz w:val="22"/>
        </w:rPr>
      </w:pPr>
      <w:hyperlink w:anchor="_Toc184129219" w:history="1">
        <w:r w:rsidRPr="001E6E9D">
          <w:rPr>
            <w:rStyle w:val="Hyperlink"/>
            <w:rFonts w:cstheme="minorHAnsi"/>
          </w:rPr>
          <w:t>4. FATORES DE RISCO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_Toc184129219 \h </w:instrText>
        </w:r>
        <w:r w:rsidRPr="001E6E9D">
          <w:rPr>
            <w:rFonts w:cstheme="minorHAnsi"/>
            <w:webHidden/>
          </w:rPr>
        </w:r>
        <w:r w:rsidRPr="001E6E9D">
          <w:rPr>
            <w:rFonts w:cstheme="minorHAnsi"/>
            <w:webHidden/>
          </w:rPr>
          <w:fldChar w:fldCharType="separate"/>
        </w:r>
        <w:r w:rsidR="00720666">
          <w:rPr>
            <w:rFonts w:cstheme="minorHAnsi"/>
            <w:webHidden/>
          </w:rPr>
          <w:t>45</w:t>
        </w:r>
        <w:r w:rsidRPr="001E6E9D">
          <w:rPr>
            <w:rFonts w:cstheme="minorHAnsi"/>
            <w:webHidden/>
          </w:rPr>
          <w:fldChar w:fldCharType="end"/>
        </w:r>
      </w:hyperlink>
    </w:p>
    <w:p w14:paraId="7C7E39C6" w14:textId="21EEC6EE" w:rsidR="00DC7081" w:rsidRPr="001E6E9D" w:rsidRDefault="00DC7081" w:rsidP="00DC7081">
      <w:pPr>
        <w:pStyle w:val="Sumrio2"/>
        <w:rPr>
          <w:rFonts w:eastAsiaTheme="minorEastAsia" w:cstheme="minorHAnsi"/>
          <w:sz w:val="22"/>
          <w:lang w:eastAsia="pt-BR"/>
        </w:rPr>
      </w:pPr>
      <w:hyperlink w:anchor="_Toc184129220" w:history="1">
        <w:r w:rsidRPr="001E6E9D">
          <w:rPr>
            <w:rStyle w:val="Hyperlink"/>
            <w:rFonts w:cstheme="minorHAnsi"/>
          </w:rPr>
          <w:t>4.1. Em ordem decrescente de relevância, os principais fatores de risco associados à Oferta e à Emissora, incluindo os riscos: (a) associados a títulos quirografários, sem preferência ou subordinados, caso aplicável, e ao consequente impacto nos pagamentos aos investidores em caso de insolvência; e (b) relacionados com os terceiros prestadores de garantia, se houver, na medida em que sejam relevantes para a sua capacidade de cumprir o seu compromisso nos termos das garantias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_Toc184129220 \h </w:instrText>
        </w:r>
        <w:r w:rsidRPr="001E6E9D">
          <w:rPr>
            <w:rFonts w:cstheme="minorHAnsi"/>
            <w:webHidden/>
          </w:rPr>
        </w:r>
        <w:r w:rsidRPr="001E6E9D">
          <w:rPr>
            <w:rFonts w:cstheme="minorHAnsi"/>
            <w:webHidden/>
          </w:rPr>
          <w:fldChar w:fldCharType="separate"/>
        </w:r>
        <w:r w:rsidR="00720666">
          <w:rPr>
            <w:rFonts w:cstheme="minorHAnsi"/>
            <w:webHidden/>
          </w:rPr>
          <w:t>45</w:t>
        </w:r>
        <w:r w:rsidRPr="001E6E9D">
          <w:rPr>
            <w:rFonts w:cstheme="minorHAnsi"/>
            <w:webHidden/>
          </w:rPr>
          <w:fldChar w:fldCharType="end"/>
        </w:r>
      </w:hyperlink>
    </w:p>
    <w:p w14:paraId="117B4AF5" w14:textId="54261A98" w:rsidR="00DC7081" w:rsidRPr="001E6E9D" w:rsidRDefault="00DC7081" w:rsidP="00DC7081">
      <w:pPr>
        <w:pStyle w:val="Sumrio1"/>
        <w:rPr>
          <w:rFonts w:eastAsiaTheme="minorEastAsia" w:cstheme="minorHAnsi"/>
          <w:b w:val="0"/>
          <w:color w:val="auto"/>
          <w:sz w:val="22"/>
        </w:rPr>
      </w:pPr>
      <w:hyperlink w:anchor="_Toc184129221" w:history="1">
        <w:r w:rsidRPr="001E6E9D">
          <w:rPr>
            <w:rStyle w:val="Hyperlink"/>
            <w:rFonts w:cstheme="minorHAnsi"/>
          </w:rPr>
          <w:t>5. CRONOGRAMA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_Toc184129221 \h </w:instrText>
        </w:r>
        <w:r w:rsidRPr="001E6E9D">
          <w:rPr>
            <w:rFonts w:cstheme="minorHAnsi"/>
            <w:webHidden/>
          </w:rPr>
        </w:r>
        <w:r w:rsidRPr="001E6E9D">
          <w:rPr>
            <w:rFonts w:cstheme="minorHAnsi"/>
            <w:webHidden/>
          </w:rPr>
          <w:fldChar w:fldCharType="separate"/>
        </w:r>
        <w:r w:rsidR="00720666">
          <w:rPr>
            <w:rFonts w:cstheme="minorHAnsi"/>
            <w:webHidden/>
          </w:rPr>
          <w:t>58</w:t>
        </w:r>
        <w:r w:rsidRPr="001E6E9D">
          <w:rPr>
            <w:rFonts w:cstheme="minorHAnsi"/>
            <w:webHidden/>
          </w:rPr>
          <w:fldChar w:fldCharType="end"/>
        </w:r>
      </w:hyperlink>
    </w:p>
    <w:p w14:paraId="41F74D61" w14:textId="5C41DE41" w:rsidR="00DC7081" w:rsidRPr="001E6E9D" w:rsidRDefault="00DC7081" w:rsidP="00DC7081">
      <w:pPr>
        <w:pStyle w:val="Sumrio2"/>
        <w:rPr>
          <w:rFonts w:eastAsiaTheme="minorEastAsia" w:cstheme="minorHAnsi"/>
          <w:sz w:val="22"/>
          <w:lang w:eastAsia="pt-BR"/>
        </w:rPr>
      </w:pPr>
      <w:hyperlink w:anchor="_Toc184129222" w:history="1">
        <w:r w:rsidRPr="001E6E9D">
          <w:rPr>
            <w:rStyle w:val="Hyperlink"/>
            <w:rFonts w:cstheme="minorHAnsi"/>
          </w:rPr>
          <w:t>5.1. Cronograma das etapas da oferta, destacando, no mínimo: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_Toc184129222 \h </w:instrText>
        </w:r>
        <w:r w:rsidRPr="001E6E9D">
          <w:rPr>
            <w:rFonts w:cstheme="minorHAnsi"/>
            <w:webHidden/>
          </w:rPr>
        </w:r>
        <w:r w:rsidRPr="001E6E9D">
          <w:rPr>
            <w:rFonts w:cstheme="minorHAnsi"/>
            <w:webHidden/>
          </w:rPr>
          <w:fldChar w:fldCharType="separate"/>
        </w:r>
        <w:r w:rsidR="00720666">
          <w:rPr>
            <w:rFonts w:cstheme="minorHAnsi"/>
            <w:webHidden/>
          </w:rPr>
          <w:t>58</w:t>
        </w:r>
        <w:r w:rsidRPr="001E6E9D">
          <w:rPr>
            <w:rFonts w:cstheme="minorHAnsi"/>
            <w:webHidden/>
          </w:rPr>
          <w:fldChar w:fldCharType="end"/>
        </w:r>
      </w:hyperlink>
    </w:p>
    <w:p w14:paraId="47605ACE" w14:textId="023FFB73" w:rsidR="00DC7081" w:rsidRPr="001E6E9D" w:rsidRDefault="00DC7081" w:rsidP="00DC7081">
      <w:pPr>
        <w:pStyle w:val="Sumrio1"/>
        <w:rPr>
          <w:rFonts w:eastAsiaTheme="minorEastAsia" w:cstheme="minorHAnsi"/>
          <w:b w:val="0"/>
          <w:color w:val="auto"/>
          <w:sz w:val="22"/>
        </w:rPr>
      </w:pPr>
      <w:hyperlink w:anchor="_Toc184129223" w:history="1">
        <w:r w:rsidRPr="001E6E9D">
          <w:rPr>
            <w:rStyle w:val="Hyperlink"/>
            <w:rFonts w:cstheme="minorHAnsi"/>
          </w:rPr>
          <w:t>6. RESTRIÇÕES A DIREITOS DE INVESTIDORES NO CONTEXTO DA OFERTA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_Toc184129223 \h </w:instrText>
        </w:r>
        <w:r w:rsidRPr="001E6E9D">
          <w:rPr>
            <w:rFonts w:cstheme="minorHAnsi"/>
            <w:webHidden/>
          </w:rPr>
        </w:r>
        <w:r w:rsidRPr="001E6E9D">
          <w:rPr>
            <w:rFonts w:cstheme="minorHAnsi"/>
            <w:webHidden/>
          </w:rPr>
          <w:fldChar w:fldCharType="separate"/>
        </w:r>
        <w:r w:rsidR="00720666">
          <w:rPr>
            <w:rFonts w:cstheme="minorHAnsi"/>
            <w:webHidden/>
          </w:rPr>
          <w:t>61</w:t>
        </w:r>
        <w:r w:rsidRPr="001E6E9D">
          <w:rPr>
            <w:rFonts w:cstheme="minorHAnsi"/>
            <w:webHidden/>
          </w:rPr>
          <w:fldChar w:fldCharType="end"/>
        </w:r>
      </w:hyperlink>
    </w:p>
    <w:p w14:paraId="56885F23" w14:textId="2D8DE32F" w:rsidR="00DC7081" w:rsidRPr="001E6E9D" w:rsidRDefault="00DC7081" w:rsidP="00DC7081">
      <w:pPr>
        <w:pStyle w:val="Sumrio2"/>
        <w:rPr>
          <w:rFonts w:eastAsiaTheme="minorEastAsia" w:cstheme="minorHAnsi"/>
          <w:sz w:val="22"/>
          <w:lang w:eastAsia="pt-BR"/>
        </w:rPr>
      </w:pPr>
      <w:hyperlink w:anchor="_Toc184129224" w:history="1">
        <w:r w:rsidRPr="001E6E9D">
          <w:rPr>
            <w:rStyle w:val="Hyperlink"/>
            <w:rFonts w:cstheme="minorHAnsi"/>
          </w:rPr>
          <w:t>6.1. Eventuais restrições à transferência das Debêntures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_Toc184129224 \h </w:instrText>
        </w:r>
        <w:r w:rsidRPr="001E6E9D">
          <w:rPr>
            <w:rFonts w:cstheme="minorHAnsi"/>
            <w:webHidden/>
          </w:rPr>
        </w:r>
        <w:r w:rsidRPr="001E6E9D">
          <w:rPr>
            <w:rFonts w:cstheme="minorHAnsi"/>
            <w:webHidden/>
          </w:rPr>
          <w:fldChar w:fldCharType="separate"/>
        </w:r>
        <w:r w:rsidR="00720666">
          <w:rPr>
            <w:rFonts w:cstheme="minorHAnsi"/>
            <w:webHidden/>
          </w:rPr>
          <w:t>61</w:t>
        </w:r>
        <w:r w:rsidRPr="001E6E9D">
          <w:rPr>
            <w:rFonts w:cstheme="minorHAnsi"/>
            <w:webHidden/>
          </w:rPr>
          <w:fldChar w:fldCharType="end"/>
        </w:r>
      </w:hyperlink>
    </w:p>
    <w:p w14:paraId="48B6946F" w14:textId="44AACF6D" w:rsidR="00DC7081" w:rsidRPr="001E6E9D" w:rsidRDefault="00DC7081" w:rsidP="00DC7081">
      <w:pPr>
        <w:pStyle w:val="Sumrio2"/>
        <w:rPr>
          <w:rFonts w:eastAsiaTheme="minorEastAsia" w:cstheme="minorHAnsi"/>
          <w:sz w:val="22"/>
          <w:lang w:eastAsia="pt-BR"/>
        </w:rPr>
      </w:pPr>
      <w:hyperlink w:anchor="_Toc184129225" w:history="1">
        <w:r w:rsidRPr="001E6E9D">
          <w:rPr>
            <w:rStyle w:val="Hyperlink"/>
            <w:rFonts w:cstheme="minorHAnsi"/>
          </w:rPr>
          <w:t>6.2. Inadequação de investimento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_Toc184129225 \h </w:instrText>
        </w:r>
        <w:r w:rsidRPr="001E6E9D">
          <w:rPr>
            <w:rFonts w:cstheme="minorHAnsi"/>
            <w:webHidden/>
          </w:rPr>
        </w:r>
        <w:r w:rsidRPr="001E6E9D">
          <w:rPr>
            <w:rFonts w:cstheme="minorHAnsi"/>
            <w:webHidden/>
          </w:rPr>
          <w:fldChar w:fldCharType="separate"/>
        </w:r>
        <w:r w:rsidR="00720666">
          <w:rPr>
            <w:rFonts w:cstheme="minorHAnsi"/>
            <w:webHidden/>
          </w:rPr>
          <w:t>61</w:t>
        </w:r>
        <w:r w:rsidRPr="001E6E9D">
          <w:rPr>
            <w:rFonts w:cstheme="minorHAnsi"/>
            <w:webHidden/>
          </w:rPr>
          <w:fldChar w:fldCharType="end"/>
        </w:r>
      </w:hyperlink>
    </w:p>
    <w:p w14:paraId="1F69548C" w14:textId="3DE0C889" w:rsidR="00DC7081" w:rsidRPr="001E6E9D" w:rsidRDefault="00DC7081" w:rsidP="00DC7081">
      <w:pPr>
        <w:pStyle w:val="Sumrio2"/>
        <w:rPr>
          <w:rFonts w:eastAsiaTheme="minorEastAsia" w:cstheme="minorHAnsi"/>
          <w:sz w:val="22"/>
          <w:lang w:eastAsia="pt-BR"/>
        </w:rPr>
      </w:pPr>
      <w:hyperlink w:anchor="_Toc184129226" w:history="1">
        <w:r w:rsidRPr="001E6E9D">
          <w:rPr>
            <w:rStyle w:val="Hyperlink"/>
            <w:rFonts w:cstheme="minorHAnsi"/>
            <w:iCs/>
          </w:rPr>
          <w:t xml:space="preserve">6.3. </w:t>
        </w:r>
        <w:r w:rsidRPr="001E6E9D">
          <w:rPr>
            <w:rStyle w:val="Hyperlink"/>
            <w:rFonts w:cstheme="minorHAnsi"/>
          </w:rPr>
          <w:t>Eventual modificação da Oferta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_Toc184129226 \h </w:instrText>
        </w:r>
        <w:r w:rsidRPr="001E6E9D">
          <w:rPr>
            <w:rFonts w:cstheme="minorHAnsi"/>
            <w:webHidden/>
          </w:rPr>
        </w:r>
        <w:r w:rsidRPr="001E6E9D">
          <w:rPr>
            <w:rFonts w:cstheme="minorHAnsi"/>
            <w:webHidden/>
          </w:rPr>
          <w:fldChar w:fldCharType="separate"/>
        </w:r>
        <w:r w:rsidR="00720666">
          <w:rPr>
            <w:rFonts w:cstheme="minorHAnsi"/>
            <w:webHidden/>
          </w:rPr>
          <w:t>61</w:t>
        </w:r>
        <w:r w:rsidRPr="001E6E9D">
          <w:rPr>
            <w:rFonts w:cstheme="minorHAnsi"/>
            <w:webHidden/>
          </w:rPr>
          <w:fldChar w:fldCharType="end"/>
        </w:r>
      </w:hyperlink>
    </w:p>
    <w:p w14:paraId="26DD39C1" w14:textId="2A59C828" w:rsidR="00DC7081" w:rsidRPr="001E6E9D" w:rsidRDefault="00DC7081" w:rsidP="00DC7081">
      <w:pPr>
        <w:pStyle w:val="Sumrio1"/>
        <w:rPr>
          <w:rFonts w:eastAsiaTheme="minorEastAsia" w:cstheme="minorHAnsi"/>
          <w:b w:val="0"/>
          <w:color w:val="auto"/>
          <w:sz w:val="22"/>
        </w:rPr>
      </w:pPr>
      <w:hyperlink w:anchor="_Toc184129227" w:history="1">
        <w:r w:rsidRPr="001E6E9D">
          <w:rPr>
            <w:rStyle w:val="Hyperlink"/>
            <w:rFonts w:cstheme="minorHAnsi"/>
          </w:rPr>
          <w:t>7. OUTRAS CARACTERÍSTICAS DA OFERTA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_Toc184129227 \h </w:instrText>
        </w:r>
        <w:r w:rsidRPr="001E6E9D">
          <w:rPr>
            <w:rFonts w:cstheme="minorHAnsi"/>
            <w:webHidden/>
          </w:rPr>
        </w:r>
        <w:r w:rsidRPr="001E6E9D">
          <w:rPr>
            <w:rFonts w:cstheme="minorHAnsi"/>
            <w:webHidden/>
          </w:rPr>
          <w:fldChar w:fldCharType="separate"/>
        </w:r>
        <w:r w:rsidR="00720666">
          <w:rPr>
            <w:rFonts w:cstheme="minorHAnsi"/>
            <w:webHidden/>
          </w:rPr>
          <w:t>63</w:t>
        </w:r>
        <w:r w:rsidRPr="001E6E9D">
          <w:rPr>
            <w:rFonts w:cstheme="minorHAnsi"/>
            <w:webHidden/>
          </w:rPr>
          <w:fldChar w:fldCharType="end"/>
        </w:r>
      </w:hyperlink>
    </w:p>
    <w:p w14:paraId="0FFD721D" w14:textId="7DE49149" w:rsidR="00DC7081" w:rsidRPr="001E6E9D" w:rsidRDefault="00DC7081" w:rsidP="00DC7081">
      <w:pPr>
        <w:pStyle w:val="Sumrio2"/>
        <w:rPr>
          <w:rFonts w:eastAsiaTheme="minorEastAsia" w:cstheme="minorHAnsi"/>
          <w:sz w:val="22"/>
          <w:lang w:eastAsia="pt-BR"/>
        </w:rPr>
      </w:pPr>
      <w:hyperlink w:anchor="_Toc184129228" w:history="1">
        <w:r w:rsidRPr="001E6E9D">
          <w:rPr>
            <w:rStyle w:val="Hyperlink"/>
            <w:rFonts w:cstheme="minorHAnsi"/>
          </w:rPr>
          <w:t>7.1. Conversibilidade em outros valores mobiliários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_Toc184129228 \h </w:instrText>
        </w:r>
        <w:r w:rsidRPr="001E6E9D">
          <w:rPr>
            <w:rFonts w:cstheme="minorHAnsi"/>
            <w:webHidden/>
          </w:rPr>
        </w:r>
        <w:r w:rsidRPr="001E6E9D">
          <w:rPr>
            <w:rFonts w:cstheme="minorHAnsi"/>
            <w:webHidden/>
          </w:rPr>
          <w:fldChar w:fldCharType="separate"/>
        </w:r>
        <w:r w:rsidR="00720666">
          <w:rPr>
            <w:rFonts w:cstheme="minorHAnsi"/>
            <w:webHidden/>
          </w:rPr>
          <w:t>63</w:t>
        </w:r>
        <w:r w:rsidRPr="001E6E9D">
          <w:rPr>
            <w:rFonts w:cstheme="minorHAnsi"/>
            <w:webHidden/>
          </w:rPr>
          <w:fldChar w:fldCharType="end"/>
        </w:r>
      </w:hyperlink>
    </w:p>
    <w:p w14:paraId="090F8394" w14:textId="447F70AA" w:rsidR="00DC7081" w:rsidRPr="001E6E9D" w:rsidRDefault="00DC7081" w:rsidP="00DC7081">
      <w:pPr>
        <w:pStyle w:val="Sumrio2"/>
        <w:rPr>
          <w:rFonts w:eastAsiaTheme="minorEastAsia" w:cstheme="minorHAnsi"/>
          <w:sz w:val="22"/>
          <w:lang w:eastAsia="pt-BR"/>
        </w:rPr>
      </w:pPr>
      <w:hyperlink w:anchor="_Toc184129229" w:history="1">
        <w:r w:rsidRPr="001E6E9D">
          <w:rPr>
            <w:rStyle w:val="Hyperlink"/>
            <w:rFonts w:cstheme="minorHAnsi"/>
          </w:rPr>
          <w:t>7.2. Condições às quais a Oferta está submetida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_Toc184129229 \h </w:instrText>
        </w:r>
        <w:r w:rsidRPr="001E6E9D">
          <w:rPr>
            <w:rFonts w:cstheme="minorHAnsi"/>
            <w:webHidden/>
          </w:rPr>
        </w:r>
        <w:r w:rsidRPr="001E6E9D">
          <w:rPr>
            <w:rFonts w:cstheme="minorHAnsi"/>
            <w:webHidden/>
          </w:rPr>
          <w:fldChar w:fldCharType="separate"/>
        </w:r>
        <w:r w:rsidR="00720666">
          <w:rPr>
            <w:rFonts w:cstheme="minorHAnsi"/>
            <w:webHidden/>
          </w:rPr>
          <w:t>63</w:t>
        </w:r>
        <w:r w:rsidRPr="001E6E9D">
          <w:rPr>
            <w:rFonts w:cstheme="minorHAnsi"/>
            <w:webHidden/>
          </w:rPr>
          <w:fldChar w:fldCharType="end"/>
        </w:r>
      </w:hyperlink>
    </w:p>
    <w:p w14:paraId="33376B5B" w14:textId="163AB518" w:rsidR="00DC7081" w:rsidRPr="001E6E9D" w:rsidRDefault="00DC7081" w:rsidP="00DC7081">
      <w:pPr>
        <w:pStyle w:val="Sumrio2"/>
        <w:rPr>
          <w:rFonts w:eastAsiaTheme="minorEastAsia" w:cstheme="minorHAnsi"/>
          <w:sz w:val="22"/>
          <w:lang w:eastAsia="pt-BR"/>
        </w:rPr>
      </w:pPr>
      <w:hyperlink w:anchor="_Toc184129230" w:history="1">
        <w:r w:rsidRPr="001E6E9D">
          <w:rPr>
            <w:rStyle w:val="Hyperlink"/>
            <w:rFonts w:cstheme="minorHAnsi"/>
            <w:iCs/>
          </w:rPr>
          <w:t xml:space="preserve">7.3. </w:t>
        </w:r>
        <w:r w:rsidRPr="001E6E9D">
          <w:rPr>
            <w:rStyle w:val="Hyperlink"/>
            <w:rFonts w:cstheme="minorHAnsi"/>
          </w:rPr>
          <w:t>Eventual destinação da Oferta ou partes da Oferta a investidores específicos e a descrição destes investidores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_Toc184129230 \h </w:instrText>
        </w:r>
        <w:r w:rsidRPr="001E6E9D">
          <w:rPr>
            <w:rFonts w:cstheme="minorHAnsi"/>
            <w:webHidden/>
          </w:rPr>
        </w:r>
        <w:r w:rsidRPr="001E6E9D">
          <w:rPr>
            <w:rFonts w:cstheme="minorHAnsi"/>
            <w:webHidden/>
          </w:rPr>
          <w:fldChar w:fldCharType="separate"/>
        </w:r>
        <w:r w:rsidR="00720666">
          <w:rPr>
            <w:rFonts w:cstheme="minorHAnsi"/>
            <w:webHidden/>
          </w:rPr>
          <w:t>63</w:t>
        </w:r>
        <w:r w:rsidRPr="001E6E9D">
          <w:rPr>
            <w:rFonts w:cstheme="minorHAnsi"/>
            <w:webHidden/>
          </w:rPr>
          <w:fldChar w:fldCharType="end"/>
        </w:r>
      </w:hyperlink>
    </w:p>
    <w:p w14:paraId="701E4A70" w14:textId="3220A76A" w:rsidR="00DC7081" w:rsidRPr="001E6E9D" w:rsidRDefault="00DC7081" w:rsidP="00DC7081">
      <w:pPr>
        <w:pStyle w:val="Sumrio2"/>
        <w:rPr>
          <w:rFonts w:eastAsiaTheme="minorEastAsia" w:cstheme="minorHAnsi"/>
          <w:sz w:val="22"/>
          <w:lang w:eastAsia="pt-BR"/>
        </w:rPr>
      </w:pPr>
      <w:hyperlink w:anchor="_Toc184129231" w:history="1">
        <w:r w:rsidRPr="001E6E9D">
          <w:rPr>
            <w:rStyle w:val="Hyperlink"/>
            <w:rFonts w:cstheme="minorHAnsi"/>
            <w:iCs/>
          </w:rPr>
          <w:t xml:space="preserve">7.4. </w:t>
        </w:r>
        <w:r w:rsidRPr="001E6E9D">
          <w:rPr>
            <w:rStyle w:val="Hyperlink"/>
            <w:rFonts w:cstheme="minorHAnsi"/>
          </w:rPr>
          <w:t>Autorizações societárias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_Toc184129231 \h </w:instrText>
        </w:r>
        <w:r w:rsidRPr="001E6E9D">
          <w:rPr>
            <w:rFonts w:cstheme="minorHAnsi"/>
            <w:webHidden/>
          </w:rPr>
        </w:r>
        <w:r w:rsidRPr="001E6E9D">
          <w:rPr>
            <w:rFonts w:cstheme="minorHAnsi"/>
            <w:webHidden/>
          </w:rPr>
          <w:fldChar w:fldCharType="separate"/>
        </w:r>
        <w:r w:rsidR="00720666">
          <w:rPr>
            <w:rFonts w:cstheme="minorHAnsi"/>
            <w:webHidden/>
          </w:rPr>
          <w:t>63</w:t>
        </w:r>
        <w:r w:rsidRPr="001E6E9D">
          <w:rPr>
            <w:rFonts w:cstheme="minorHAnsi"/>
            <w:webHidden/>
          </w:rPr>
          <w:fldChar w:fldCharType="end"/>
        </w:r>
      </w:hyperlink>
    </w:p>
    <w:p w14:paraId="551A965C" w14:textId="4743FFCF" w:rsidR="00DC7081" w:rsidRPr="001E6E9D" w:rsidRDefault="00DC7081" w:rsidP="00DC7081">
      <w:pPr>
        <w:pStyle w:val="Sumrio2"/>
        <w:rPr>
          <w:rFonts w:eastAsiaTheme="minorEastAsia" w:cstheme="minorHAnsi"/>
          <w:sz w:val="22"/>
          <w:lang w:eastAsia="pt-BR"/>
        </w:rPr>
      </w:pPr>
      <w:hyperlink w:anchor="_Toc184129232" w:history="1">
        <w:r w:rsidRPr="001E6E9D">
          <w:rPr>
            <w:rStyle w:val="Hyperlink"/>
            <w:rFonts w:cstheme="minorHAnsi"/>
            <w:iCs/>
          </w:rPr>
          <w:t xml:space="preserve">7.5. </w:t>
        </w:r>
        <w:r w:rsidRPr="001E6E9D">
          <w:rPr>
            <w:rStyle w:val="Hyperlink"/>
            <w:rFonts w:cstheme="minorHAnsi"/>
          </w:rPr>
          <w:t>Regime de distribuição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_Toc184129232 \h </w:instrText>
        </w:r>
        <w:r w:rsidRPr="001E6E9D">
          <w:rPr>
            <w:rFonts w:cstheme="minorHAnsi"/>
            <w:webHidden/>
          </w:rPr>
        </w:r>
        <w:r w:rsidRPr="001E6E9D">
          <w:rPr>
            <w:rFonts w:cstheme="minorHAnsi"/>
            <w:webHidden/>
          </w:rPr>
          <w:fldChar w:fldCharType="separate"/>
        </w:r>
        <w:r w:rsidR="00720666">
          <w:rPr>
            <w:rFonts w:cstheme="minorHAnsi"/>
            <w:webHidden/>
          </w:rPr>
          <w:t>64</w:t>
        </w:r>
        <w:r w:rsidRPr="001E6E9D">
          <w:rPr>
            <w:rFonts w:cstheme="minorHAnsi"/>
            <w:webHidden/>
          </w:rPr>
          <w:fldChar w:fldCharType="end"/>
        </w:r>
      </w:hyperlink>
    </w:p>
    <w:p w14:paraId="78072202" w14:textId="6393C443" w:rsidR="00DC7081" w:rsidRPr="001E6E9D" w:rsidRDefault="00DC7081" w:rsidP="00DC7081">
      <w:pPr>
        <w:pStyle w:val="Sumrio2"/>
        <w:rPr>
          <w:rFonts w:eastAsiaTheme="minorEastAsia" w:cstheme="minorHAnsi"/>
          <w:sz w:val="22"/>
          <w:lang w:eastAsia="pt-BR"/>
        </w:rPr>
      </w:pPr>
      <w:hyperlink w:anchor="_Toc184129233" w:history="1">
        <w:r w:rsidRPr="001E6E9D">
          <w:rPr>
            <w:rStyle w:val="Hyperlink"/>
            <w:rFonts w:cstheme="minorHAnsi"/>
            <w:iCs/>
          </w:rPr>
          <w:t xml:space="preserve">7.6. </w:t>
        </w:r>
        <w:r w:rsidRPr="001E6E9D">
          <w:rPr>
            <w:rStyle w:val="Hyperlink"/>
            <w:rFonts w:cstheme="minorHAnsi"/>
          </w:rPr>
          <w:t>Dinâmica de coleta de intenções de investimento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_Toc184129233 \h </w:instrText>
        </w:r>
        <w:r w:rsidRPr="001E6E9D">
          <w:rPr>
            <w:rFonts w:cstheme="minorHAnsi"/>
            <w:webHidden/>
          </w:rPr>
        </w:r>
        <w:r w:rsidRPr="001E6E9D">
          <w:rPr>
            <w:rFonts w:cstheme="minorHAnsi"/>
            <w:webHidden/>
          </w:rPr>
          <w:fldChar w:fldCharType="separate"/>
        </w:r>
        <w:r w:rsidR="00720666">
          <w:rPr>
            <w:rFonts w:cstheme="minorHAnsi"/>
            <w:webHidden/>
          </w:rPr>
          <w:t>64</w:t>
        </w:r>
        <w:r w:rsidRPr="001E6E9D">
          <w:rPr>
            <w:rFonts w:cstheme="minorHAnsi"/>
            <w:webHidden/>
          </w:rPr>
          <w:fldChar w:fldCharType="end"/>
        </w:r>
      </w:hyperlink>
    </w:p>
    <w:p w14:paraId="44B097B8" w14:textId="5F1A1EA9" w:rsidR="00DC7081" w:rsidRPr="001E6E9D" w:rsidRDefault="00DC7081" w:rsidP="00DC7081">
      <w:pPr>
        <w:pStyle w:val="Sumrio2"/>
        <w:rPr>
          <w:rFonts w:eastAsiaTheme="minorEastAsia" w:cstheme="minorHAnsi"/>
          <w:sz w:val="22"/>
          <w:lang w:eastAsia="pt-BR"/>
        </w:rPr>
      </w:pPr>
      <w:hyperlink w:anchor="_Toc184129234" w:history="1">
        <w:r w:rsidRPr="001E6E9D">
          <w:rPr>
            <w:rStyle w:val="Hyperlink"/>
            <w:rFonts w:cstheme="minorHAnsi"/>
            <w:iCs/>
          </w:rPr>
          <w:t xml:space="preserve">7.7. </w:t>
        </w:r>
        <w:r w:rsidRPr="001E6E9D">
          <w:rPr>
            <w:rStyle w:val="Hyperlink"/>
            <w:rFonts w:cstheme="minorHAnsi"/>
          </w:rPr>
          <w:t>Admissão à negociação em mercado organizado de bolsa ou balcão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_Toc184129234 \h </w:instrText>
        </w:r>
        <w:r w:rsidRPr="001E6E9D">
          <w:rPr>
            <w:rFonts w:cstheme="minorHAnsi"/>
            <w:webHidden/>
          </w:rPr>
        </w:r>
        <w:r w:rsidRPr="001E6E9D">
          <w:rPr>
            <w:rFonts w:cstheme="minorHAnsi"/>
            <w:webHidden/>
          </w:rPr>
          <w:fldChar w:fldCharType="separate"/>
        </w:r>
        <w:r w:rsidR="00720666">
          <w:rPr>
            <w:rFonts w:cstheme="minorHAnsi"/>
            <w:webHidden/>
          </w:rPr>
          <w:t>64</w:t>
        </w:r>
        <w:r w:rsidRPr="001E6E9D">
          <w:rPr>
            <w:rFonts w:cstheme="minorHAnsi"/>
            <w:webHidden/>
          </w:rPr>
          <w:fldChar w:fldCharType="end"/>
        </w:r>
      </w:hyperlink>
    </w:p>
    <w:p w14:paraId="45B94463" w14:textId="7A4C3F51" w:rsidR="00DC7081" w:rsidRPr="001E6E9D" w:rsidRDefault="00DC7081" w:rsidP="00DC7081">
      <w:pPr>
        <w:pStyle w:val="Sumrio2"/>
        <w:rPr>
          <w:rFonts w:eastAsiaTheme="minorEastAsia" w:cstheme="minorHAnsi"/>
          <w:sz w:val="22"/>
          <w:lang w:eastAsia="pt-BR"/>
        </w:rPr>
      </w:pPr>
      <w:hyperlink w:anchor="_Toc184129235" w:history="1">
        <w:r w:rsidRPr="001E6E9D">
          <w:rPr>
            <w:rStyle w:val="Hyperlink"/>
            <w:rFonts w:cstheme="minorHAnsi"/>
            <w:iCs/>
          </w:rPr>
          <w:t xml:space="preserve">7.8. </w:t>
        </w:r>
        <w:r w:rsidRPr="001E6E9D">
          <w:rPr>
            <w:rStyle w:val="Hyperlink"/>
            <w:rFonts w:cstheme="minorHAnsi"/>
          </w:rPr>
          <w:t>Formador de mercado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_Toc184129235 \h </w:instrText>
        </w:r>
        <w:r w:rsidRPr="001E6E9D">
          <w:rPr>
            <w:rFonts w:cstheme="minorHAnsi"/>
            <w:webHidden/>
          </w:rPr>
        </w:r>
        <w:r w:rsidRPr="001E6E9D">
          <w:rPr>
            <w:rFonts w:cstheme="minorHAnsi"/>
            <w:webHidden/>
          </w:rPr>
          <w:fldChar w:fldCharType="separate"/>
        </w:r>
        <w:r w:rsidR="00720666">
          <w:rPr>
            <w:rFonts w:cstheme="minorHAnsi"/>
            <w:webHidden/>
          </w:rPr>
          <w:t>64</w:t>
        </w:r>
        <w:r w:rsidRPr="001E6E9D">
          <w:rPr>
            <w:rFonts w:cstheme="minorHAnsi"/>
            <w:webHidden/>
          </w:rPr>
          <w:fldChar w:fldCharType="end"/>
        </w:r>
      </w:hyperlink>
    </w:p>
    <w:p w14:paraId="6F815BEF" w14:textId="7E779010" w:rsidR="00DC7081" w:rsidRPr="001E6E9D" w:rsidRDefault="00DC7081" w:rsidP="00DC7081">
      <w:pPr>
        <w:pStyle w:val="Sumrio2"/>
        <w:rPr>
          <w:rFonts w:eastAsiaTheme="minorEastAsia" w:cstheme="minorHAnsi"/>
          <w:sz w:val="22"/>
          <w:lang w:eastAsia="pt-BR"/>
        </w:rPr>
      </w:pPr>
      <w:hyperlink w:anchor="_Toc184129236" w:history="1">
        <w:r w:rsidRPr="001E6E9D">
          <w:rPr>
            <w:rStyle w:val="Hyperlink"/>
            <w:rFonts w:cstheme="minorHAnsi"/>
            <w:iCs/>
          </w:rPr>
          <w:t xml:space="preserve">7.9. </w:t>
        </w:r>
        <w:r w:rsidRPr="001E6E9D">
          <w:rPr>
            <w:rStyle w:val="Hyperlink"/>
            <w:rFonts w:cstheme="minorHAnsi"/>
          </w:rPr>
          <w:t>Fundo de liquidez e estabilização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_Toc184129236 \h </w:instrText>
        </w:r>
        <w:r w:rsidRPr="001E6E9D">
          <w:rPr>
            <w:rFonts w:cstheme="minorHAnsi"/>
            <w:webHidden/>
          </w:rPr>
        </w:r>
        <w:r w:rsidRPr="001E6E9D">
          <w:rPr>
            <w:rFonts w:cstheme="minorHAnsi"/>
            <w:webHidden/>
          </w:rPr>
          <w:fldChar w:fldCharType="separate"/>
        </w:r>
        <w:r w:rsidR="00720666">
          <w:rPr>
            <w:rFonts w:cstheme="minorHAnsi"/>
            <w:webHidden/>
          </w:rPr>
          <w:t>64</w:t>
        </w:r>
        <w:r w:rsidRPr="001E6E9D">
          <w:rPr>
            <w:rFonts w:cstheme="minorHAnsi"/>
            <w:webHidden/>
          </w:rPr>
          <w:fldChar w:fldCharType="end"/>
        </w:r>
      </w:hyperlink>
    </w:p>
    <w:p w14:paraId="50B0D516" w14:textId="3B219BF4" w:rsidR="00DC7081" w:rsidRPr="001E6E9D" w:rsidRDefault="00DC7081" w:rsidP="00DC7081">
      <w:pPr>
        <w:pStyle w:val="Sumrio2"/>
        <w:rPr>
          <w:rFonts w:eastAsiaTheme="minorEastAsia" w:cstheme="minorHAnsi"/>
          <w:sz w:val="22"/>
          <w:lang w:eastAsia="pt-BR"/>
        </w:rPr>
      </w:pPr>
      <w:hyperlink w:anchor="_Toc184129237" w:history="1">
        <w:r w:rsidRPr="001E6E9D">
          <w:rPr>
            <w:rStyle w:val="Hyperlink"/>
            <w:rFonts w:cstheme="minorHAnsi"/>
            <w:iCs/>
          </w:rPr>
          <w:t xml:space="preserve">7.10. </w:t>
        </w:r>
        <w:r w:rsidRPr="001E6E9D">
          <w:rPr>
            <w:rStyle w:val="Hyperlink"/>
            <w:rFonts w:cstheme="minorHAnsi"/>
          </w:rPr>
          <w:t>Requisitos ou exigências mínimas de investimento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_Toc184129237 \h </w:instrText>
        </w:r>
        <w:r w:rsidRPr="001E6E9D">
          <w:rPr>
            <w:rFonts w:cstheme="minorHAnsi"/>
            <w:webHidden/>
          </w:rPr>
        </w:r>
        <w:r w:rsidRPr="001E6E9D">
          <w:rPr>
            <w:rFonts w:cstheme="minorHAnsi"/>
            <w:webHidden/>
          </w:rPr>
          <w:fldChar w:fldCharType="separate"/>
        </w:r>
        <w:r w:rsidR="00720666">
          <w:rPr>
            <w:rFonts w:cstheme="minorHAnsi"/>
            <w:webHidden/>
          </w:rPr>
          <w:t>64</w:t>
        </w:r>
        <w:r w:rsidRPr="001E6E9D">
          <w:rPr>
            <w:rFonts w:cstheme="minorHAnsi"/>
            <w:webHidden/>
          </w:rPr>
          <w:fldChar w:fldCharType="end"/>
        </w:r>
      </w:hyperlink>
    </w:p>
    <w:p w14:paraId="2AEB912C" w14:textId="35470258" w:rsidR="00DC7081" w:rsidRPr="001E6E9D" w:rsidRDefault="00DC7081" w:rsidP="00DC7081">
      <w:pPr>
        <w:pStyle w:val="Sumrio1"/>
        <w:rPr>
          <w:rFonts w:eastAsiaTheme="minorEastAsia" w:cstheme="minorHAnsi"/>
          <w:b w:val="0"/>
          <w:color w:val="auto"/>
          <w:sz w:val="22"/>
        </w:rPr>
      </w:pPr>
      <w:hyperlink w:anchor="_Toc184129238" w:history="1">
        <w:r w:rsidRPr="001E6E9D">
          <w:rPr>
            <w:rStyle w:val="Hyperlink"/>
            <w:rFonts w:cstheme="minorHAnsi"/>
          </w:rPr>
          <w:t>8. RELACIONAMENTOS E CONFLITO DE INTERESSES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_Toc184129238 \h </w:instrText>
        </w:r>
        <w:r w:rsidRPr="001E6E9D">
          <w:rPr>
            <w:rFonts w:cstheme="minorHAnsi"/>
            <w:webHidden/>
          </w:rPr>
        </w:r>
        <w:r w:rsidRPr="001E6E9D">
          <w:rPr>
            <w:rFonts w:cstheme="minorHAnsi"/>
            <w:webHidden/>
          </w:rPr>
          <w:fldChar w:fldCharType="separate"/>
        </w:r>
        <w:r w:rsidR="00720666">
          <w:rPr>
            <w:rFonts w:cstheme="minorHAnsi"/>
            <w:webHidden/>
          </w:rPr>
          <w:t>65</w:t>
        </w:r>
        <w:r w:rsidRPr="001E6E9D">
          <w:rPr>
            <w:rFonts w:cstheme="minorHAnsi"/>
            <w:webHidden/>
          </w:rPr>
          <w:fldChar w:fldCharType="end"/>
        </w:r>
      </w:hyperlink>
    </w:p>
    <w:p w14:paraId="2A2D1935" w14:textId="115400D0" w:rsidR="00DC7081" w:rsidRPr="001E6E9D" w:rsidRDefault="00DC7081" w:rsidP="00DC7081">
      <w:pPr>
        <w:pStyle w:val="Sumrio2"/>
        <w:rPr>
          <w:rFonts w:eastAsiaTheme="minorEastAsia" w:cstheme="minorHAnsi"/>
          <w:sz w:val="22"/>
          <w:lang w:eastAsia="pt-BR"/>
        </w:rPr>
      </w:pPr>
      <w:hyperlink w:anchor="_Toc184129239" w:history="1">
        <w:r w:rsidRPr="001E6E9D">
          <w:rPr>
            <w:rStyle w:val="Hyperlink"/>
            <w:rFonts w:eastAsia="ヒラギノ角ゴ Pro W3" w:cstheme="minorHAnsi"/>
          </w:rPr>
          <w:t>8.1. Relacionamento entre os Coordenadores e a Emissora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_Toc184129239 \h </w:instrText>
        </w:r>
        <w:r w:rsidRPr="001E6E9D">
          <w:rPr>
            <w:rFonts w:cstheme="minorHAnsi"/>
            <w:webHidden/>
          </w:rPr>
        </w:r>
        <w:r w:rsidRPr="001E6E9D">
          <w:rPr>
            <w:rFonts w:cstheme="minorHAnsi"/>
            <w:webHidden/>
          </w:rPr>
          <w:fldChar w:fldCharType="separate"/>
        </w:r>
        <w:r w:rsidR="00720666">
          <w:rPr>
            <w:rFonts w:cstheme="minorHAnsi"/>
            <w:webHidden/>
          </w:rPr>
          <w:t>65</w:t>
        </w:r>
        <w:r w:rsidRPr="001E6E9D">
          <w:rPr>
            <w:rFonts w:cstheme="minorHAnsi"/>
            <w:webHidden/>
          </w:rPr>
          <w:fldChar w:fldCharType="end"/>
        </w:r>
      </w:hyperlink>
    </w:p>
    <w:p w14:paraId="1F2CC007" w14:textId="1CD8797E" w:rsidR="00DC7081" w:rsidRPr="001E6E9D" w:rsidRDefault="00DC7081" w:rsidP="00DC7081">
      <w:pPr>
        <w:pStyle w:val="Sumrio2"/>
        <w:rPr>
          <w:rFonts w:eastAsiaTheme="minorEastAsia" w:cstheme="minorHAnsi"/>
          <w:sz w:val="22"/>
          <w:lang w:eastAsia="pt-BR"/>
        </w:rPr>
      </w:pPr>
      <w:hyperlink w:anchor="_Toc184129240" w:history="1">
        <w:r w:rsidRPr="001E6E9D">
          <w:rPr>
            <w:rStyle w:val="Hyperlink"/>
            <w:rFonts w:eastAsia="ヒラギノ角ゴ Pro W3" w:cstheme="minorHAnsi"/>
          </w:rPr>
          <w:t>8.2. Em relação à subseção 3.5, quando aplicável, apresentação: (i) das razões que justificam a operação; e (ii) da manifestação do credor acerca de potencial conflito de interesse decorrente de sua participação na oferta.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_Toc184129240 \h </w:instrText>
        </w:r>
        <w:r w:rsidRPr="001E6E9D">
          <w:rPr>
            <w:rFonts w:cstheme="minorHAnsi"/>
            <w:webHidden/>
          </w:rPr>
        </w:r>
        <w:r w:rsidRPr="001E6E9D">
          <w:rPr>
            <w:rFonts w:cstheme="minorHAnsi"/>
            <w:webHidden/>
          </w:rPr>
          <w:fldChar w:fldCharType="separate"/>
        </w:r>
        <w:r w:rsidR="00720666">
          <w:rPr>
            <w:rFonts w:cstheme="minorHAnsi"/>
            <w:webHidden/>
          </w:rPr>
          <w:t>65</w:t>
        </w:r>
        <w:r w:rsidRPr="001E6E9D">
          <w:rPr>
            <w:rFonts w:cstheme="minorHAnsi"/>
            <w:webHidden/>
          </w:rPr>
          <w:fldChar w:fldCharType="end"/>
        </w:r>
      </w:hyperlink>
    </w:p>
    <w:p w14:paraId="12CF81BF" w14:textId="66832DB1" w:rsidR="00DC7081" w:rsidRPr="001E6E9D" w:rsidRDefault="00DC7081" w:rsidP="00DC7081">
      <w:pPr>
        <w:pStyle w:val="Sumrio1"/>
        <w:rPr>
          <w:rFonts w:eastAsiaTheme="minorEastAsia" w:cstheme="minorHAnsi"/>
          <w:b w:val="0"/>
          <w:color w:val="auto"/>
          <w:sz w:val="22"/>
        </w:rPr>
      </w:pPr>
      <w:hyperlink w:anchor="_Toc184129241" w:history="1">
        <w:r w:rsidRPr="001E6E9D">
          <w:rPr>
            <w:rStyle w:val="Hyperlink"/>
            <w:rFonts w:cstheme="minorHAnsi"/>
          </w:rPr>
          <w:t>9</w:t>
        </w:r>
        <w:r w:rsidRPr="001E6E9D">
          <w:rPr>
            <w:rStyle w:val="Hyperlink"/>
            <w:rFonts w:cstheme="minorHAnsi"/>
            <w:i/>
          </w:rPr>
          <w:t xml:space="preserve">. </w:t>
        </w:r>
        <w:r w:rsidRPr="001E6E9D">
          <w:rPr>
            <w:rStyle w:val="Hyperlink"/>
            <w:rFonts w:cstheme="minorHAnsi"/>
          </w:rPr>
          <w:t>CONTRATO DE DISTRIBUIÇÃO DE VALORES MOBILIÁRIOS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_Toc184129241 \h </w:instrText>
        </w:r>
        <w:r w:rsidRPr="001E6E9D">
          <w:rPr>
            <w:rFonts w:cstheme="minorHAnsi"/>
            <w:webHidden/>
          </w:rPr>
        </w:r>
        <w:r w:rsidRPr="001E6E9D">
          <w:rPr>
            <w:rFonts w:cstheme="minorHAnsi"/>
            <w:webHidden/>
          </w:rPr>
          <w:fldChar w:fldCharType="separate"/>
        </w:r>
        <w:r w:rsidR="00720666">
          <w:rPr>
            <w:rFonts w:cstheme="minorHAnsi"/>
            <w:webHidden/>
          </w:rPr>
          <w:t>66</w:t>
        </w:r>
        <w:r w:rsidRPr="001E6E9D">
          <w:rPr>
            <w:rFonts w:cstheme="minorHAnsi"/>
            <w:webHidden/>
          </w:rPr>
          <w:fldChar w:fldCharType="end"/>
        </w:r>
      </w:hyperlink>
    </w:p>
    <w:p w14:paraId="3DB12E84" w14:textId="3CEDBCAD" w:rsidR="00DC7081" w:rsidRPr="001E6E9D" w:rsidRDefault="00DC7081" w:rsidP="00DC7081">
      <w:pPr>
        <w:pStyle w:val="Sumrio2"/>
        <w:rPr>
          <w:rFonts w:eastAsiaTheme="minorEastAsia" w:cstheme="minorHAnsi"/>
          <w:sz w:val="22"/>
          <w:lang w:eastAsia="pt-BR"/>
        </w:rPr>
      </w:pPr>
      <w:hyperlink w:anchor="_Toc184129242" w:history="1">
        <w:r w:rsidRPr="001E6E9D">
          <w:rPr>
            <w:rStyle w:val="Hyperlink"/>
            <w:rFonts w:eastAsia="ヒラギノ角ゴ Pro W3" w:cstheme="minorHAnsi"/>
          </w:rPr>
          <w:t>9.1. Condições do contrato de distribuição no que concerne à distribuição dos valores mobiliários junto ao público investidor em geral e eventual garantia de subscrição prestada pelos coordenadores e demais consorciados, especificando a quantidade que cabe a cada um, se for o caso, além de outras cláusulas consideradas de relevância para o investidor, indicando o local onde a cópia do contrato está disponível para consulta ou reprodução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_Toc184129242 \h </w:instrText>
        </w:r>
        <w:r w:rsidRPr="001E6E9D">
          <w:rPr>
            <w:rFonts w:cstheme="minorHAnsi"/>
            <w:webHidden/>
          </w:rPr>
        </w:r>
        <w:r w:rsidRPr="001E6E9D">
          <w:rPr>
            <w:rFonts w:cstheme="minorHAnsi"/>
            <w:webHidden/>
          </w:rPr>
          <w:fldChar w:fldCharType="separate"/>
        </w:r>
        <w:r w:rsidR="00720666">
          <w:rPr>
            <w:rFonts w:cstheme="minorHAnsi"/>
            <w:webHidden/>
          </w:rPr>
          <w:t>66</w:t>
        </w:r>
        <w:r w:rsidRPr="001E6E9D">
          <w:rPr>
            <w:rFonts w:cstheme="minorHAnsi"/>
            <w:webHidden/>
          </w:rPr>
          <w:fldChar w:fldCharType="end"/>
        </w:r>
      </w:hyperlink>
    </w:p>
    <w:p w14:paraId="51524549" w14:textId="576F031C" w:rsidR="00DC7081" w:rsidRPr="001E6E9D" w:rsidRDefault="00DC7081" w:rsidP="00DC7081">
      <w:pPr>
        <w:pStyle w:val="Sumrio2"/>
        <w:rPr>
          <w:rFonts w:eastAsiaTheme="minorEastAsia" w:cstheme="minorHAnsi"/>
          <w:sz w:val="22"/>
          <w:lang w:eastAsia="pt-BR"/>
        </w:rPr>
      </w:pPr>
      <w:hyperlink w:anchor="_Toc184129243" w:history="1">
        <w:r w:rsidRPr="001E6E9D">
          <w:rPr>
            <w:rStyle w:val="Hyperlink"/>
            <w:rFonts w:eastAsia="ヒラギノ角ゴ Pro W3" w:cstheme="minorHAnsi"/>
          </w:rPr>
          <w:t>9.2. Demonstrativo dos custos estimados de distribuição da Oferta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_Toc184129243 \h </w:instrText>
        </w:r>
        <w:r w:rsidRPr="001E6E9D">
          <w:rPr>
            <w:rFonts w:cstheme="minorHAnsi"/>
            <w:webHidden/>
          </w:rPr>
        </w:r>
        <w:r w:rsidRPr="001E6E9D">
          <w:rPr>
            <w:rFonts w:cstheme="minorHAnsi"/>
            <w:webHidden/>
          </w:rPr>
          <w:fldChar w:fldCharType="separate"/>
        </w:r>
        <w:r w:rsidR="00720666">
          <w:rPr>
            <w:rFonts w:cstheme="minorHAnsi"/>
            <w:webHidden/>
          </w:rPr>
          <w:t>73</w:t>
        </w:r>
        <w:r w:rsidRPr="001E6E9D">
          <w:rPr>
            <w:rFonts w:cstheme="minorHAnsi"/>
            <w:webHidden/>
          </w:rPr>
          <w:fldChar w:fldCharType="end"/>
        </w:r>
      </w:hyperlink>
    </w:p>
    <w:p w14:paraId="5C38D85C" w14:textId="51A8ED47" w:rsidR="00DC7081" w:rsidRPr="001E6E9D" w:rsidRDefault="00DC7081" w:rsidP="00DC7081">
      <w:pPr>
        <w:pStyle w:val="Sumrio1"/>
        <w:rPr>
          <w:rFonts w:eastAsiaTheme="minorEastAsia" w:cstheme="minorHAnsi"/>
          <w:b w:val="0"/>
          <w:color w:val="auto"/>
          <w:sz w:val="22"/>
        </w:rPr>
      </w:pPr>
      <w:hyperlink w:anchor="_Toc184129244" w:history="1">
        <w:r w:rsidRPr="001E6E9D">
          <w:rPr>
            <w:rStyle w:val="Hyperlink"/>
            <w:rFonts w:cstheme="minorHAnsi"/>
          </w:rPr>
          <w:t>10. INFORMAÇÕES RELATIVAS AOS TERCEIROS PRESTADORES DE GARANTIA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_Toc184129244 \h </w:instrText>
        </w:r>
        <w:r w:rsidRPr="001E6E9D">
          <w:rPr>
            <w:rFonts w:cstheme="minorHAnsi"/>
            <w:webHidden/>
          </w:rPr>
        </w:r>
        <w:r w:rsidRPr="001E6E9D">
          <w:rPr>
            <w:rFonts w:cstheme="minorHAnsi"/>
            <w:webHidden/>
          </w:rPr>
          <w:fldChar w:fldCharType="separate"/>
        </w:r>
        <w:r w:rsidR="00720666">
          <w:rPr>
            <w:rFonts w:cstheme="minorHAnsi"/>
            <w:webHidden/>
          </w:rPr>
          <w:t>75</w:t>
        </w:r>
        <w:r w:rsidRPr="001E6E9D">
          <w:rPr>
            <w:rFonts w:cstheme="minorHAnsi"/>
            <w:webHidden/>
          </w:rPr>
          <w:fldChar w:fldCharType="end"/>
        </w:r>
      </w:hyperlink>
    </w:p>
    <w:p w14:paraId="0BD12F45" w14:textId="1697595F" w:rsidR="00DC7081" w:rsidRPr="001E6E9D" w:rsidRDefault="00DC7081" w:rsidP="00DC7081">
      <w:pPr>
        <w:pStyle w:val="Sumrio2"/>
        <w:rPr>
          <w:rFonts w:eastAsiaTheme="minorEastAsia" w:cstheme="minorHAnsi"/>
          <w:sz w:val="22"/>
          <w:lang w:eastAsia="pt-BR"/>
        </w:rPr>
      </w:pPr>
      <w:hyperlink w:anchor="_Toc184129245" w:history="1">
        <w:r w:rsidRPr="001E6E9D">
          <w:rPr>
            <w:rStyle w:val="Hyperlink"/>
            <w:rFonts w:eastAsiaTheme="majorEastAsia" w:cstheme="minorHAnsi"/>
          </w:rPr>
          <w:t>10.1. Denominação social, CNPJ, sede e objeto social.</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_Toc184129245 \h </w:instrText>
        </w:r>
        <w:r w:rsidRPr="001E6E9D">
          <w:rPr>
            <w:rFonts w:cstheme="minorHAnsi"/>
            <w:webHidden/>
          </w:rPr>
        </w:r>
        <w:r w:rsidRPr="001E6E9D">
          <w:rPr>
            <w:rFonts w:cstheme="minorHAnsi"/>
            <w:webHidden/>
          </w:rPr>
          <w:fldChar w:fldCharType="separate"/>
        </w:r>
        <w:r w:rsidR="00720666">
          <w:rPr>
            <w:rFonts w:cstheme="minorHAnsi"/>
            <w:webHidden/>
          </w:rPr>
          <w:t>75</w:t>
        </w:r>
        <w:r w:rsidRPr="001E6E9D">
          <w:rPr>
            <w:rFonts w:cstheme="minorHAnsi"/>
            <w:webHidden/>
          </w:rPr>
          <w:fldChar w:fldCharType="end"/>
        </w:r>
      </w:hyperlink>
    </w:p>
    <w:p w14:paraId="730F287B" w14:textId="5604D84D" w:rsidR="00DC7081" w:rsidRPr="001E6E9D" w:rsidRDefault="00DC7081" w:rsidP="00DC7081">
      <w:pPr>
        <w:pStyle w:val="Sumrio2"/>
        <w:rPr>
          <w:rFonts w:eastAsiaTheme="minorEastAsia" w:cstheme="minorHAnsi"/>
          <w:sz w:val="22"/>
          <w:lang w:eastAsia="pt-BR"/>
        </w:rPr>
      </w:pPr>
      <w:hyperlink w:anchor="_Toc184129246" w:history="1">
        <w:r w:rsidRPr="001E6E9D">
          <w:rPr>
            <w:rStyle w:val="Hyperlink"/>
            <w:rFonts w:eastAsiaTheme="majorEastAsia" w:cstheme="minorHAnsi"/>
          </w:rPr>
          <w:t>10.2. Informações descritas nas subseções 1.1, 1.2, 1.11, 1.14, 6.1, 7.1, 8.2, 11.2, 12.1 e 12.3 do formulário de referência do terceiro prestador de garantia.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_Toc184129246 \h </w:instrText>
        </w:r>
        <w:r w:rsidRPr="001E6E9D">
          <w:rPr>
            <w:rFonts w:cstheme="minorHAnsi"/>
            <w:webHidden/>
          </w:rPr>
        </w:r>
        <w:r w:rsidRPr="001E6E9D">
          <w:rPr>
            <w:rFonts w:cstheme="minorHAnsi"/>
            <w:webHidden/>
          </w:rPr>
          <w:fldChar w:fldCharType="separate"/>
        </w:r>
        <w:r w:rsidR="00720666">
          <w:rPr>
            <w:rFonts w:cstheme="minorHAnsi"/>
            <w:webHidden/>
          </w:rPr>
          <w:t>79</w:t>
        </w:r>
        <w:r w:rsidRPr="001E6E9D">
          <w:rPr>
            <w:rFonts w:cstheme="minorHAnsi"/>
            <w:webHidden/>
          </w:rPr>
          <w:fldChar w:fldCharType="end"/>
        </w:r>
      </w:hyperlink>
    </w:p>
    <w:p w14:paraId="2790DC4A" w14:textId="5ABFA10A" w:rsidR="00DC7081" w:rsidRPr="001E6E9D" w:rsidRDefault="00DC7081" w:rsidP="00DC7081">
      <w:pPr>
        <w:pStyle w:val="Sumrio1"/>
        <w:rPr>
          <w:rFonts w:eastAsiaTheme="minorEastAsia" w:cstheme="minorHAnsi"/>
          <w:b w:val="0"/>
          <w:color w:val="auto"/>
          <w:sz w:val="22"/>
        </w:rPr>
      </w:pPr>
      <w:hyperlink w:anchor="_Toc184129247" w:history="1">
        <w:r w:rsidRPr="001E6E9D">
          <w:rPr>
            <w:rStyle w:val="Hyperlink"/>
            <w:rFonts w:cstheme="minorHAnsi"/>
          </w:rPr>
          <w:t>11. DOCUMENTOS OU INFORMAÇÕES INCORPORADOS AO PROSPECTO POR REFERÊNCIA OU COMO ANEXOS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_Toc184129247 \h </w:instrText>
        </w:r>
        <w:r w:rsidRPr="001E6E9D">
          <w:rPr>
            <w:rFonts w:cstheme="minorHAnsi"/>
            <w:webHidden/>
          </w:rPr>
        </w:r>
        <w:r w:rsidRPr="001E6E9D">
          <w:rPr>
            <w:rFonts w:cstheme="minorHAnsi"/>
            <w:webHidden/>
          </w:rPr>
          <w:fldChar w:fldCharType="separate"/>
        </w:r>
        <w:r w:rsidR="00720666">
          <w:rPr>
            <w:rFonts w:cstheme="minorHAnsi"/>
            <w:webHidden/>
          </w:rPr>
          <w:t>114</w:t>
        </w:r>
        <w:r w:rsidRPr="001E6E9D">
          <w:rPr>
            <w:rFonts w:cstheme="minorHAnsi"/>
            <w:webHidden/>
          </w:rPr>
          <w:fldChar w:fldCharType="end"/>
        </w:r>
      </w:hyperlink>
    </w:p>
    <w:p w14:paraId="7B5FC20B" w14:textId="6A7EAA62" w:rsidR="00DC7081" w:rsidRPr="001E6E9D" w:rsidRDefault="00DC7081" w:rsidP="00DC7081">
      <w:pPr>
        <w:pStyle w:val="Sumrio1"/>
        <w:rPr>
          <w:rFonts w:eastAsiaTheme="minorEastAsia" w:cstheme="minorHAnsi"/>
          <w:b w:val="0"/>
          <w:color w:val="auto"/>
          <w:sz w:val="22"/>
        </w:rPr>
      </w:pPr>
      <w:hyperlink w:anchor="_Toc184129248" w:history="1">
        <w:r w:rsidRPr="001E6E9D">
          <w:rPr>
            <w:rStyle w:val="Hyperlink"/>
            <w:rFonts w:cstheme="minorHAnsi"/>
          </w:rPr>
          <w:t>12. IDENTIFICAÇÃO DAS PESSOAS ENVOLVIDAS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_Toc184129248 \h </w:instrText>
        </w:r>
        <w:r w:rsidRPr="001E6E9D">
          <w:rPr>
            <w:rFonts w:cstheme="minorHAnsi"/>
            <w:webHidden/>
          </w:rPr>
        </w:r>
        <w:r w:rsidRPr="001E6E9D">
          <w:rPr>
            <w:rFonts w:cstheme="minorHAnsi"/>
            <w:webHidden/>
          </w:rPr>
          <w:fldChar w:fldCharType="separate"/>
        </w:r>
        <w:r w:rsidR="00720666">
          <w:rPr>
            <w:rFonts w:cstheme="minorHAnsi"/>
            <w:webHidden/>
          </w:rPr>
          <w:t>115</w:t>
        </w:r>
        <w:r w:rsidRPr="001E6E9D">
          <w:rPr>
            <w:rFonts w:cstheme="minorHAnsi"/>
            <w:webHidden/>
          </w:rPr>
          <w:fldChar w:fldCharType="end"/>
        </w:r>
      </w:hyperlink>
    </w:p>
    <w:p w14:paraId="23A424EC" w14:textId="07017F52" w:rsidR="00DC7081" w:rsidRPr="001E6E9D" w:rsidRDefault="00DC7081" w:rsidP="00DC7081">
      <w:pPr>
        <w:pStyle w:val="Sumrio2"/>
        <w:rPr>
          <w:rFonts w:eastAsiaTheme="minorEastAsia" w:cstheme="minorHAnsi"/>
          <w:sz w:val="22"/>
          <w:lang w:eastAsia="pt-BR"/>
        </w:rPr>
      </w:pPr>
      <w:hyperlink w:anchor="_Toc184129249" w:history="1">
        <w:r w:rsidRPr="001E6E9D">
          <w:rPr>
            <w:rStyle w:val="Hyperlink"/>
            <w:rFonts w:cstheme="minorHAnsi"/>
          </w:rPr>
          <w:t>12.1. Denominação social, endereço comercial, endereço eletrônico e telefones de contato da Emissora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_Toc184129249 \h </w:instrText>
        </w:r>
        <w:r w:rsidRPr="001E6E9D">
          <w:rPr>
            <w:rFonts w:cstheme="minorHAnsi"/>
            <w:webHidden/>
          </w:rPr>
        </w:r>
        <w:r w:rsidRPr="001E6E9D">
          <w:rPr>
            <w:rFonts w:cstheme="minorHAnsi"/>
            <w:webHidden/>
          </w:rPr>
          <w:fldChar w:fldCharType="separate"/>
        </w:r>
        <w:r w:rsidR="00720666">
          <w:rPr>
            <w:rFonts w:cstheme="minorHAnsi"/>
            <w:webHidden/>
          </w:rPr>
          <w:t>115</w:t>
        </w:r>
        <w:r w:rsidRPr="001E6E9D">
          <w:rPr>
            <w:rFonts w:cstheme="minorHAnsi"/>
            <w:webHidden/>
          </w:rPr>
          <w:fldChar w:fldCharType="end"/>
        </w:r>
      </w:hyperlink>
    </w:p>
    <w:p w14:paraId="6B292E33" w14:textId="077D01CA" w:rsidR="00DC7081" w:rsidRPr="001E6E9D" w:rsidRDefault="00DC7081" w:rsidP="00DC7081">
      <w:pPr>
        <w:pStyle w:val="Sumrio2"/>
        <w:rPr>
          <w:rFonts w:eastAsiaTheme="minorEastAsia" w:cstheme="minorHAnsi"/>
          <w:sz w:val="22"/>
          <w:lang w:eastAsia="pt-BR"/>
        </w:rPr>
      </w:pPr>
      <w:hyperlink w:anchor="_Toc184129250" w:history="1">
        <w:r w:rsidRPr="001E6E9D">
          <w:rPr>
            <w:rStyle w:val="Hyperlink"/>
            <w:rFonts w:cstheme="minorHAnsi"/>
          </w:rPr>
          <w:t>12.2. Nome, endereço comercial, endereço eletrônico e telefones de contato dos administradores que podem prestar esclarecimentos sobre a Oferta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_Toc184129250 \h </w:instrText>
        </w:r>
        <w:r w:rsidRPr="001E6E9D">
          <w:rPr>
            <w:rFonts w:cstheme="minorHAnsi"/>
            <w:webHidden/>
          </w:rPr>
        </w:r>
        <w:r w:rsidRPr="001E6E9D">
          <w:rPr>
            <w:rFonts w:cstheme="minorHAnsi"/>
            <w:webHidden/>
          </w:rPr>
          <w:fldChar w:fldCharType="separate"/>
        </w:r>
        <w:r w:rsidR="00720666">
          <w:rPr>
            <w:rFonts w:cstheme="minorHAnsi"/>
            <w:webHidden/>
          </w:rPr>
          <w:t>115</w:t>
        </w:r>
        <w:r w:rsidRPr="001E6E9D">
          <w:rPr>
            <w:rFonts w:cstheme="minorHAnsi"/>
            <w:webHidden/>
          </w:rPr>
          <w:fldChar w:fldCharType="end"/>
        </w:r>
      </w:hyperlink>
    </w:p>
    <w:p w14:paraId="25DE4AC6" w14:textId="4403F007" w:rsidR="00DC7081" w:rsidRPr="001E6E9D" w:rsidRDefault="00DC7081" w:rsidP="00DC7081">
      <w:pPr>
        <w:pStyle w:val="Sumrio2"/>
        <w:rPr>
          <w:rFonts w:eastAsiaTheme="minorEastAsia" w:cstheme="minorHAnsi"/>
          <w:sz w:val="22"/>
          <w:lang w:eastAsia="pt-BR"/>
        </w:rPr>
      </w:pPr>
      <w:hyperlink w:anchor="_Toc184129251" w:history="1">
        <w:r w:rsidRPr="001E6E9D">
          <w:rPr>
            <w:rStyle w:val="Hyperlink"/>
            <w:rFonts w:cstheme="minorHAnsi"/>
          </w:rPr>
          <w:t>12.3. Nome, endereço comercial, endereço eletrônico e telefones dos assessores (financeiros, jurídicos etc.) envolvidos na Oferta e responsáveis por fatos ou documentos citados no Prospecto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_Toc184129251 \h </w:instrText>
        </w:r>
        <w:r w:rsidRPr="001E6E9D">
          <w:rPr>
            <w:rFonts w:cstheme="minorHAnsi"/>
            <w:webHidden/>
          </w:rPr>
        </w:r>
        <w:r w:rsidRPr="001E6E9D">
          <w:rPr>
            <w:rFonts w:cstheme="minorHAnsi"/>
            <w:webHidden/>
          </w:rPr>
          <w:fldChar w:fldCharType="separate"/>
        </w:r>
        <w:r w:rsidR="00720666">
          <w:rPr>
            <w:rFonts w:cstheme="minorHAnsi"/>
            <w:webHidden/>
          </w:rPr>
          <w:t>115</w:t>
        </w:r>
        <w:r w:rsidRPr="001E6E9D">
          <w:rPr>
            <w:rFonts w:cstheme="minorHAnsi"/>
            <w:webHidden/>
          </w:rPr>
          <w:fldChar w:fldCharType="end"/>
        </w:r>
      </w:hyperlink>
    </w:p>
    <w:p w14:paraId="5BE7454D" w14:textId="5BB3A061" w:rsidR="00DC7081" w:rsidRPr="00850BEF" w:rsidRDefault="00DC7081" w:rsidP="00DC7081">
      <w:pPr>
        <w:pStyle w:val="Sumrio2"/>
        <w:rPr>
          <w:rFonts w:eastAsiaTheme="minorEastAsia" w:cstheme="minorHAnsi"/>
          <w:sz w:val="22"/>
          <w:lang w:eastAsia="pt-BR"/>
        </w:rPr>
      </w:pPr>
      <w:hyperlink w:anchor="_Toc184129252" w:history="1">
        <w:r w:rsidRPr="00850BEF">
          <w:rPr>
            <w:rStyle w:val="Hyperlink"/>
            <w:rFonts w:cstheme="minorHAnsi"/>
          </w:rPr>
          <w:t>12.4. Nome, endereço comercial, endereço eletrônico e telefones dos auditores responsáveis por auditar as de</w:t>
        </w:r>
        <w:r w:rsidRPr="00A9008E">
          <w:rPr>
            <w:rStyle w:val="Hyperlink"/>
          </w:rPr>
          <w:t xml:space="preserve">monstrações financeiras individuais e consolidadas da Emissora, relativas aos exercícios sociais findos em 31 de dezembro de 2023, 31 de dezembro de 2022, 31 de dezembro de 2021 e </w:t>
        </w:r>
        <w:r w:rsidR="00850BEF" w:rsidRPr="00850BEF">
          <w:rPr>
            <w:rStyle w:val="Hyperlink"/>
            <w:rFonts w:cstheme="minorHAnsi"/>
          </w:rPr>
          <w:t xml:space="preserve">revisar </w:t>
        </w:r>
        <w:r w:rsidRPr="00A9008E">
          <w:rPr>
            <w:rStyle w:val="Hyperlink"/>
          </w:rPr>
          <w:t>as demonstrações financeiras intermediárias condensadas individuais e consolidadas, relativas aos períodos nove meses findos em 31 de setembro de 2024</w:t>
        </w:r>
        <w:r w:rsidRPr="00850BEF">
          <w:rPr>
            <w:rFonts w:cstheme="minorHAnsi"/>
            <w:webHidden/>
          </w:rPr>
          <w:tab/>
        </w:r>
        <w:r w:rsidRPr="00850BEF">
          <w:rPr>
            <w:rFonts w:cstheme="minorHAnsi"/>
            <w:webHidden/>
          </w:rPr>
          <w:fldChar w:fldCharType="begin"/>
        </w:r>
        <w:r w:rsidRPr="00850BEF">
          <w:rPr>
            <w:rFonts w:cstheme="minorHAnsi"/>
            <w:webHidden/>
          </w:rPr>
          <w:instrText xml:space="preserve"> PAGEREF _Toc184129252 \h </w:instrText>
        </w:r>
        <w:r w:rsidRPr="00850BEF">
          <w:rPr>
            <w:rFonts w:cstheme="minorHAnsi"/>
            <w:webHidden/>
          </w:rPr>
        </w:r>
        <w:r w:rsidRPr="00850BEF">
          <w:rPr>
            <w:rFonts w:cstheme="minorHAnsi"/>
            <w:webHidden/>
          </w:rPr>
          <w:fldChar w:fldCharType="separate"/>
        </w:r>
        <w:r w:rsidR="00720666">
          <w:rPr>
            <w:rFonts w:cstheme="minorHAnsi"/>
            <w:webHidden/>
          </w:rPr>
          <w:t>116</w:t>
        </w:r>
        <w:r w:rsidRPr="00850BEF">
          <w:rPr>
            <w:rFonts w:cstheme="minorHAnsi"/>
            <w:webHidden/>
          </w:rPr>
          <w:fldChar w:fldCharType="end"/>
        </w:r>
      </w:hyperlink>
    </w:p>
    <w:p w14:paraId="525A7DBA" w14:textId="04AC079C" w:rsidR="00DC7081" w:rsidRPr="001E6E9D" w:rsidRDefault="00DC7081" w:rsidP="00DC7081">
      <w:pPr>
        <w:pStyle w:val="Sumrio2"/>
        <w:rPr>
          <w:rFonts w:eastAsiaTheme="minorEastAsia" w:cstheme="minorHAnsi"/>
          <w:sz w:val="22"/>
          <w:lang w:eastAsia="pt-BR"/>
        </w:rPr>
      </w:pPr>
      <w:hyperlink w:anchor="_Toc184129253" w:history="1">
        <w:r w:rsidRPr="00850BEF">
          <w:rPr>
            <w:rStyle w:val="Hyperlink"/>
            <w:rFonts w:cstheme="minorHAnsi"/>
          </w:rPr>
          <w:t>12.5. Nome, endereço comercial, endereço eletrônico e telefones do agente fiduciário</w:t>
        </w:r>
        <w:r w:rsidRPr="00850BEF">
          <w:rPr>
            <w:rFonts w:cstheme="minorHAnsi"/>
            <w:webHidden/>
          </w:rPr>
          <w:tab/>
        </w:r>
        <w:r w:rsidRPr="00850BEF">
          <w:rPr>
            <w:rFonts w:cstheme="minorHAnsi"/>
            <w:webHidden/>
          </w:rPr>
          <w:fldChar w:fldCharType="begin"/>
        </w:r>
        <w:r w:rsidRPr="00850BEF">
          <w:rPr>
            <w:rFonts w:cstheme="minorHAnsi"/>
            <w:webHidden/>
          </w:rPr>
          <w:instrText xml:space="preserve"> PAGEREF _Toc184129253 \h </w:instrText>
        </w:r>
        <w:r w:rsidRPr="00850BEF">
          <w:rPr>
            <w:rFonts w:cstheme="minorHAnsi"/>
            <w:webHidden/>
          </w:rPr>
        </w:r>
        <w:r w:rsidRPr="00850BEF">
          <w:rPr>
            <w:rFonts w:cstheme="minorHAnsi"/>
            <w:webHidden/>
          </w:rPr>
          <w:fldChar w:fldCharType="separate"/>
        </w:r>
        <w:r w:rsidR="00720666">
          <w:rPr>
            <w:rFonts w:cstheme="minorHAnsi"/>
            <w:webHidden/>
          </w:rPr>
          <w:t>116</w:t>
        </w:r>
        <w:r w:rsidRPr="00850BEF">
          <w:rPr>
            <w:rFonts w:cstheme="minorHAnsi"/>
            <w:webHidden/>
          </w:rPr>
          <w:fldChar w:fldCharType="end"/>
        </w:r>
      </w:hyperlink>
    </w:p>
    <w:p w14:paraId="749631D7" w14:textId="3825BDAF" w:rsidR="00DC7081" w:rsidRPr="001E6E9D" w:rsidRDefault="00DC7081" w:rsidP="00DC7081">
      <w:pPr>
        <w:pStyle w:val="Sumrio2"/>
        <w:rPr>
          <w:rFonts w:eastAsiaTheme="minorEastAsia" w:cstheme="minorHAnsi"/>
          <w:sz w:val="22"/>
          <w:lang w:eastAsia="pt-BR"/>
        </w:rPr>
      </w:pPr>
      <w:hyperlink w:anchor="_Toc184129254" w:history="1">
        <w:r w:rsidRPr="001E6E9D">
          <w:rPr>
            <w:rStyle w:val="Hyperlink"/>
            <w:rFonts w:cstheme="minorHAnsi"/>
          </w:rPr>
          <w:t>12.6. Declaração de que quaisquer outras informações ou esclarecimentos sobre a companhia e a distribuição em questão podem ser obtidas junto aos Coordenadores e/ou consorciados e na CVM</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_Toc184129254 \h </w:instrText>
        </w:r>
        <w:r w:rsidRPr="001E6E9D">
          <w:rPr>
            <w:rFonts w:cstheme="minorHAnsi"/>
            <w:webHidden/>
          </w:rPr>
        </w:r>
        <w:r w:rsidRPr="001E6E9D">
          <w:rPr>
            <w:rFonts w:cstheme="minorHAnsi"/>
            <w:webHidden/>
          </w:rPr>
          <w:fldChar w:fldCharType="separate"/>
        </w:r>
        <w:r w:rsidR="00720666">
          <w:rPr>
            <w:rFonts w:cstheme="minorHAnsi"/>
            <w:webHidden/>
          </w:rPr>
          <w:t>116</w:t>
        </w:r>
        <w:r w:rsidRPr="001E6E9D">
          <w:rPr>
            <w:rFonts w:cstheme="minorHAnsi"/>
            <w:webHidden/>
          </w:rPr>
          <w:fldChar w:fldCharType="end"/>
        </w:r>
      </w:hyperlink>
    </w:p>
    <w:p w14:paraId="41030D2D" w14:textId="38795522" w:rsidR="00DC7081" w:rsidRPr="001E6E9D" w:rsidRDefault="00DC7081" w:rsidP="00DC7081">
      <w:pPr>
        <w:pStyle w:val="Sumrio2"/>
        <w:rPr>
          <w:rFonts w:eastAsiaTheme="minorEastAsia" w:cstheme="minorHAnsi"/>
          <w:sz w:val="22"/>
          <w:lang w:eastAsia="pt-BR"/>
        </w:rPr>
      </w:pPr>
      <w:hyperlink w:anchor="_Toc184129255" w:history="1">
        <w:r w:rsidRPr="001E6E9D">
          <w:rPr>
            <w:rStyle w:val="Hyperlink"/>
            <w:rFonts w:cstheme="minorHAnsi"/>
          </w:rPr>
          <w:t>12.7. Declaração, nos termos do art. 24 da Resolução CVM 160, atestando a veracidade das informações contidas neste Prospecto</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_Toc184129255 \h </w:instrText>
        </w:r>
        <w:r w:rsidRPr="001E6E9D">
          <w:rPr>
            <w:rFonts w:cstheme="minorHAnsi"/>
            <w:webHidden/>
          </w:rPr>
        </w:r>
        <w:r w:rsidRPr="001E6E9D">
          <w:rPr>
            <w:rFonts w:cstheme="minorHAnsi"/>
            <w:webHidden/>
          </w:rPr>
          <w:fldChar w:fldCharType="separate"/>
        </w:r>
        <w:r w:rsidR="00720666">
          <w:rPr>
            <w:rFonts w:cstheme="minorHAnsi"/>
            <w:webHidden/>
          </w:rPr>
          <w:t>116</w:t>
        </w:r>
        <w:r w:rsidRPr="001E6E9D">
          <w:rPr>
            <w:rFonts w:cstheme="minorHAnsi"/>
            <w:webHidden/>
          </w:rPr>
          <w:fldChar w:fldCharType="end"/>
        </w:r>
      </w:hyperlink>
    </w:p>
    <w:p w14:paraId="2D1D4BCB" w14:textId="6D08F8D2" w:rsidR="00DC7081" w:rsidRPr="001E6E9D" w:rsidRDefault="00DC7081" w:rsidP="00DC7081">
      <w:pPr>
        <w:pStyle w:val="Sumrio1"/>
        <w:rPr>
          <w:rFonts w:eastAsiaTheme="minorEastAsia" w:cstheme="minorHAnsi"/>
          <w:b w:val="0"/>
          <w:color w:val="auto"/>
          <w:sz w:val="22"/>
        </w:rPr>
      </w:pPr>
      <w:hyperlink w:anchor="_Toc184129256" w:history="1">
        <w:r w:rsidRPr="001E6E9D">
          <w:rPr>
            <w:rStyle w:val="Hyperlink"/>
            <w:rFonts w:cstheme="minorHAnsi"/>
          </w:rPr>
          <w:t>13. OUTROS DOCUMENTOS E INFORMAÇÕES QUE A CVM JULGAR NECESSÁRIOS</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_Toc184129256 \h </w:instrText>
        </w:r>
        <w:r w:rsidRPr="001E6E9D">
          <w:rPr>
            <w:rFonts w:cstheme="minorHAnsi"/>
            <w:webHidden/>
          </w:rPr>
        </w:r>
        <w:r w:rsidRPr="001E6E9D">
          <w:rPr>
            <w:rFonts w:cstheme="minorHAnsi"/>
            <w:webHidden/>
          </w:rPr>
          <w:fldChar w:fldCharType="separate"/>
        </w:r>
        <w:r w:rsidR="00720666">
          <w:rPr>
            <w:rFonts w:cstheme="minorHAnsi"/>
            <w:webHidden/>
          </w:rPr>
          <w:t>118</w:t>
        </w:r>
        <w:r w:rsidRPr="001E6E9D">
          <w:rPr>
            <w:rFonts w:cstheme="minorHAnsi"/>
            <w:webHidden/>
          </w:rPr>
          <w:fldChar w:fldCharType="end"/>
        </w:r>
      </w:hyperlink>
    </w:p>
    <w:p w14:paraId="57F1796B" w14:textId="545FE45E" w:rsidR="00DC7081" w:rsidRPr="001E6E9D" w:rsidRDefault="00DC7081" w:rsidP="00DC7081">
      <w:pPr>
        <w:pStyle w:val="Sumrio1"/>
        <w:rPr>
          <w:rFonts w:eastAsiaTheme="minorEastAsia" w:cstheme="minorHAnsi"/>
          <w:b w:val="0"/>
          <w:color w:val="auto"/>
          <w:sz w:val="22"/>
        </w:rPr>
      </w:pPr>
      <w:hyperlink w:anchor="_Toc184129257" w:history="1">
        <w:r w:rsidRPr="001E6E9D">
          <w:rPr>
            <w:rStyle w:val="Hyperlink"/>
            <w:rFonts w:cstheme="minorHAnsi"/>
          </w:rPr>
          <w:t>14. INFORMAÇÕES ADICIONAIS EM ATENDIMENTO AO CÓDIGO ANBIMA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_Toc184129257 \h </w:instrText>
        </w:r>
        <w:r w:rsidRPr="001E6E9D">
          <w:rPr>
            <w:rFonts w:cstheme="minorHAnsi"/>
            <w:webHidden/>
          </w:rPr>
        </w:r>
        <w:r w:rsidRPr="001E6E9D">
          <w:rPr>
            <w:rFonts w:cstheme="minorHAnsi"/>
            <w:webHidden/>
          </w:rPr>
          <w:fldChar w:fldCharType="separate"/>
        </w:r>
        <w:r w:rsidR="00720666">
          <w:rPr>
            <w:rFonts w:cstheme="minorHAnsi"/>
            <w:webHidden/>
          </w:rPr>
          <w:t>126</w:t>
        </w:r>
        <w:r w:rsidRPr="001E6E9D">
          <w:rPr>
            <w:rFonts w:cstheme="minorHAnsi"/>
            <w:webHidden/>
          </w:rPr>
          <w:fldChar w:fldCharType="end"/>
        </w:r>
      </w:hyperlink>
    </w:p>
    <w:p w14:paraId="65CBF36E" w14:textId="1CB15474" w:rsidR="00DC7081" w:rsidRPr="001E6E9D" w:rsidRDefault="00DC7081" w:rsidP="00DC7081">
      <w:pPr>
        <w:pStyle w:val="Sumrio2"/>
        <w:rPr>
          <w:rFonts w:eastAsiaTheme="minorEastAsia" w:cstheme="minorHAnsi"/>
          <w:sz w:val="22"/>
          <w:lang w:eastAsia="pt-BR"/>
        </w:rPr>
      </w:pPr>
      <w:hyperlink w:anchor="_Toc184129258" w:history="1">
        <w:r w:rsidRPr="001E6E9D">
          <w:rPr>
            <w:rStyle w:val="Hyperlink"/>
            <w:rFonts w:cstheme="minorHAnsi"/>
          </w:rPr>
          <w:t>14.2. seção de fatores de risco: descrição, sem mitigação ou quaisquer declarações de caráter genérico, seguindo ordem decrescente de materialidade dos riscos, dos fatores de risco específicos em relação ao emissor, ao valor mobiliário ofertado, à Oferta Pública e ao terceiro garantidor, caso aplicável, considerados relevantes, assim entendidos aqueles que sejam capazes de afetar a decisão de investimento do potencial investidor, incluindo, mas não se limitando 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_Toc184129258 \h </w:instrText>
        </w:r>
        <w:r w:rsidRPr="001E6E9D">
          <w:rPr>
            <w:rFonts w:cstheme="minorHAnsi"/>
            <w:webHidden/>
          </w:rPr>
        </w:r>
        <w:r w:rsidRPr="001E6E9D">
          <w:rPr>
            <w:rFonts w:cstheme="minorHAnsi"/>
            <w:webHidden/>
          </w:rPr>
          <w:fldChar w:fldCharType="separate"/>
        </w:r>
        <w:r w:rsidR="00720666">
          <w:rPr>
            <w:rFonts w:cstheme="minorHAnsi"/>
            <w:webHidden/>
          </w:rPr>
          <w:t>126</w:t>
        </w:r>
        <w:r w:rsidRPr="001E6E9D">
          <w:rPr>
            <w:rFonts w:cstheme="minorHAnsi"/>
            <w:webHidden/>
          </w:rPr>
          <w:fldChar w:fldCharType="end"/>
        </w:r>
      </w:hyperlink>
    </w:p>
    <w:p w14:paraId="5C46C2F0" w14:textId="0A3596A9" w:rsidR="00DC7081" w:rsidRPr="001E6E9D" w:rsidRDefault="00DC7081" w:rsidP="00DC7081">
      <w:pPr>
        <w:pStyle w:val="Sumrio2"/>
        <w:rPr>
          <w:rFonts w:eastAsiaTheme="minorEastAsia" w:cstheme="minorHAnsi"/>
          <w:sz w:val="22"/>
          <w:lang w:eastAsia="pt-BR"/>
        </w:rPr>
      </w:pPr>
      <w:hyperlink w:anchor="_Toc184129259" w:history="1">
        <w:r w:rsidRPr="001E6E9D">
          <w:rPr>
            <w:rStyle w:val="Hyperlink"/>
            <w:rFonts w:cstheme="minorHAnsi"/>
          </w:rPr>
          <w:t>14.7. Informação sobre o quórum mínimo estabelecido para as deliberações das assembleias gerais de credores previstos nos documentos específicos que regem a descrição do valor mobiliário da oferta pública de renda fixa</w:t>
        </w:r>
        <w:r w:rsidRPr="001E6E9D">
          <w:rPr>
            <w:rFonts w:cstheme="minorHAnsi"/>
            <w:webHidden/>
          </w:rPr>
          <w:tab/>
        </w:r>
        <w:r w:rsidRPr="001E6E9D">
          <w:rPr>
            <w:rFonts w:cstheme="minorHAnsi"/>
            <w:webHidden/>
          </w:rPr>
          <w:fldChar w:fldCharType="begin"/>
        </w:r>
        <w:r w:rsidRPr="001E6E9D">
          <w:rPr>
            <w:rFonts w:cstheme="minorHAnsi"/>
            <w:webHidden/>
          </w:rPr>
          <w:instrText xml:space="preserve"> PAGEREF _Toc184129259 \h </w:instrText>
        </w:r>
        <w:r w:rsidRPr="001E6E9D">
          <w:rPr>
            <w:rFonts w:cstheme="minorHAnsi"/>
            <w:webHidden/>
          </w:rPr>
        </w:r>
        <w:r w:rsidRPr="001E6E9D">
          <w:rPr>
            <w:rFonts w:cstheme="minorHAnsi"/>
            <w:webHidden/>
          </w:rPr>
          <w:fldChar w:fldCharType="separate"/>
        </w:r>
        <w:r w:rsidR="00720666">
          <w:rPr>
            <w:rFonts w:cstheme="minorHAnsi"/>
            <w:webHidden/>
          </w:rPr>
          <w:t>126</w:t>
        </w:r>
        <w:r w:rsidRPr="001E6E9D">
          <w:rPr>
            <w:rFonts w:cstheme="minorHAnsi"/>
            <w:webHidden/>
          </w:rPr>
          <w:fldChar w:fldCharType="end"/>
        </w:r>
      </w:hyperlink>
    </w:p>
    <w:p w14:paraId="4957F002" w14:textId="5C9C2D94" w:rsidR="00065DBC" w:rsidRPr="001E6E9D" w:rsidRDefault="00C932D7" w:rsidP="00DC7081">
      <w:pPr>
        <w:pStyle w:val="Sumrio1"/>
        <w:rPr>
          <w:rFonts w:cstheme="minorHAnsi"/>
          <w:color w:val="auto"/>
        </w:rPr>
      </w:pPr>
      <w:r w:rsidRPr="001E6E9D">
        <w:rPr>
          <w:rFonts w:cstheme="minorHAnsi"/>
        </w:rPr>
        <w:fldChar w:fldCharType="end"/>
      </w:r>
    </w:p>
    <w:p w14:paraId="39C140A0" w14:textId="2D06A66F" w:rsidR="00C26C33" w:rsidRPr="001E6E9D" w:rsidRDefault="00D83067" w:rsidP="00DC7081">
      <w:pPr>
        <w:keepNext/>
        <w:keepLines/>
        <w:pBdr>
          <w:bottom w:val="single" w:sz="8" w:space="1" w:color="0082CB"/>
        </w:pBdr>
        <w:ind w:left="360" w:hanging="360"/>
        <w:jc w:val="left"/>
        <w:rPr>
          <w:rFonts w:asciiTheme="minorHAnsi" w:eastAsia="Times New Roman" w:hAnsiTheme="minorHAnsi" w:cstheme="minorHAnsi"/>
          <w:b/>
          <w:bCs/>
          <w:color w:val="0082CB"/>
          <w:szCs w:val="20"/>
          <w:lang w:eastAsia="pt-BR"/>
        </w:rPr>
      </w:pPr>
      <w:r w:rsidRPr="001E6E9D">
        <w:rPr>
          <w:rFonts w:asciiTheme="minorHAnsi" w:eastAsia="Times New Roman" w:hAnsiTheme="minorHAnsi" w:cstheme="minorHAnsi"/>
          <w:b/>
          <w:bCs/>
          <w:color w:val="0082CB"/>
          <w:szCs w:val="20"/>
          <w:lang w:eastAsia="pt-BR"/>
        </w:rPr>
        <w:lastRenderedPageBreak/>
        <w:t>ANEXOS</w:t>
      </w:r>
    </w:p>
    <w:p w14:paraId="31C69087" w14:textId="681B8CF5" w:rsidR="00C26C33" w:rsidRPr="001E6E9D" w:rsidRDefault="00C26C33" w:rsidP="00DC7081">
      <w:pPr>
        <w:keepNext/>
        <w:keepLines/>
        <w:tabs>
          <w:tab w:val="right" w:leader="dot" w:pos="9071"/>
        </w:tabs>
        <w:ind w:left="1276" w:right="567" w:hanging="1276"/>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Anexo 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Estatuto social vigente da Emissora</w:t>
      </w:r>
      <w:r w:rsidR="00D83067" w:rsidRPr="001E6E9D">
        <w:rPr>
          <w:rFonts w:asciiTheme="minorHAnsi" w:eastAsia="Times New Roman" w:hAnsiTheme="minorHAnsi" w:cstheme="minorHAnsi"/>
          <w:szCs w:val="20"/>
          <w:lang w:eastAsia="pt-BR"/>
        </w:rPr>
        <w:tab/>
      </w:r>
      <w:r w:rsidR="00F301D3">
        <w:rPr>
          <w:rFonts w:asciiTheme="minorHAnsi" w:eastAsia="Times New Roman" w:hAnsiTheme="minorHAnsi" w:cstheme="minorHAnsi"/>
          <w:szCs w:val="20"/>
          <w:lang w:eastAsia="pt-BR"/>
        </w:rPr>
        <w:t>131</w:t>
      </w:r>
    </w:p>
    <w:p w14:paraId="29A36A94" w14:textId="475E98E9" w:rsidR="00C26C33" w:rsidRPr="001E6E9D" w:rsidRDefault="00C26C33" w:rsidP="00DC7081">
      <w:pPr>
        <w:keepNext/>
        <w:keepLines/>
        <w:tabs>
          <w:tab w:val="right" w:leader="dot" w:pos="9071"/>
        </w:tabs>
        <w:ind w:left="1276" w:right="567" w:hanging="1276"/>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Anexo II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Ata da Aprovação Societária da Emissora</w:t>
      </w:r>
      <w:r w:rsidR="00D83067" w:rsidRPr="001E6E9D">
        <w:rPr>
          <w:rFonts w:asciiTheme="minorHAnsi" w:eastAsia="Times New Roman" w:hAnsiTheme="minorHAnsi" w:cstheme="minorHAnsi"/>
          <w:szCs w:val="20"/>
          <w:lang w:eastAsia="pt-BR"/>
        </w:rPr>
        <w:tab/>
      </w:r>
      <w:r w:rsidR="00370E39">
        <w:rPr>
          <w:rFonts w:asciiTheme="minorHAnsi" w:eastAsia="Times New Roman" w:hAnsiTheme="minorHAnsi" w:cstheme="minorHAnsi"/>
          <w:szCs w:val="20"/>
          <w:lang w:eastAsia="pt-BR"/>
        </w:rPr>
        <w:t>151</w:t>
      </w:r>
    </w:p>
    <w:p w14:paraId="7D3C79F1" w14:textId="40FB7615" w:rsidR="00C26C33" w:rsidRPr="001E6E9D" w:rsidRDefault="00C26C33" w:rsidP="00DC7081">
      <w:pPr>
        <w:tabs>
          <w:tab w:val="right" w:leader="dot" w:pos="9071"/>
        </w:tabs>
        <w:ind w:left="1276" w:right="567"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III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Ata da Aprovação Societária da FERP</w:t>
      </w:r>
      <w:r w:rsidR="00D83067" w:rsidRPr="001E6E9D">
        <w:rPr>
          <w:rFonts w:asciiTheme="minorHAnsi" w:eastAsia="Times New Roman" w:hAnsiTheme="minorHAnsi" w:cstheme="minorHAnsi"/>
          <w:szCs w:val="20"/>
          <w:lang w:eastAsia="pt-BR"/>
        </w:rPr>
        <w:tab/>
      </w:r>
      <w:r w:rsidR="003E3FF8">
        <w:rPr>
          <w:rFonts w:asciiTheme="minorHAnsi" w:eastAsia="Times New Roman" w:hAnsiTheme="minorHAnsi" w:cstheme="minorHAnsi"/>
          <w:szCs w:val="20"/>
          <w:lang w:eastAsia="pt-BR"/>
        </w:rPr>
        <w:t>16</w:t>
      </w:r>
      <w:r w:rsidR="002D25D0">
        <w:rPr>
          <w:rFonts w:asciiTheme="minorHAnsi" w:eastAsia="Times New Roman" w:hAnsiTheme="minorHAnsi" w:cstheme="minorHAnsi"/>
          <w:szCs w:val="20"/>
          <w:lang w:eastAsia="pt-BR"/>
        </w:rPr>
        <w:t>5</w:t>
      </w:r>
    </w:p>
    <w:p w14:paraId="141F0C03" w14:textId="0692480B" w:rsidR="00C26C33" w:rsidRPr="001E6E9D" w:rsidRDefault="00C26C33" w:rsidP="00DC7081">
      <w:pPr>
        <w:tabs>
          <w:tab w:val="right" w:leader="dot" w:pos="9071"/>
        </w:tabs>
        <w:ind w:left="1276" w:right="567"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IV</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Escritura de Emissão</w:t>
      </w:r>
      <w:r w:rsidR="00915B73">
        <w:rPr>
          <w:rFonts w:asciiTheme="minorHAnsi" w:eastAsia="Times New Roman" w:hAnsiTheme="minorHAnsi" w:cstheme="minorHAnsi"/>
          <w:szCs w:val="20"/>
          <w:lang w:eastAsia="pt-BR"/>
        </w:rPr>
        <w:t xml:space="preserve"> e Aditamento à Escritura de Emissão</w:t>
      </w:r>
      <w:r w:rsidR="00D83067" w:rsidRPr="001E6E9D">
        <w:rPr>
          <w:rFonts w:asciiTheme="minorHAnsi" w:eastAsia="Times New Roman" w:hAnsiTheme="minorHAnsi" w:cstheme="minorHAnsi"/>
          <w:szCs w:val="20"/>
          <w:lang w:eastAsia="pt-BR"/>
        </w:rPr>
        <w:tab/>
      </w:r>
      <w:r w:rsidR="00377A8E">
        <w:rPr>
          <w:rFonts w:asciiTheme="minorHAnsi" w:eastAsia="Times New Roman" w:hAnsiTheme="minorHAnsi" w:cstheme="minorHAnsi"/>
          <w:szCs w:val="20"/>
          <w:lang w:eastAsia="pt-BR"/>
        </w:rPr>
        <w:t>1</w:t>
      </w:r>
      <w:r w:rsidR="003E3FF8">
        <w:rPr>
          <w:rFonts w:asciiTheme="minorHAnsi" w:eastAsia="Times New Roman" w:hAnsiTheme="minorHAnsi" w:cstheme="minorHAnsi"/>
          <w:szCs w:val="20"/>
          <w:lang w:eastAsia="pt-BR"/>
        </w:rPr>
        <w:t>7</w:t>
      </w:r>
      <w:r w:rsidR="002D25D0">
        <w:rPr>
          <w:rFonts w:asciiTheme="minorHAnsi" w:eastAsia="Times New Roman" w:hAnsiTheme="minorHAnsi" w:cstheme="minorHAnsi"/>
          <w:szCs w:val="20"/>
          <w:lang w:eastAsia="pt-BR"/>
        </w:rPr>
        <w:t>5</w:t>
      </w:r>
    </w:p>
    <w:p w14:paraId="061C9381" w14:textId="7A4499E6" w:rsidR="00C26C33" w:rsidRPr="001E6E9D" w:rsidRDefault="00C26C33" w:rsidP="00DC7081">
      <w:pPr>
        <w:tabs>
          <w:tab w:val="right" w:leader="dot" w:pos="9071"/>
        </w:tabs>
        <w:ind w:left="1276" w:right="567"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V</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Contrato de Alienação Fiduciária de Ações e Quotas</w:t>
      </w:r>
      <w:r w:rsidR="00D83067" w:rsidRPr="001E6E9D">
        <w:rPr>
          <w:rFonts w:asciiTheme="minorHAnsi" w:eastAsia="Times New Roman" w:hAnsiTheme="minorHAnsi" w:cstheme="minorHAnsi"/>
          <w:szCs w:val="20"/>
          <w:lang w:eastAsia="pt-BR"/>
        </w:rPr>
        <w:tab/>
      </w:r>
      <w:r w:rsidR="00022143">
        <w:rPr>
          <w:rFonts w:asciiTheme="minorHAnsi" w:eastAsia="Times New Roman" w:hAnsiTheme="minorHAnsi" w:cstheme="minorHAnsi"/>
          <w:szCs w:val="20"/>
          <w:lang w:eastAsia="pt-BR"/>
        </w:rPr>
        <w:t>3</w:t>
      </w:r>
      <w:r w:rsidR="002D25D0">
        <w:rPr>
          <w:rFonts w:asciiTheme="minorHAnsi" w:eastAsia="Times New Roman" w:hAnsiTheme="minorHAnsi" w:cstheme="minorHAnsi"/>
          <w:szCs w:val="20"/>
          <w:lang w:eastAsia="pt-BR"/>
        </w:rPr>
        <w:t>39</w:t>
      </w:r>
    </w:p>
    <w:p w14:paraId="11536920" w14:textId="4E34152D" w:rsidR="00C26C33" w:rsidRPr="001E6E9D" w:rsidRDefault="00C26C33" w:rsidP="00DC7081">
      <w:pPr>
        <w:tabs>
          <w:tab w:val="right" w:leader="dot" w:pos="9071"/>
        </w:tabs>
        <w:ind w:left="1276" w:right="567"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VI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Contrato de Alienação Fiduciária de Equipamentos</w:t>
      </w:r>
      <w:r w:rsidR="00D83067" w:rsidRPr="001E6E9D">
        <w:rPr>
          <w:rFonts w:asciiTheme="minorHAnsi" w:eastAsia="Times New Roman" w:hAnsiTheme="minorHAnsi" w:cstheme="minorHAnsi"/>
          <w:szCs w:val="20"/>
          <w:lang w:eastAsia="pt-BR"/>
        </w:rPr>
        <w:tab/>
      </w:r>
      <w:r w:rsidR="00022143">
        <w:rPr>
          <w:rFonts w:asciiTheme="minorHAnsi" w:eastAsia="Times New Roman" w:hAnsiTheme="minorHAnsi" w:cstheme="minorHAnsi"/>
          <w:szCs w:val="20"/>
          <w:lang w:eastAsia="pt-BR"/>
        </w:rPr>
        <w:t>425</w:t>
      </w:r>
    </w:p>
    <w:p w14:paraId="47F49903" w14:textId="2D134616" w:rsidR="00C26C33" w:rsidRPr="001E6E9D" w:rsidRDefault="00C26C33" w:rsidP="00DC7081">
      <w:pPr>
        <w:tabs>
          <w:tab w:val="right" w:leader="dot" w:pos="9071"/>
        </w:tabs>
        <w:ind w:left="1276" w:right="567"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VII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Contrato de Cessão Fiduciária</w:t>
      </w:r>
      <w:r w:rsidR="00D83067" w:rsidRPr="001E6E9D">
        <w:rPr>
          <w:rFonts w:asciiTheme="minorHAnsi" w:eastAsia="Times New Roman" w:hAnsiTheme="minorHAnsi" w:cstheme="minorHAnsi"/>
          <w:szCs w:val="20"/>
          <w:lang w:eastAsia="pt-BR"/>
        </w:rPr>
        <w:tab/>
      </w:r>
      <w:r w:rsidR="009174F2">
        <w:rPr>
          <w:rFonts w:asciiTheme="minorHAnsi" w:eastAsia="Times New Roman" w:hAnsiTheme="minorHAnsi" w:cstheme="minorHAnsi"/>
          <w:szCs w:val="20"/>
          <w:lang w:eastAsia="pt-BR"/>
        </w:rPr>
        <w:t>54</w:t>
      </w:r>
      <w:r w:rsidR="004926C3">
        <w:rPr>
          <w:rFonts w:asciiTheme="minorHAnsi" w:eastAsia="Times New Roman" w:hAnsiTheme="minorHAnsi" w:cstheme="minorHAnsi"/>
          <w:szCs w:val="20"/>
          <w:lang w:eastAsia="pt-BR"/>
        </w:rPr>
        <w:t>7</w:t>
      </w:r>
    </w:p>
    <w:p w14:paraId="0D9EDE43" w14:textId="2AB1EE15" w:rsidR="00C26C33" w:rsidRPr="001E6E9D" w:rsidRDefault="00C26C33" w:rsidP="00DC7081">
      <w:pPr>
        <w:tabs>
          <w:tab w:val="right" w:leader="dot" w:pos="9071"/>
        </w:tabs>
        <w:ind w:left="1276" w:right="567"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VIII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 xml:space="preserve">Demonstrações financeiras individuais e consolidadas da Emissora, relativas aos exercícios sociais findos em 31 de dezembro de 2023, 31 de dezembro de 2022, 31 de dezembro de 2021 e as demonstrações financeiras </w:t>
      </w:r>
      <w:r w:rsidR="00DD5326">
        <w:rPr>
          <w:rFonts w:asciiTheme="minorHAnsi" w:eastAsia="Times New Roman" w:hAnsiTheme="minorHAnsi" w:cstheme="minorHAnsi"/>
          <w:szCs w:val="20"/>
          <w:lang w:eastAsia="pt-BR"/>
        </w:rPr>
        <w:t xml:space="preserve">revisadas </w:t>
      </w:r>
      <w:r w:rsidRPr="001E6E9D">
        <w:rPr>
          <w:rFonts w:asciiTheme="minorHAnsi" w:eastAsia="Times New Roman" w:hAnsiTheme="minorHAnsi" w:cstheme="minorHAnsi"/>
          <w:szCs w:val="20"/>
          <w:lang w:eastAsia="pt-BR"/>
        </w:rPr>
        <w:t>intermediárias condensadas individuais e consolidadas, relativas aos períodos nove meses findos em 31 de setembro de 2024</w:t>
      </w:r>
      <w:r w:rsidR="00D83067" w:rsidRPr="001E6E9D">
        <w:rPr>
          <w:rFonts w:asciiTheme="minorHAnsi" w:eastAsia="Times New Roman" w:hAnsiTheme="minorHAnsi" w:cstheme="minorHAnsi"/>
          <w:szCs w:val="20"/>
          <w:lang w:eastAsia="pt-BR"/>
        </w:rPr>
        <w:tab/>
      </w:r>
      <w:r w:rsidR="009174F2">
        <w:rPr>
          <w:rFonts w:asciiTheme="minorHAnsi" w:eastAsia="Times New Roman" w:hAnsiTheme="minorHAnsi" w:cstheme="minorHAnsi"/>
          <w:szCs w:val="20"/>
          <w:lang w:eastAsia="pt-BR"/>
        </w:rPr>
        <w:t>66</w:t>
      </w:r>
      <w:r w:rsidR="004926C3">
        <w:rPr>
          <w:rFonts w:asciiTheme="minorHAnsi" w:eastAsia="Times New Roman" w:hAnsiTheme="minorHAnsi" w:cstheme="minorHAnsi"/>
          <w:szCs w:val="20"/>
          <w:lang w:eastAsia="pt-BR"/>
        </w:rPr>
        <w:t>7</w:t>
      </w:r>
    </w:p>
    <w:p w14:paraId="22C15F79" w14:textId="60EA47AB" w:rsidR="00C26C33" w:rsidRPr="001E6E9D" w:rsidRDefault="00C26C33" w:rsidP="00DC7081">
      <w:pPr>
        <w:tabs>
          <w:tab w:val="right" w:leader="dot" w:pos="9071"/>
        </w:tabs>
        <w:ind w:left="1276" w:right="567"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IX</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Formulário de Referência da Emissora</w:t>
      </w:r>
      <w:r w:rsidR="006B50C3" w:rsidRPr="001E6E9D">
        <w:rPr>
          <w:rFonts w:asciiTheme="minorHAnsi" w:eastAsia="Times New Roman" w:hAnsiTheme="minorHAnsi" w:cstheme="minorHAnsi"/>
          <w:szCs w:val="20"/>
          <w:lang w:eastAsia="pt-BR"/>
        </w:rPr>
        <w:tab/>
      </w:r>
      <w:r w:rsidR="009174F2">
        <w:rPr>
          <w:rFonts w:asciiTheme="minorHAnsi" w:eastAsia="Times New Roman" w:hAnsiTheme="minorHAnsi" w:cstheme="minorHAnsi"/>
          <w:szCs w:val="20"/>
          <w:lang w:eastAsia="pt-BR"/>
        </w:rPr>
        <w:t>8</w:t>
      </w:r>
      <w:r w:rsidR="004926C3">
        <w:rPr>
          <w:rFonts w:asciiTheme="minorHAnsi" w:eastAsia="Times New Roman" w:hAnsiTheme="minorHAnsi" w:cstheme="minorHAnsi"/>
          <w:szCs w:val="20"/>
          <w:lang w:eastAsia="pt-BR"/>
        </w:rPr>
        <w:t>21</w:t>
      </w:r>
    </w:p>
    <w:p w14:paraId="652421D5" w14:textId="3CB880DF" w:rsidR="00C26C33" w:rsidRPr="001E6E9D" w:rsidRDefault="00C26C33" w:rsidP="00DC7081">
      <w:pPr>
        <w:tabs>
          <w:tab w:val="right" w:leader="dot" w:pos="9071"/>
        </w:tabs>
        <w:ind w:left="1276" w:right="567" w:hanging="1276"/>
        <w:outlineLvl w:val="0"/>
        <w:rPr>
          <w:rFonts w:asciiTheme="minorHAnsi" w:eastAsiaTheme="majorEastAsia" w:hAnsiTheme="minorHAnsi" w:cstheme="minorHAnsi"/>
          <w:szCs w:val="20"/>
        </w:rPr>
      </w:pPr>
      <w:r w:rsidRPr="001E6E9D">
        <w:rPr>
          <w:rFonts w:asciiTheme="minorHAnsi" w:eastAsia="Times New Roman" w:hAnsiTheme="minorHAnsi" w:cstheme="minorHAnsi"/>
          <w:b/>
          <w:bCs/>
          <w:szCs w:val="20"/>
          <w:lang w:eastAsia="pt-BR"/>
        </w:rPr>
        <w:t>Anexo X</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Relatório de Classificação de Risco</w:t>
      </w:r>
      <w:r w:rsidR="006B50C3" w:rsidRPr="001E6E9D">
        <w:rPr>
          <w:rFonts w:asciiTheme="minorHAnsi" w:eastAsia="Times New Roman" w:hAnsiTheme="minorHAnsi" w:cstheme="minorHAnsi"/>
          <w:szCs w:val="20"/>
          <w:lang w:eastAsia="pt-BR"/>
        </w:rPr>
        <w:tab/>
      </w:r>
      <w:r w:rsidR="009174F2">
        <w:rPr>
          <w:rFonts w:asciiTheme="minorHAnsi" w:eastAsia="Times New Roman" w:hAnsiTheme="minorHAnsi" w:cstheme="minorHAnsi"/>
          <w:szCs w:val="20"/>
          <w:lang w:eastAsia="pt-BR"/>
        </w:rPr>
        <w:t>10</w:t>
      </w:r>
      <w:r w:rsidR="004926C3">
        <w:rPr>
          <w:rFonts w:asciiTheme="minorHAnsi" w:eastAsia="Times New Roman" w:hAnsiTheme="minorHAnsi" w:cstheme="minorHAnsi"/>
          <w:szCs w:val="20"/>
          <w:lang w:eastAsia="pt-BR"/>
        </w:rPr>
        <w:t>23</w:t>
      </w:r>
    </w:p>
    <w:p w14:paraId="1C70E324" w14:textId="5A4B8471" w:rsidR="00C26C33" w:rsidRPr="001E6E9D" w:rsidRDefault="00942B81" w:rsidP="00DC7081">
      <w:pPr>
        <w:outlineLvl w:val="0"/>
        <w:rPr>
          <w:rFonts w:asciiTheme="minorHAnsi" w:eastAsiaTheme="majorEastAsia" w:hAnsiTheme="minorHAnsi" w:cstheme="minorHAnsi"/>
          <w:szCs w:val="20"/>
        </w:rPr>
      </w:pPr>
      <w:r w:rsidRPr="001E6E9D">
        <w:rPr>
          <w:rFonts w:asciiTheme="minorHAnsi" w:eastAsiaTheme="majorEastAsia" w:hAnsiTheme="minorHAnsi" w:cstheme="minorHAnsi"/>
          <w:noProof/>
          <w:szCs w:val="20"/>
        </w:rPr>
        <mc:AlternateContent>
          <mc:Choice Requires="wps">
            <w:drawing>
              <wp:anchor distT="0" distB="0" distL="114300" distR="114300" simplePos="0" relativeHeight="251659264" behindDoc="0" locked="0" layoutInCell="1" allowOverlap="1" wp14:anchorId="1E24C1B0" wp14:editId="58F811EF">
                <wp:simplePos x="0" y="0"/>
                <wp:positionH relativeFrom="column">
                  <wp:posOffset>5597855</wp:posOffset>
                </wp:positionH>
                <wp:positionV relativeFrom="paragraph">
                  <wp:posOffset>5104587</wp:posOffset>
                </wp:positionV>
                <wp:extent cx="554476" cy="257783"/>
                <wp:effectExtent l="0" t="3810" r="0" b="0"/>
                <wp:wrapNone/>
                <wp:docPr id="4" name="Caixa de Texto 4"/>
                <wp:cNvGraphicFramePr/>
                <a:graphic xmlns:a="http://schemas.openxmlformats.org/drawingml/2006/main">
                  <a:graphicData uri="http://schemas.microsoft.com/office/word/2010/wordprocessingShape">
                    <wps:wsp>
                      <wps:cNvSpPr txBox="1"/>
                      <wps:spPr>
                        <a:xfrm rot="5400000">
                          <a:off x="0" y="0"/>
                          <a:ext cx="554476" cy="257783"/>
                        </a:xfrm>
                        <a:prstGeom prst="rect">
                          <a:avLst/>
                        </a:prstGeom>
                        <a:solidFill>
                          <a:schemeClr val="lt1"/>
                        </a:solidFill>
                        <a:ln w="6350">
                          <a:noFill/>
                        </a:ln>
                      </wps:spPr>
                      <wps:txbx>
                        <w:txbxContent>
                          <w:p w14:paraId="1B082F76" w14:textId="58F4FC1A" w:rsidR="002D25D0" w:rsidRPr="00942B81" w:rsidRDefault="002D25D0" w:rsidP="00942B81">
                            <w:pPr>
                              <w:jc w:val="center"/>
                              <w:rPr>
                                <w:b/>
                                <w:color w:val="D9D9D9" w:themeColor="background1" w:themeShade="D9"/>
                              </w:rPr>
                            </w:pPr>
                            <w:r w:rsidRPr="00942B81">
                              <w:rPr>
                                <w:b/>
                                <w:color w:val="D9D9D9" w:themeColor="background1" w:themeShade="D9"/>
                              </w:rPr>
                              <w:t>V0</w:t>
                            </w:r>
                            <w:r>
                              <w:rPr>
                                <w:b/>
                                <w:color w:val="D9D9D9" w:themeColor="background1" w:themeShade="D9"/>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4C1B0" id="_x0000_t202" coordsize="21600,21600" o:spt="202" path="m,l,21600r21600,l21600,xe">
                <v:stroke joinstyle="miter"/>
                <v:path gradientshapeok="t" o:connecttype="rect"/>
              </v:shapetype>
              <v:shape id="Caixa de Texto 4" o:spid="_x0000_s1026" type="#_x0000_t202" style="position:absolute;left:0;text-align:left;margin-left:440.8pt;margin-top:401.95pt;width:43.65pt;height:20.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" fillcolor="white [3201]" stroked="f" strokeweight=".5pt">
                <v:textbox>
                  <w:txbxContent>
                    <w:p w14:paraId="1B082F76" w14:textId="58F4FC1A" w:rsidR="002D25D0" w:rsidRPr="00942B81" w:rsidRDefault="002D25D0" w:rsidP="00942B81">
                      <w:pPr>
                        <w:jc w:val="center"/>
                        <w:rPr>
                          <w:b/>
                          <w:color w:val="D9D9D9" w:themeColor="background1" w:themeShade="D9"/>
                        </w:rPr>
                      </w:pPr>
                      <w:r w:rsidRPr="00942B81">
                        <w:rPr>
                          <w:b/>
                          <w:color w:val="D9D9D9" w:themeColor="background1" w:themeShade="D9"/>
                        </w:rPr>
                        <w:t>V0</w:t>
                      </w:r>
                      <w:r>
                        <w:rPr>
                          <w:b/>
                          <w:color w:val="D9D9D9" w:themeColor="background1" w:themeShade="D9"/>
                        </w:rPr>
                        <w:t>04</w:t>
                      </w:r>
                    </w:p>
                  </w:txbxContent>
                </v:textbox>
              </v:shape>
            </w:pict>
          </mc:Fallback>
        </mc:AlternateContent>
      </w:r>
    </w:p>
    <w:p w14:paraId="3A8C0A44" w14:textId="77777777" w:rsidR="00942B81" w:rsidRPr="001E6E9D" w:rsidRDefault="00942B81" w:rsidP="00DC7081">
      <w:pPr>
        <w:outlineLvl w:val="0"/>
        <w:rPr>
          <w:rFonts w:asciiTheme="minorHAnsi" w:eastAsiaTheme="majorEastAsia" w:hAnsiTheme="minorHAnsi" w:cstheme="minorHAnsi"/>
          <w:szCs w:val="20"/>
        </w:rPr>
        <w:sectPr w:rsidR="00942B81" w:rsidRPr="001E6E9D" w:rsidSect="00B526F3">
          <w:footerReference w:type="default" r:id="rId20"/>
          <w:pgSz w:w="11906" w:h="16840" w:code="9"/>
          <w:pgMar w:top="851" w:right="567" w:bottom="851" w:left="2268" w:header="0" w:footer="284" w:gutter="0"/>
          <w:pgNumType w:fmt="lowerRoman" w:start="1"/>
          <w:cols w:space="708"/>
          <w:docGrid w:linePitch="360"/>
        </w:sectPr>
      </w:pPr>
    </w:p>
    <w:p w14:paraId="4D9CABFB" w14:textId="77777777" w:rsidR="00C26C33" w:rsidRPr="001E6E9D" w:rsidRDefault="00942B81" w:rsidP="00DC7081">
      <w:pPr>
        <w:jc w:val="center"/>
        <w:outlineLvl w:val="0"/>
        <w:rPr>
          <w:rFonts w:asciiTheme="minorHAnsi" w:eastAsiaTheme="majorEastAsia" w:hAnsiTheme="minorHAnsi" w:cstheme="minorHAnsi"/>
          <w:szCs w:val="20"/>
        </w:rPr>
      </w:pPr>
      <w:r w:rsidRPr="001E6E9D">
        <w:rPr>
          <w:rFonts w:asciiTheme="minorHAnsi" w:eastAsiaTheme="majorEastAsia" w:hAnsiTheme="minorHAnsi" w:cstheme="minorHAnsi"/>
          <w:szCs w:val="20"/>
        </w:rPr>
        <w:lastRenderedPageBreak/>
        <w:t>(Esta página foi intencionalmente deixada em branco)</w:t>
      </w:r>
    </w:p>
    <w:p w14:paraId="45D20B60" w14:textId="2FD65C38" w:rsidR="00942B81" w:rsidRPr="001E6E9D" w:rsidRDefault="00942B81" w:rsidP="00DC7081">
      <w:pPr>
        <w:jc w:val="center"/>
        <w:outlineLvl w:val="0"/>
        <w:rPr>
          <w:rFonts w:asciiTheme="minorHAnsi" w:eastAsiaTheme="majorEastAsia" w:hAnsiTheme="minorHAnsi" w:cstheme="minorHAnsi"/>
          <w:szCs w:val="20"/>
        </w:rPr>
        <w:sectPr w:rsidR="00942B81" w:rsidRPr="001E6E9D" w:rsidSect="00B526F3">
          <w:pgSz w:w="11906" w:h="16840" w:code="9"/>
          <w:pgMar w:top="851" w:right="567" w:bottom="851" w:left="2268" w:header="0" w:footer="284" w:gutter="0"/>
          <w:pgNumType w:fmt="lowerRoman"/>
          <w:cols w:space="708"/>
          <w:vAlign w:val="center"/>
          <w:docGrid w:linePitch="360"/>
        </w:sectPr>
      </w:pPr>
    </w:p>
    <w:p w14:paraId="1646A1D0" w14:textId="77777777" w:rsidR="00775FAA" w:rsidRPr="001E6E9D" w:rsidRDefault="0053704D" w:rsidP="00DC7081">
      <w:pPr>
        <w:pStyle w:val="Ttulo1"/>
      </w:pPr>
      <w:bookmarkStart w:id="8" w:name="_Ref115702323"/>
      <w:bookmarkStart w:id="9" w:name="_Ref119106285"/>
      <w:bookmarkStart w:id="10" w:name="_Toc121850207"/>
      <w:bookmarkStart w:id="11" w:name="_Toc159073462"/>
      <w:bookmarkStart w:id="12" w:name="_Toc184129203"/>
      <w:r w:rsidRPr="001E6E9D">
        <w:lastRenderedPageBreak/>
        <w:t>2</w:t>
      </w:r>
      <w:r w:rsidR="00775FAA" w:rsidRPr="001E6E9D">
        <w:t xml:space="preserve">. </w:t>
      </w:r>
      <w:r w:rsidRPr="001E6E9D">
        <w:t>PRINCIPAIS CARACTERÍSTICAS DA OFERTA</w:t>
      </w:r>
      <w:bookmarkEnd w:id="8"/>
      <w:bookmarkEnd w:id="9"/>
      <w:bookmarkEnd w:id="10"/>
      <w:bookmarkEnd w:id="11"/>
      <w:bookmarkEnd w:id="12"/>
    </w:p>
    <w:p w14:paraId="4129FD9F" w14:textId="77777777" w:rsidR="003468A1" w:rsidRPr="001E6E9D" w:rsidRDefault="0053704D" w:rsidP="00DC7081">
      <w:pPr>
        <w:spacing w:after="140"/>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sz w:val="17"/>
          <w:szCs w:val="17"/>
          <w:lang w:eastAsia="pt-BR"/>
        </w:rPr>
        <w:t>ESTA SEÇÃO NÃO CONTÉM TODAS AS INFORMAÇÕES QUE O POTENCIAL INVESTIDOR DEVE CONSIDERAR ANTES DE INVESTIR NAS DEBÊNTURES. PARA TANTO, DEVERÁ LER CUIDADOSA E ATENTAMENTE TAMBÉM A ESCRITURA DE EMISSÃO.</w:t>
      </w:r>
    </w:p>
    <w:p w14:paraId="02F389F1" w14:textId="77777777" w:rsidR="003468A1" w:rsidRPr="001E6E9D" w:rsidRDefault="0053704D" w:rsidP="00DC7081">
      <w:pPr>
        <w:tabs>
          <w:tab w:val="left" w:pos="851"/>
        </w:tabs>
        <w:autoSpaceDE w:val="0"/>
        <w:autoSpaceDN w:val="0"/>
        <w:spacing w:after="140"/>
        <w:rPr>
          <w:rFonts w:asciiTheme="minorHAnsi" w:eastAsia="Times New Roman" w:hAnsiTheme="minorHAnsi" w:cstheme="minorHAnsi"/>
          <w:bCs/>
          <w:sz w:val="17"/>
          <w:szCs w:val="17"/>
          <w:lang w:eastAsia="pt-BR"/>
        </w:rPr>
      </w:pPr>
      <w:r w:rsidRPr="001E6E9D">
        <w:rPr>
          <w:rFonts w:asciiTheme="minorHAnsi" w:eastAsia="Times New Roman" w:hAnsiTheme="minorHAnsi" w:cstheme="minorHAnsi"/>
          <w:sz w:val="17"/>
          <w:szCs w:val="17"/>
          <w:lang w:eastAsia="pt-BR"/>
        </w:rPr>
        <w:t xml:space="preserve">Os termos iniciados em letra maiúscula e não definidos neste Prospecto têm o significado que lhes foi atribuído na Escritura de Emissão. </w:t>
      </w:r>
    </w:p>
    <w:p w14:paraId="53FF9979" w14:textId="77777777" w:rsidR="0053704D" w:rsidRPr="001E6E9D" w:rsidRDefault="0053704D" w:rsidP="00DC7081">
      <w:pPr>
        <w:tabs>
          <w:tab w:val="left" w:pos="851"/>
        </w:tabs>
        <w:autoSpaceDE w:val="0"/>
        <w:autoSpaceDN w:val="0"/>
        <w:spacing w:after="140"/>
        <w:rPr>
          <w:rFonts w:asciiTheme="minorHAnsi" w:eastAsia="Times New Roman" w:hAnsiTheme="minorHAnsi" w:cstheme="minorHAnsi"/>
          <w:bCs/>
          <w:sz w:val="17"/>
          <w:szCs w:val="17"/>
          <w:lang w:eastAsia="pt-BR"/>
        </w:rPr>
      </w:pPr>
      <w:r w:rsidRPr="001E6E9D">
        <w:rPr>
          <w:rFonts w:asciiTheme="minorHAnsi" w:eastAsia="Times New Roman" w:hAnsiTheme="minorHAnsi" w:cstheme="minorHAnsi"/>
          <w:bCs/>
          <w:sz w:val="17"/>
          <w:szCs w:val="17"/>
          <w:lang w:eastAsia="pt-BR"/>
        </w:rPr>
        <w:t>Para os fins deste Prospecto:</w:t>
      </w:r>
    </w:p>
    <w:p w14:paraId="5D316830" w14:textId="77777777" w:rsidR="003468A1" w:rsidRPr="001E6E9D" w:rsidRDefault="0053704D" w:rsidP="00DC7081">
      <w:pPr>
        <w:pStyle w:val="Ttulo2"/>
        <w:spacing w:after="140"/>
        <w:rPr>
          <w:sz w:val="17"/>
          <w:szCs w:val="17"/>
        </w:rPr>
      </w:pPr>
      <w:bookmarkStart w:id="13" w:name="_Ref158844913"/>
      <w:bookmarkStart w:id="14" w:name="_Toc159073463"/>
      <w:bookmarkStart w:id="15" w:name="_Toc184129204"/>
      <w:bookmarkStart w:id="16" w:name="_Toc521637829"/>
      <w:bookmarkStart w:id="17" w:name="_Toc56049949"/>
      <w:bookmarkStart w:id="18" w:name="_Toc56049972"/>
      <w:bookmarkStart w:id="19" w:name="_Toc56107893"/>
      <w:bookmarkStart w:id="20" w:name="_Toc74056852"/>
      <w:bookmarkStart w:id="21" w:name="_Toc74154711"/>
      <w:bookmarkStart w:id="22" w:name="_Toc72590552"/>
      <w:bookmarkStart w:id="23" w:name="_Toc75568921"/>
      <w:bookmarkStart w:id="24" w:name="_Toc75890010"/>
      <w:bookmarkStart w:id="25" w:name="_Ref115702324"/>
      <w:bookmarkStart w:id="26" w:name="_Ref115704739"/>
      <w:bookmarkStart w:id="27" w:name="_Ref115998681"/>
      <w:bookmarkStart w:id="28" w:name="_Ref119106286"/>
      <w:bookmarkStart w:id="29" w:name="_Ref119106454"/>
      <w:bookmarkStart w:id="30" w:name="_Toc121850208"/>
      <w:r w:rsidRPr="001E6E9D">
        <w:rPr>
          <w:sz w:val="17"/>
          <w:szCs w:val="17"/>
        </w:rPr>
        <w:t>2.1.</w:t>
      </w:r>
      <w:r w:rsidR="000568D3" w:rsidRPr="001E6E9D">
        <w:rPr>
          <w:sz w:val="17"/>
          <w:szCs w:val="17"/>
        </w:rPr>
        <w:t xml:space="preserve"> </w:t>
      </w:r>
      <w:r w:rsidRPr="001E6E9D">
        <w:rPr>
          <w:sz w:val="17"/>
          <w:szCs w:val="17"/>
        </w:rPr>
        <w:t>Breve descrição da Oferta</w:t>
      </w:r>
      <w:bookmarkEnd w:id="13"/>
      <w:bookmarkEnd w:id="14"/>
      <w:bookmarkEnd w:id="15"/>
    </w:p>
    <w:p w14:paraId="11461239" w14:textId="0D8452ED" w:rsidR="001016DA" w:rsidRPr="001E6E9D" w:rsidRDefault="001016DA" w:rsidP="00DC7081">
      <w:pPr>
        <w:spacing w:after="140"/>
        <w:rPr>
          <w:rFonts w:asciiTheme="minorHAnsi" w:eastAsia="Times New Roman" w:hAnsiTheme="minorHAnsi" w:cstheme="minorHAnsi"/>
          <w:noProof/>
          <w:spacing w:val="-6"/>
          <w:sz w:val="17"/>
          <w:szCs w:val="17"/>
        </w:rPr>
      </w:pPr>
      <w:r w:rsidRPr="001E6E9D">
        <w:rPr>
          <w:rFonts w:asciiTheme="minorHAnsi" w:eastAsia="Times New Roman" w:hAnsiTheme="minorHAnsi" w:cstheme="minorHAnsi"/>
          <w:noProof/>
          <w:spacing w:val="-6"/>
          <w:sz w:val="17"/>
          <w:szCs w:val="17"/>
        </w:rPr>
        <w:t xml:space="preserve">Nos termos do disposto do artigo 26, inciso IX da Resolução CVM 160, e do Código ANBIMA, a Emissora está realizando a sua </w:t>
      </w:r>
      <w:r w:rsidR="00917723" w:rsidRPr="001E6E9D">
        <w:rPr>
          <w:rFonts w:asciiTheme="minorHAnsi" w:eastAsia="Times New Roman" w:hAnsiTheme="minorHAnsi" w:cstheme="minorHAnsi"/>
          <w:noProof/>
          <w:spacing w:val="-6"/>
          <w:sz w:val="17"/>
          <w:szCs w:val="17"/>
        </w:rPr>
        <w:t>1ª (primeira) emissão de debêntures simples, não conversíveis em ações, da espécie com garantia real</w:t>
      </w:r>
      <w:r w:rsidR="00FF777C" w:rsidRPr="001E6E9D">
        <w:rPr>
          <w:rFonts w:asciiTheme="minorHAnsi" w:eastAsia="Times New Roman" w:hAnsiTheme="minorHAnsi" w:cstheme="minorHAnsi"/>
          <w:noProof/>
          <w:spacing w:val="-6"/>
          <w:sz w:val="17"/>
          <w:szCs w:val="17"/>
        </w:rPr>
        <w:t>,</w:t>
      </w:r>
      <w:r w:rsidR="00917723" w:rsidRPr="001E6E9D">
        <w:rPr>
          <w:rFonts w:asciiTheme="minorHAnsi" w:eastAsia="Times New Roman" w:hAnsiTheme="minorHAnsi" w:cstheme="minorHAnsi"/>
          <w:noProof/>
          <w:spacing w:val="-6"/>
          <w:sz w:val="17"/>
          <w:szCs w:val="17"/>
        </w:rPr>
        <w:t xml:space="preserve"> com garantia adicional fidejussória, em série única</w:t>
      </w:r>
      <w:r w:rsidRPr="001E6E9D">
        <w:rPr>
          <w:rFonts w:asciiTheme="minorHAnsi" w:eastAsia="Times New Roman" w:hAnsiTheme="minorHAnsi" w:cstheme="minorHAnsi"/>
          <w:noProof/>
          <w:spacing w:val="-6"/>
          <w:sz w:val="17"/>
          <w:szCs w:val="17"/>
        </w:rPr>
        <w:t xml:space="preserve">, para distribuição pública, a serem distribuídas </w:t>
      </w:r>
      <w:r w:rsidR="00917723" w:rsidRPr="001E6E9D">
        <w:rPr>
          <w:rFonts w:asciiTheme="minorHAnsi" w:eastAsia="Times New Roman" w:hAnsiTheme="minorHAnsi" w:cstheme="minorHAnsi"/>
          <w:noProof/>
          <w:spacing w:val="-6"/>
          <w:sz w:val="17"/>
          <w:szCs w:val="17"/>
        </w:rPr>
        <w:t>pelos Coordenadores</w:t>
      </w:r>
      <w:r w:rsidRPr="001E6E9D">
        <w:rPr>
          <w:rFonts w:asciiTheme="minorHAnsi" w:eastAsia="Times New Roman" w:hAnsiTheme="minorHAnsi" w:cstheme="minorHAnsi"/>
          <w:noProof/>
          <w:spacing w:val="-6"/>
          <w:sz w:val="17"/>
          <w:szCs w:val="17"/>
        </w:rPr>
        <w:t xml:space="preserve">. Serão emitidas </w:t>
      </w:r>
      <w:r w:rsidR="00917723" w:rsidRPr="001E6E9D">
        <w:rPr>
          <w:rFonts w:asciiTheme="minorHAnsi" w:eastAsia="Times New Roman" w:hAnsiTheme="minorHAnsi" w:cstheme="minorHAnsi"/>
          <w:noProof/>
          <w:spacing w:val="-6"/>
          <w:sz w:val="17"/>
          <w:szCs w:val="17"/>
        </w:rPr>
        <w:t>200</w:t>
      </w:r>
      <w:r w:rsidRPr="001E6E9D">
        <w:rPr>
          <w:rFonts w:asciiTheme="minorHAnsi" w:eastAsia="Times New Roman" w:hAnsiTheme="minorHAnsi" w:cstheme="minorHAnsi"/>
          <w:noProof/>
          <w:spacing w:val="-6"/>
          <w:sz w:val="17"/>
          <w:szCs w:val="17"/>
        </w:rPr>
        <w:t>.000 (</w:t>
      </w:r>
      <w:r w:rsidR="00917723" w:rsidRPr="001E6E9D">
        <w:rPr>
          <w:rFonts w:asciiTheme="minorHAnsi" w:eastAsia="Times New Roman" w:hAnsiTheme="minorHAnsi" w:cstheme="minorHAnsi"/>
          <w:noProof/>
          <w:spacing w:val="-6"/>
          <w:sz w:val="17"/>
          <w:szCs w:val="17"/>
        </w:rPr>
        <w:t>duzentas</w:t>
      </w:r>
      <w:r w:rsidRPr="001E6E9D">
        <w:rPr>
          <w:rFonts w:asciiTheme="minorHAnsi" w:eastAsia="Times New Roman" w:hAnsiTheme="minorHAnsi" w:cstheme="minorHAnsi"/>
          <w:noProof/>
          <w:spacing w:val="-6"/>
          <w:sz w:val="17"/>
          <w:szCs w:val="17"/>
        </w:rPr>
        <w:t xml:space="preserve"> mil) Debêntures, que serão distribuídas sob o regime de garantia firme de colocação para a totalidade das Debêntures, a ser prestada </w:t>
      </w:r>
      <w:r w:rsidR="00917723" w:rsidRPr="001E6E9D">
        <w:rPr>
          <w:rFonts w:asciiTheme="minorHAnsi" w:eastAsia="Times New Roman" w:hAnsiTheme="minorHAnsi" w:cstheme="minorHAnsi"/>
          <w:noProof/>
          <w:spacing w:val="-6"/>
          <w:sz w:val="17"/>
          <w:szCs w:val="17"/>
        </w:rPr>
        <w:t>pelo</w:t>
      </w:r>
      <w:r w:rsidR="00FF777C" w:rsidRPr="001E6E9D">
        <w:rPr>
          <w:rFonts w:asciiTheme="minorHAnsi" w:eastAsia="Times New Roman" w:hAnsiTheme="minorHAnsi" w:cstheme="minorHAnsi"/>
          <w:noProof/>
          <w:spacing w:val="-6"/>
          <w:sz w:val="17"/>
          <w:szCs w:val="17"/>
        </w:rPr>
        <w:t>s</w:t>
      </w:r>
      <w:r w:rsidR="00917723" w:rsidRPr="001E6E9D">
        <w:rPr>
          <w:rFonts w:asciiTheme="minorHAnsi" w:eastAsia="Times New Roman" w:hAnsiTheme="minorHAnsi" w:cstheme="minorHAnsi"/>
          <w:noProof/>
          <w:spacing w:val="-6"/>
          <w:sz w:val="17"/>
          <w:szCs w:val="17"/>
        </w:rPr>
        <w:t xml:space="preserve"> Coordenadores</w:t>
      </w:r>
      <w:r w:rsidRPr="001E6E9D">
        <w:rPr>
          <w:rFonts w:asciiTheme="minorHAnsi" w:eastAsia="Times New Roman" w:hAnsiTheme="minorHAnsi" w:cstheme="minorHAnsi"/>
          <w:noProof/>
          <w:spacing w:val="-6"/>
          <w:sz w:val="17"/>
          <w:szCs w:val="17"/>
        </w:rPr>
        <w:t>, observado que não será admitida a distribuição parcial das Debêntures, com Valor Nominal Unitário de R$1.000,00 (mil reais) na Data de Emissão, perfazendo o Valor Total da Emissão de R</w:t>
      </w:r>
      <w:r w:rsidR="00FF777C" w:rsidRPr="001E6E9D">
        <w:rPr>
          <w:rFonts w:asciiTheme="minorHAnsi" w:eastAsia="Times New Roman" w:hAnsiTheme="minorHAnsi" w:cstheme="minorHAnsi"/>
          <w:noProof/>
          <w:spacing w:val="-6"/>
          <w:sz w:val="17"/>
          <w:szCs w:val="17"/>
        </w:rPr>
        <w:t>$ </w:t>
      </w:r>
      <w:r w:rsidR="00917723" w:rsidRPr="001E6E9D">
        <w:rPr>
          <w:rFonts w:asciiTheme="minorHAnsi" w:eastAsia="Times New Roman" w:hAnsiTheme="minorHAnsi" w:cstheme="minorHAnsi"/>
          <w:noProof/>
          <w:spacing w:val="-6"/>
          <w:sz w:val="17"/>
          <w:szCs w:val="17"/>
        </w:rPr>
        <w:t>200</w:t>
      </w:r>
      <w:r w:rsidRPr="001E6E9D">
        <w:rPr>
          <w:rFonts w:asciiTheme="minorHAnsi" w:eastAsia="Times New Roman" w:hAnsiTheme="minorHAnsi" w:cstheme="minorHAnsi"/>
          <w:noProof/>
          <w:spacing w:val="-6"/>
          <w:sz w:val="17"/>
          <w:szCs w:val="17"/>
        </w:rPr>
        <w:t>.000.000,00 (</w:t>
      </w:r>
      <w:r w:rsidR="00917723" w:rsidRPr="001E6E9D">
        <w:rPr>
          <w:rFonts w:asciiTheme="minorHAnsi" w:eastAsia="Times New Roman" w:hAnsiTheme="minorHAnsi" w:cstheme="minorHAnsi"/>
          <w:noProof/>
          <w:spacing w:val="-6"/>
          <w:sz w:val="17"/>
          <w:szCs w:val="17"/>
        </w:rPr>
        <w:t>duzentos</w:t>
      </w:r>
      <w:r w:rsidRPr="001E6E9D">
        <w:rPr>
          <w:rFonts w:asciiTheme="minorHAnsi" w:eastAsia="Times New Roman" w:hAnsiTheme="minorHAnsi" w:cstheme="minorHAnsi"/>
          <w:noProof/>
          <w:spacing w:val="-6"/>
          <w:sz w:val="17"/>
          <w:szCs w:val="17"/>
        </w:rPr>
        <w:t xml:space="preserve"> milhões de reais).</w:t>
      </w:r>
    </w:p>
    <w:p w14:paraId="4835C14A" w14:textId="286E0998" w:rsidR="001016DA" w:rsidRPr="001E6E9D" w:rsidRDefault="001016DA" w:rsidP="00DC7081">
      <w:pPr>
        <w:spacing w:after="140"/>
        <w:rPr>
          <w:rFonts w:asciiTheme="minorHAnsi" w:eastAsia="Times New Roman" w:hAnsiTheme="minorHAnsi" w:cstheme="minorHAnsi"/>
          <w:noProof/>
          <w:spacing w:val="-6"/>
          <w:sz w:val="17"/>
          <w:szCs w:val="17"/>
        </w:rPr>
      </w:pPr>
      <w:r w:rsidRPr="001E6E9D">
        <w:rPr>
          <w:rFonts w:asciiTheme="minorHAnsi" w:hAnsiTheme="minorHAnsi" w:cstheme="minorHAnsi"/>
          <w:noProof/>
          <w:spacing w:val="-6"/>
          <w:sz w:val="17"/>
          <w:szCs w:val="17"/>
        </w:rPr>
        <w:t xml:space="preserve">A Oferta </w:t>
      </w:r>
      <w:r w:rsidR="00915B73">
        <w:rPr>
          <w:rFonts w:asciiTheme="minorHAnsi" w:hAnsiTheme="minorHAnsi" w:cstheme="minorHAnsi"/>
          <w:noProof/>
          <w:spacing w:val="-6"/>
          <w:sz w:val="17"/>
          <w:szCs w:val="17"/>
        </w:rPr>
        <w:t>foi</w:t>
      </w:r>
      <w:r w:rsidR="00915B73" w:rsidRPr="001E6E9D">
        <w:rPr>
          <w:rFonts w:asciiTheme="minorHAnsi" w:hAnsiTheme="minorHAnsi" w:cstheme="minorHAnsi"/>
          <w:noProof/>
          <w:spacing w:val="-6"/>
          <w:sz w:val="17"/>
          <w:szCs w:val="17"/>
        </w:rPr>
        <w:t xml:space="preserve"> </w:t>
      </w:r>
      <w:r w:rsidRPr="001E6E9D">
        <w:rPr>
          <w:rFonts w:asciiTheme="minorHAnsi" w:hAnsiTheme="minorHAnsi" w:cstheme="minorHAnsi"/>
          <w:noProof/>
          <w:spacing w:val="-6"/>
          <w:sz w:val="17"/>
          <w:szCs w:val="17"/>
        </w:rPr>
        <w:t xml:space="preserve">registrada </w:t>
      </w:r>
      <w:r w:rsidRPr="001E6E9D">
        <w:rPr>
          <w:rFonts w:asciiTheme="minorHAnsi" w:hAnsiTheme="minorHAnsi" w:cstheme="minorHAnsi"/>
          <w:sz w:val="17"/>
          <w:szCs w:val="17"/>
        </w:rPr>
        <w:t>sob o rito de registro automático de distribuição</w:t>
      </w:r>
      <w:r w:rsidRPr="001E6E9D">
        <w:rPr>
          <w:rFonts w:asciiTheme="minorHAnsi" w:hAnsiTheme="minorHAnsi" w:cstheme="minorHAnsi"/>
          <w:noProof/>
          <w:spacing w:val="-6"/>
          <w:sz w:val="17"/>
          <w:szCs w:val="17"/>
        </w:rPr>
        <w:t>, não estando sujeita à análise prévia da CVM, nos termos do artigo 26, inciso IX da Resolução CVM 160, por se tratar de oferta pública de distribuição de debêntures emitida por sociedade prevista no artigo 2º, caput e parágrafos 1º-A e 1º-B da Lei 12.431 destinada a Investidores Qualificados</w:t>
      </w:r>
      <w:r w:rsidRPr="001E6E9D">
        <w:rPr>
          <w:rFonts w:asciiTheme="minorHAnsi" w:eastAsia="Times New Roman" w:hAnsiTheme="minorHAnsi" w:cstheme="minorHAnsi"/>
          <w:noProof/>
          <w:spacing w:val="-6"/>
          <w:sz w:val="17"/>
          <w:szCs w:val="17"/>
        </w:rPr>
        <w:t>.</w:t>
      </w:r>
    </w:p>
    <w:p w14:paraId="514510A5" w14:textId="53D36934" w:rsidR="001016DA" w:rsidRPr="001E6E9D" w:rsidRDefault="001016DA" w:rsidP="00DC7081">
      <w:pPr>
        <w:spacing w:after="140"/>
        <w:rPr>
          <w:rFonts w:asciiTheme="minorHAnsi" w:eastAsia="Times New Roman" w:hAnsiTheme="minorHAnsi" w:cstheme="minorHAnsi"/>
          <w:noProof/>
          <w:spacing w:val="-6"/>
          <w:sz w:val="17"/>
          <w:szCs w:val="17"/>
        </w:rPr>
      </w:pPr>
      <w:r w:rsidRPr="001E6E9D">
        <w:rPr>
          <w:rFonts w:asciiTheme="minorHAnsi" w:hAnsiTheme="minorHAnsi" w:cstheme="minorHAnsi"/>
          <w:noProof/>
          <w:spacing w:val="-6"/>
          <w:sz w:val="17"/>
          <w:szCs w:val="17"/>
        </w:rPr>
        <w:t xml:space="preserve">O presente Prospecto foi elaborado para fins de cumprimento da exigência prevista no artigo 27, inciso II, b da Resolução CVM 160, em relação à colocação das Debêntures junto a Investidores Qualificados. </w:t>
      </w:r>
    </w:p>
    <w:p w14:paraId="619C5ED5" w14:textId="77777777" w:rsidR="001016DA" w:rsidRPr="001E6E9D" w:rsidRDefault="001016DA" w:rsidP="00DC7081">
      <w:pPr>
        <w:spacing w:after="140"/>
        <w:rPr>
          <w:rFonts w:asciiTheme="minorHAnsi" w:hAnsiTheme="minorHAnsi" w:cstheme="minorHAnsi"/>
          <w:noProof/>
          <w:spacing w:val="-2"/>
          <w:sz w:val="17"/>
          <w:szCs w:val="17"/>
        </w:rPr>
      </w:pPr>
      <w:r w:rsidRPr="001E6E9D">
        <w:rPr>
          <w:rFonts w:asciiTheme="minorHAnsi" w:hAnsiTheme="minorHAnsi" w:cstheme="minorHAnsi"/>
          <w:noProof/>
          <w:spacing w:val="-2"/>
          <w:sz w:val="17"/>
          <w:szCs w:val="17"/>
        </w:rPr>
        <w:t xml:space="preserve">Para assegurar o fiel, pontual e integral pagamento do Valor Garantido, as Debêntures serão garantidas pelas Garantias Reais. </w:t>
      </w:r>
    </w:p>
    <w:p w14:paraId="46EF09DD" w14:textId="167456A3" w:rsidR="001016DA" w:rsidRPr="001E6E9D" w:rsidRDefault="00E54EDD" w:rsidP="00DC7081">
      <w:pPr>
        <w:spacing w:after="140"/>
        <w:rPr>
          <w:rFonts w:asciiTheme="minorHAnsi" w:hAnsiTheme="minorHAnsi" w:cstheme="minorHAnsi"/>
          <w:noProof/>
          <w:spacing w:val="-2"/>
          <w:sz w:val="17"/>
          <w:szCs w:val="17"/>
        </w:rPr>
      </w:pPr>
      <w:r w:rsidRPr="001E6E9D">
        <w:rPr>
          <w:rFonts w:asciiTheme="minorHAnsi" w:hAnsiTheme="minorHAnsi" w:cstheme="minorHAnsi"/>
          <w:noProof/>
          <w:spacing w:val="-2"/>
          <w:sz w:val="17"/>
          <w:szCs w:val="17"/>
        </w:rPr>
        <w:t xml:space="preserve">As Debêntures gozam do tratamento tributário previsto no artigo 2º da Lei 12.431. </w:t>
      </w:r>
      <w:bookmarkStart w:id="31" w:name="_Ref380141300"/>
      <w:bookmarkStart w:id="32" w:name="_Toc367387613"/>
      <w:r w:rsidRPr="001E6E9D">
        <w:rPr>
          <w:rFonts w:asciiTheme="minorHAnsi" w:hAnsiTheme="minorHAnsi" w:cstheme="minorHAnsi"/>
          <w:noProof/>
          <w:spacing w:val="-2"/>
          <w:sz w:val="17"/>
          <w:szCs w:val="17"/>
        </w:rPr>
        <w:t>Caso a Emissora não utilize os recursos obtidos com a Oferta na forma prevista neste Prospecto, dando causa ao seu desenquadramento, nos termos do parágrafo 8º do artigo 1º da Lei 12.431, a Emissora será responsável pela multa equivalente a 20% (vinte por cento) do valor da Emissão não alocado no Projeto, observado os termos do artigo 2º parágrafos 5º, 6º e 7º da Lei 12.431.</w:t>
      </w:r>
      <w:bookmarkEnd w:id="31"/>
      <w:bookmarkEnd w:id="32"/>
    </w:p>
    <w:p w14:paraId="5B5A401F" w14:textId="7077D1D2" w:rsidR="001016DA" w:rsidRPr="001E6E9D" w:rsidRDefault="001016DA" w:rsidP="00DC7081">
      <w:pPr>
        <w:spacing w:after="140"/>
        <w:rPr>
          <w:rFonts w:asciiTheme="minorHAnsi" w:eastAsia="Times New Roman" w:hAnsiTheme="minorHAnsi" w:cstheme="minorHAnsi"/>
          <w:noProof/>
          <w:spacing w:val="-2"/>
          <w:sz w:val="17"/>
          <w:szCs w:val="17"/>
        </w:rPr>
      </w:pPr>
      <w:r w:rsidRPr="001E6E9D">
        <w:rPr>
          <w:rFonts w:asciiTheme="minorHAnsi" w:hAnsiTheme="minorHAnsi" w:cstheme="minorHAnsi"/>
          <w:noProof/>
          <w:spacing w:val="-2"/>
          <w:sz w:val="17"/>
          <w:szCs w:val="17"/>
        </w:rPr>
        <w:t xml:space="preserve">Os recursos obtidos pela Emissora com as Debêntures serão integral, única e exclusivamente, destinados ao Projeto, substancialmente nos termos do Projeto, conforme detalhado na tabela prevista na Seção 3.1 </w:t>
      </w:r>
      <w:r w:rsidR="000D5E35" w:rsidRPr="001E6E9D">
        <w:rPr>
          <w:rFonts w:asciiTheme="minorHAnsi" w:hAnsiTheme="minorHAnsi" w:cstheme="minorHAnsi"/>
          <w:noProof/>
          <w:spacing w:val="-2"/>
          <w:sz w:val="17"/>
          <w:szCs w:val="17"/>
        </w:rPr>
        <w:t>“</w:t>
      </w:r>
      <w:r w:rsidRPr="001E6E9D">
        <w:rPr>
          <w:rFonts w:asciiTheme="minorHAnsi" w:hAnsiTheme="minorHAnsi" w:cstheme="minorHAnsi"/>
          <w:noProof/>
          <w:spacing w:val="-2"/>
          <w:sz w:val="17"/>
          <w:szCs w:val="17"/>
        </w:rPr>
        <w:t>Destinação de Recursos”.</w:t>
      </w:r>
    </w:p>
    <w:p w14:paraId="6819C342" w14:textId="7AA1555A" w:rsidR="003468A1" w:rsidRPr="001E6E9D" w:rsidRDefault="001016DA" w:rsidP="00DC7081">
      <w:pPr>
        <w:tabs>
          <w:tab w:val="left" w:pos="851"/>
        </w:tabs>
        <w:autoSpaceDE w:val="0"/>
        <w:autoSpaceDN w:val="0"/>
        <w:spacing w:after="140"/>
        <w:rPr>
          <w:rFonts w:asciiTheme="minorHAnsi" w:eastAsia="Times New Roman" w:hAnsiTheme="minorHAnsi" w:cstheme="minorHAnsi"/>
          <w:sz w:val="17"/>
          <w:szCs w:val="17"/>
          <w:lang w:eastAsia="pt-BR"/>
        </w:rPr>
      </w:pPr>
      <w:r w:rsidRPr="001E6E9D">
        <w:rPr>
          <w:rFonts w:asciiTheme="minorHAnsi" w:eastAsia="Times New Roman" w:hAnsiTheme="minorHAnsi" w:cstheme="minorHAnsi"/>
          <w:noProof/>
          <w:spacing w:val="-6"/>
          <w:sz w:val="17"/>
          <w:szCs w:val="17"/>
        </w:rPr>
        <w:t>A Oferta é irrevogável e está sujeita a condições que correspondam a um interesse legítimo da Emissora e cujo implemento não dependa de atuação direta ou indireta da Emissora ou de pessoas a elas vinculadas, nos termos do artigo 58 da Resolução CVM 160.</w:t>
      </w:r>
    </w:p>
    <w:p w14:paraId="3F649CFC" w14:textId="77777777" w:rsidR="003468A1" w:rsidRPr="001E6E9D" w:rsidRDefault="0053704D" w:rsidP="00DC7081">
      <w:pPr>
        <w:pStyle w:val="Ttulo2"/>
        <w:spacing w:after="140"/>
        <w:rPr>
          <w:sz w:val="17"/>
          <w:szCs w:val="17"/>
        </w:rPr>
      </w:pPr>
      <w:bookmarkStart w:id="33" w:name="_Ref158844914"/>
      <w:bookmarkStart w:id="34" w:name="_Toc159073464"/>
      <w:bookmarkStart w:id="35" w:name="_Toc184129205"/>
      <w:r w:rsidRPr="001E6E9D">
        <w:rPr>
          <w:sz w:val="17"/>
          <w:szCs w:val="17"/>
        </w:rPr>
        <w:t>2.2.</w:t>
      </w:r>
      <w:r w:rsidR="000568D3" w:rsidRPr="001E6E9D">
        <w:rPr>
          <w:sz w:val="17"/>
          <w:szCs w:val="17"/>
        </w:rPr>
        <w:t xml:space="preserve"> </w:t>
      </w:r>
      <w:r w:rsidRPr="001E6E9D">
        <w:rPr>
          <w:sz w:val="17"/>
          <w:szCs w:val="17"/>
        </w:rPr>
        <w:t>Apresentação da Emissora</w:t>
      </w:r>
      <w:bookmarkEnd w:id="33"/>
      <w:bookmarkEnd w:id="34"/>
      <w:bookmarkEnd w:id="35"/>
      <w:r w:rsidRPr="001E6E9D">
        <w:rPr>
          <w:sz w:val="17"/>
          <w:szCs w:val="17"/>
        </w:rPr>
        <w:t xml:space="preserve"> </w:t>
      </w:r>
    </w:p>
    <w:p w14:paraId="2E535D0D" w14:textId="5A63B477" w:rsidR="00AE0F80" w:rsidRPr="001E6E9D" w:rsidRDefault="00AE0F80" w:rsidP="00DC7081">
      <w:pPr>
        <w:spacing w:after="140"/>
        <w:rPr>
          <w:rFonts w:asciiTheme="minorHAnsi" w:eastAsia="SimSun" w:hAnsiTheme="minorHAnsi" w:cstheme="minorHAnsi"/>
          <w:bCs/>
          <w:sz w:val="17"/>
          <w:szCs w:val="17"/>
          <w:lang w:eastAsia="en-GB"/>
        </w:rPr>
      </w:pPr>
      <w:r w:rsidRPr="001E6E9D">
        <w:rPr>
          <w:rFonts w:asciiTheme="minorHAnsi" w:eastAsia="SimSun" w:hAnsiTheme="minorHAnsi" w:cstheme="minorHAnsi"/>
          <w:bCs/>
          <w:sz w:val="17"/>
          <w:szCs w:val="17"/>
          <w:lang w:eastAsia="en-GB"/>
        </w:rPr>
        <w:t>A Faro Energy Projetos Solares Holding IV S.A. (</w:t>
      </w:r>
      <w:r w:rsidR="000D5E35" w:rsidRPr="001E6E9D">
        <w:rPr>
          <w:rFonts w:asciiTheme="minorHAnsi" w:eastAsia="SimSun" w:hAnsiTheme="minorHAnsi" w:cstheme="minorHAnsi"/>
          <w:bCs/>
          <w:sz w:val="17"/>
          <w:szCs w:val="17"/>
          <w:lang w:eastAsia="en-GB"/>
        </w:rPr>
        <w:t>“</w:t>
      </w:r>
      <w:r w:rsidRPr="001E6E9D">
        <w:rPr>
          <w:rFonts w:asciiTheme="minorHAnsi" w:eastAsia="SimSun" w:hAnsiTheme="minorHAnsi" w:cstheme="minorHAnsi"/>
          <w:bCs/>
          <w:sz w:val="17"/>
          <w:szCs w:val="17"/>
          <w:u w:val="single"/>
          <w:lang w:eastAsia="en-GB"/>
        </w:rPr>
        <w:t>Companhia</w:t>
      </w:r>
      <w:r w:rsidRPr="001E6E9D">
        <w:rPr>
          <w:rFonts w:asciiTheme="minorHAnsi" w:eastAsia="SimSun" w:hAnsiTheme="minorHAnsi" w:cstheme="minorHAnsi"/>
          <w:bCs/>
          <w:sz w:val="17"/>
          <w:szCs w:val="17"/>
          <w:lang w:eastAsia="en-GB"/>
        </w:rPr>
        <w:t>”) é uma sociedade integrante do grupo Faro Energy</w:t>
      </w:r>
      <w:r w:rsidRPr="001E6E9D" w:rsidDel="00036B63">
        <w:rPr>
          <w:rFonts w:asciiTheme="minorHAnsi" w:eastAsia="SimSun" w:hAnsiTheme="minorHAnsi" w:cstheme="minorHAnsi"/>
          <w:bCs/>
          <w:sz w:val="17"/>
          <w:szCs w:val="17"/>
          <w:lang w:eastAsia="en-GB"/>
        </w:rPr>
        <w:t xml:space="preserve"> </w:t>
      </w:r>
      <w:r w:rsidRPr="001E6E9D">
        <w:rPr>
          <w:rFonts w:asciiTheme="minorHAnsi" w:eastAsia="SimSun" w:hAnsiTheme="minorHAnsi" w:cstheme="minorHAnsi"/>
          <w:bCs/>
          <w:sz w:val="17"/>
          <w:szCs w:val="17"/>
          <w:lang w:eastAsia="en-GB"/>
        </w:rPr>
        <w:t>constituída em dezembro de 2022 com objeto social voltado a participação no capital de outras empresas.</w:t>
      </w:r>
    </w:p>
    <w:p w14:paraId="4F257C03" w14:textId="63F19B6F" w:rsidR="00AE0F80" w:rsidRPr="001E6E9D" w:rsidRDefault="00AE0F80" w:rsidP="00DC7081">
      <w:pPr>
        <w:spacing w:after="140"/>
        <w:rPr>
          <w:rFonts w:asciiTheme="minorHAnsi" w:eastAsia="SimSun" w:hAnsiTheme="minorHAnsi" w:cstheme="minorHAnsi"/>
          <w:bCs/>
          <w:sz w:val="17"/>
          <w:szCs w:val="17"/>
          <w:lang w:eastAsia="en-GB"/>
        </w:rPr>
      </w:pPr>
      <w:r w:rsidRPr="001E6E9D">
        <w:rPr>
          <w:rFonts w:asciiTheme="minorHAnsi" w:eastAsia="SimSun" w:hAnsiTheme="minorHAnsi" w:cstheme="minorHAnsi"/>
          <w:bCs/>
          <w:sz w:val="17"/>
          <w:szCs w:val="17"/>
          <w:lang w:eastAsia="en-GB"/>
        </w:rPr>
        <w:t>O grupo Faro Energy tem como objetivo levar energia solar aos seus consumidores, ampliando e simplificando o acesso a fonte de energia limpa e sustentável. Atualmente com atuação em 16 estados e no Distrito Federal no Brasil e presente em mais de 1.670 cidades, o grupo Faro Energy ultrapassou, em novembro de 2024, a marca de 475 Gigawatt-horas (GWh) de energia gerada, com mais de 12</w:t>
      </w:r>
      <w:r w:rsidR="00530ABF">
        <w:rPr>
          <w:rFonts w:asciiTheme="minorHAnsi" w:eastAsia="SimSun" w:hAnsiTheme="minorHAnsi" w:cstheme="minorHAnsi"/>
          <w:bCs/>
          <w:sz w:val="17"/>
          <w:szCs w:val="17"/>
          <w:lang w:eastAsia="en-GB"/>
        </w:rPr>
        <w:t>6</w:t>
      </w:r>
      <w:r w:rsidRPr="001E6E9D">
        <w:rPr>
          <w:rFonts w:asciiTheme="minorHAnsi" w:eastAsia="SimSun" w:hAnsiTheme="minorHAnsi" w:cstheme="minorHAnsi"/>
          <w:bCs/>
          <w:sz w:val="17"/>
          <w:szCs w:val="17"/>
          <w:lang w:eastAsia="en-GB"/>
        </w:rPr>
        <w:t xml:space="preserve"> Megawatt-pico (MWp) de projetos em operação.</w:t>
      </w:r>
    </w:p>
    <w:p w14:paraId="6C135315" w14:textId="53F789C1" w:rsidR="00AE0F80" w:rsidRPr="001E6E9D" w:rsidRDefault="00AE0F80" w:rsidP="00DC7081">
      <w:pPr>
        <w:spacing w:after="140"/>
        <w:rPr>
          <w:rFonts w:asciiTheme="minorHAnsi" w:eastAsia="SimSun" w:hAnsiTheme="minorHAnsi" w:cstheme="minorHAnsi"/>
          <w:bCs/>
          <w:sz w:val="17"/>
          <w:szCs w:val="17"/>
          <w:lang w:eastAsia="en-GB"/>
        </w:rPr>
      </w:pPr>
      <w:r w:rsidRPr="001E6E9D">
        <w:rPr>
          <w:rFonts w:asciiTheme="minorHAnsi" w:eastAsia="SimSun" w:hAnsiTheme="minorHAnsi" w:cstheme="minorHAnsi"/>
          <w:bCs/>
          <w:sz w:val="17"/>
          <w:szCs w:val="17"/>
          <w:lang w:eastAsia="en-GB"/>
        </w:rPr>
        <w:t xml:space="preserve">O grupo é membro integrante do Sistema B, uma iniciativa global que reúne empresas comprometidas com elevados padrões de desempenho social, ambiental e de governança. O objetivo do Sistema B é equilibrar lucro e impacto positivo, buscando transformar a economia global em uma força para o bem comum. O grupo Faro Energy é reconhecido por suas práticas sustentáveis e por seu compromisso com a transparência, tendo obtido a certificação </w:t>
      </w:r>
      <w:r w:rsidR="000D5E35" w:rsidRPr="001E6E9D">
        <w:rPr>
          <w:rFonts w:asciiTheme="minorHAnsi" w:eastAsia="SimSun" w:hAnsiTheme="minorHAnsi" w:cstheme="minorHAnsi"/>
          <w:bCs/>
          <w:sz w:val="17"/>
          <w:szCs w:val="17"/>
          <w:lang w:eastAsia="en-GB"/>
        </w:rPr>
        <w:t>“</w:t>
      </w:r>
      <w:r w:rsidRPr="001E6E9D">
        <w:rPr>
          <w:rFonts w:asciiTheme="minorHAnsi" w:eastAsia="SimSun" w:hAnsiTheme="minorHAnsi" w:cstheme="minorHAnsi"/>
          <w:bCs/>
          <w:i/>
          <w:iCs/>
          <w:sz w:val="17"/>
          <w:szCs w:val="17"/>
          <w:lang w:eastAsia="en-GB"/>
        </w:rPr>
        <w:t>Best for the World”</w:t>
      </w:r>
      <w:r w:rsidRPr="001E6E9D">
        <w:rPr>
          <w:rFonts w:asciiTheme="minorHAnsi" w:eastAsia="SimSun" w:hAnsiTheme="minorHAnsi" w:cstheme="minorHAnsi"/>
          <w:bCs/>
          <w:sz w:val="17"/>
          <w:szCs w:val="17"/>
          <w:lang w:eastAsia="en-GB"/>
        </w:rPr>
        <w:t xml:space="preserve"> (</w:t>
      </w:r>
      <w:r w:rsidR="000D5E35" w:rsidRPr="001E6E9D">
        <w:rPr>
          <w:rFonts w:asciiTheme="minorHAnsi" w:eastAsia="SimSun" w:hAnsiTheme="minorHAnsi" w:cstheme="minorHAnsi"/>
          <w:bCs/>
          <w:sz w:val="17"/>
          <w:szCs w:val="17"/>
          <w:lang w:eastAsia="en-GB"/>
        </w:rPr>
        <w:t>“</w:t>
      </w:r>
      <w:r w:rsidRPr="001E6E9D">
        <w:rPr>
          <w:rFonts w:asciiTheme="minorHAnsi" w:eastAsia="SimSun" w:hAnsiTheme="minorHAnsi" w:cstheme="minorHAnsi"/>
          <w:bCs/>
          <w:sz w:val="17"/>
          <w:szCs w:val="17"/>
          <w:lang w:eastAsia="en-GB"/>
        </w:rPr>
        <w:t>melhor para o mundo”, em inglês) em governança e meio ambiente.</w:t>
      </w:r>
    </w:p>
    <w:p w14:paraId="3C673E39" w14:textId="77777777" w:rsidR="00AE0F80" w:rsidRPr="001E6E9D" w:rsidRDefault="00AE0F80" w:rsidP="00DC7081">
      <w:pPr>
        <w:spacing w:after="140"/>
        <w:rPr>
          <w:rFonts w:asciiTheme="minorHAnsi" w:eastAsia="SimSun" w:hAnsiTheme="minorHAnsi" w:cstheme="minorHAnsi"/>
          <w:bCs/>
          <w:sz w:val="17"/>
          <w:szCs w:val="17"/>
          <w:lang w:eastAsia="en-GB"/>
        </w:rPr>
      </w:pPr>
      <w:r w:rsidRPr="001E6E9D">
        <w:rPr>
          <w:rFonts w:asciiTheme="minorHAnsi" w:eastAsia="SimSun" w:hAnsiTheme="minorHAnsi" w:cstheme="minorHAnsi"/>
          <w:bCs/>
          <w:sz w:val="17"/>
          <w:szCs w:val="17"/>
          <w:lang w:eastAsia="en-GB"/>
        </w:rPr>
        <w:t>A Companhia é controladora de 16 sociedades de propósito específico que têm por objeto social a prestação de serviços de desenvolvimento, implantação, operação e gestão de usinas fotovoltaicas no sistema de geração distribuída do Brasil. O portfólio da Companhia é composto por projetos detidos por sociedades de propósito específico, sendo que, em outubro de 2024, visando a racionalização da estrutura societária do grupo, a Companhia incorporou sua sociedade sob controle comum Faro Energy Projetos Solares Holding V Ltda., que era quotista de 5 sociedades de propósito específico.</w:t>
      </w:r>
    </w:p>
    <w:p w14:paraId="7A6DDADD" w14:textId="00AF8ABC" w:rsidR="00AE0F80" w:rsidRPr="001E6E9D" w:rsidRDefault="00AE0F80" w:rsidP="00DC7081">
      <w:pPr>
        <w:spacing w:after="140"/>
        <w:rPr>
          <w:rFonts w:asciiTheme="minorHAnsi" w:hAnsiTheme="minorHAnsi" w:cstheme="minorHAnsi"/>
          <w:sz w:val="17"/>
          <w:szCs w:val="17"/>
          <w:lang w:eastAsia="en-GB"/>
        </w:rPr>
      </w:pPr>
      <w:r w:rsidRPr="001E6E9D">
        <w:rPr>
          <w:rFonts w:asciiTheme="minorHAnsi" w:eastAsia="SimSun" w:hAnsiTheme="minorHAnsi" w:cstheme="minorHAnsi"/>
          <w:bCs/>
          <w:sz w:val="17"/>
          <w:szCs w:val="17"/>
          <w:lang w:eastAsia="en-GB"/>
        </w:rPr>
        <w:t>Mediante a incorporação, a Companhia passou a contar com um portfólio total de 31 usinas solares fotovoltaicas, em diferentes estágios de implantação e operação, distribuídas nas 5 regiões do país, em 11 estados, representando uma potência instalada total de 56MWp. Em 1º de novembro 2024, 17 projetos eram operacionais, totalizando 41 MWp, e 14 estavam em construção, totalizando 15MWp.</w:t>
      </w:r>
    </w:p>
    <w:p w14:paraId="466D979F" w14:textId="77777777" w:rsidR="003468A1" w:rsidRPr="001E6E9D" w:rsidRDefault="0053704D" w:rsidP="00DC7081">
      <w:pPr>
        <w:pStyle w:val="Ttulo2"/>
        <w:spacing w:after="140"/>
        <w:rPr>
          <w:sz w:val="17"/>
          <w:szCs w:val="17"/>
        </w:rPr>
      </w:pPr>
      <w:bookmarkStart w:id="36" w:name="_Ref158844915"/>
      <w:bookmarkStart w:id="37" w:name="_Toc159073465"/>
      <w:bookmarkStart w:id="38" w:name="_Toc184129206"/>
      <w:r w:rsidRPr="001E6E9D">
        <w:rPr>
          <w:sz w:val="17"/>
          <w:szCs w:val="17"/>
        </w:rPr>
        <w:t>2.3.</w:t>
      </w:r>
      <w:r w:rsidR="000568D3" w:rsidRPr="001E6E9D">
        <w:rPr>
          <w:sz w:val="17"/>
          <w:szCs w:val="17"/>
        </w:rPr>
        <w:t xml:space="preserve"> </w:t>
      </w:r>
      <w:r w:rsidRPr="001E6E9D">
        <w:rPr>
          <w:sz w:val="17"/>
          <w:szCs w:val="17"/>
        </w:rPr>
        <w:t>Identificação do público-alvo</w:t>
      </w:r>
      <w:bookmarkEnd w:id="36"/>
      <w:bookmarkEnd w:id="37"/>
      <w:bookmarkEnd w:id="38"/>
      <w:r w:rsidRPr="001E6E9D">
        <w:rPr>
          <w:sz w:val="17"/>
          <w:szCs w:val="17"/>
        </w:rPr>
        <w:t xml:space="preserve"> </w:t>
      </w:r>
    </w:p>
    <w:p w14:paraId="755E932A" w14:textId="6E3B33D2" w:rsidR="003468A1" w:rsidRPr="001E6E9D" w:rsidRDefault="0053704D" w:rsidP="00DC7081">
      <w:pPr>
        <w:tabs>
          <w:tab w:val="left" w:pos="851"/>
        </w:tabs>
        <w:autoSpaceDE w:val="0"/>
        <w:autoSpaceDN w:val="0"/>
        <w:spacing w:after="140"/>
        <w:rPr>
          <w:rFonts w:asciiTheme="minorHAnsi" w:eastAsia="Times New Roman" w:hAnsiTheme="minorHAnsi" w:cstheme="minorHAnsi"/>
          <w:sz w:val="17"/>
          <w:szCs w:val="17"/>
          <w:lang w:eastAsia="pt-BR"/>
        </w:rPr>
      </w:pPr>
      <w:r w:rsidRPr="001E6E9D">
        <w:rPr>
          <w:rFonts w:asciiTheme="minorHAnsi" w:eastAsia="Times New Roman" w:hAnsiTheme="minorHAnsi" w:cstheme="minorHAnsi"/>
          <w:sz w:val="17"/>
          <w:szCs w:val="17"/>
          <w:lang w:eastAsia="pt-BR"/>
        </w:rPr>
        <w:t xml:space="preserve">A Oferta </w:t>
      </w:r>
      <w:r w:rsidR="003D6E04">
        <w:rPr>
          <w:rFonts w:asciiTheme="minorHAnsi" w:eastAsia="Times New Roman" w:hAnsiTheme="minorHAnsi" w:cstheme="minorHAnsi"/>
          <w:bCs/>
          <w:sz w:val="17"/>
          <w:szCs w:val="17"/>
          <w:lang w:eastAsia="pt-BR"/>
        </w:rPr>
        <w:t xml:space="preserve">é </w:t>
      </w:r>
      <w:r w:rsidR="003D6E04" w:rsidRPr="001E6E9D">
        <w:rPr>
          <w:rFonts w:asciiTheme="minorHAnsi" w:eastAsia="Times New Roman" w:hAnsiTheme="minorHAnsi" w:cstheme="minorHAnsi"/>
          <w:sz w:val="17"/>
          <w:szCs w:val="17"/>
          <w:lang w:eastAsia="pt-BR"/>
        </w:rPr>
        <w:t xml:space="preserve"> </w:t>
      </w:r>
      <w:r w:rsidRPr="001E6E9D">
        <w:rPr>
          <w:rFonts w:asciiTheme="minorHAnsi" w:eastAsia="Times New Roman" w:hAnsiTheme="minorHAnsi" w:cstheme="minorHAnsi"/>
          <w:sz w:val="17"/>
          <w:szCs w:val="17"/>
          <w:lang w:eastAsia="pt-BR"/>
        </w:rPr>
        <w:t xml:space="preserve">destinada </w:t>
      </w:r>
      <w:r w:rsidRPr="001E6E9D">
        <w:rPr>
          <w:rFonts w:asciiTheme="minorHAnsi" w:eastAsia="Times New Roman" w:hAnsiTheme="minorHAnsi" w:cstheme="minorHAnsi"/>
          <w:bCs/>
          <w:sz w:val="17"/>
          <w:szCs w:val="17"/>
          <w:lang w:eastAsia="pt-BR"/>
        </w:rPr>
        <w:t xml:space="preserve">exclusivamente </w:t>
      </w:r>
      <w:r w:rsidRPr="001E6E9D">
        <w:rPr>
          <w:rFonts w:asciiTheme="minorHAnsi" w:eastAsia="Times New Roman" w:hAnsiTheme="minorHAnsi" w:cstheme="minorHAnsi"/>
          <w:sz w:val="17"/>
          <w:szCs w:val="17"/>
          <w:lang w:eastAsia="pt-BR"/>
        </w:rPr>
        <w:t xml:space="preserve">a </w:t>
      </w:r>
      <w:r w:rsidR="000D5E35" w:rsidRPr="001E6E9D">
        <w:rPr>
          <w:rFonts w:asciiTheme="minorHAnsi" w:eastAsia="Times New Roman" w:hAnsiTheme="minorHAnsi" w:cstheme="minorHAnsi"/>
          <w:sz w:val="17"/>
          <w:szCs w:val="17"/>
          <w:lang w:eastAsia="pt-BR"/>
        </w:rPr>
        <w:t>“</w:t>
      </w:r>
      <w:r w:rsidRPr="001E6E9D">
        <w:rPr>
          <w:rFonts w:asciiTheme="minorHAnsi" w:eastAsia="Times New Roman" w:hAnsiTheme="minorHAnsi" w:cstheme="minorHAnsi"/>
          <w:b/>
          <w:sz w:val="17"/>
          <w:szCs w:val="17"/>
          <w:lang w:eastAsia="pt-BR"/>
        </w:rPr>
        <w:t>Investidores Qualificados</w:t>
      </w:r>
      <w:r w:rsidRPr="001E6E9D">
        <w:rPr>
          <w:rFonts w:asciiTheme="minorHAnsi" w:eastAsia="Times New Roman" w:hAnsiTheme="minorHAnsi" w:cstheme="minorHAnsi"/>
          <w:sz w:val="17"/>
          <w:szCs w:val="17"/>
          <w:lang w:eastAsia="pt-BR"/>
        </w:rPr>
        <w:t xml:space="preserve">”, que sejam, conforme artigo 12 da Resolução CVM </w:t>
      </w:r>
      <w:r w:rsidR="000D5E35" w:rsidRPr="001E6E9D">
        <w:rPr>
          <w:rFonts w:asciiTheme="minorHAnsi" w:eastAsia="Times New Roman" w:hAnsiTheme="minorHAnsi" w:cstheme="minorHAnsi"/>
          <w:sz w:val="17"/>
          <w:szCs w:val="17"/>
          <w:lang w:eastAsia="pt-BR"/>
        </w:rPr>
        <w:t>nº</w:t>
      </w:r>
      <w:r w:rsidRPr="001E6E9D">
        <w:rPr>
          <w:rFonts w:asciiTheme="minorHAnsi" w:eastAsia="Times New Roman" w:hAnsiTheme="minorHAnsi" w:cstheme="minorHAnsi"/>
          <w:sz w:val="17"/>
          <w:szCs w:val="17"/>
          <w:lang w:eastAsia="pt-BR"/>
        </w:rPr>
        <w:t> 30</w:t>
      </w:r>
      <w:r w:rsidR="00C445C8" w:rsidRPr="001E6E9D">
        <w:rPr>
          <w:rFonts w:asciiTheme="minorHAnsi" w:eastAsia="Times New Roman" w:hAnsiTheme="minorHAnsi" w:cstheme="minorHAnsi"/>
          <w:sz w:val="17"/>
          <w:szCs w:val="17"/>
          <w:lang w:eastAsia="pt-BR"/>
        </w:rPr>
        <w:t>,</w:t>
      </w:r>
      <w:r w:rsidRPr="001E6E9D">
        <w:rPr>
          <w:rFonts w:asciiTheme="minorHAnsi" w:eastAsia="Times New Roman" w:hAnsiTheme="minorHAnsi" w:cstheme="minorHAnsi"/>
          <w:sz w:val="17"/>
          <w:szCs w:val="17"/>
          <w:lang w:eastAsia="pt-BR"/>
        </w:rPr>
        <w:t xml:space="preserve"> de 11 de maio de 2021, conforme em vigor (</w:t>
      </w:r>
      <w:r w:rsidR="000D5E35" w:rsidRPr="001E6E9D">
        <w:rPr>
          <w:rFonts w:asciiTheme="minorHAnsi" w:eastAsia="Times New Roman" w:hAnsiTheme="minorHAnsi" w:cstheme="minorHAnsi"/>
          <w:sz w:val="17"/>
          <w:szCs w:val="17"/>
          <w:lang w:eastAsia="pt-BR"/>
        </w:rPr>
        <w:t>“</w:t>
      </w:r>
      <w:r w:rsidRPr="001E6E9D">
        <w:rPr>
          <w:rFonts w:asciiTheme="minorHAnsi" w:eastAsia="Times New Roman" w:hAnsiTheme="minorHAnsi" w:cstheme="minorHAnsi"/>
          <w:b/>
          <w:sz w:val="17"/>
          <w:szCs w:val="17"/>
          <w:lang w:eastAsia="pt-BR"/>
        </w:rPr>
        <w:t>Resolução CVM 30</w:t>
      </w:r>
      <w:r w:rsidRPr="001E6E9D">
        <w:rPr>
          <w:rFonts w:asciiTheme="minorHAnsi" w:eastAsia="Times New Roman" w:hAnsiTheme="minorHAnsi" w:cstheme="minorHAnsi"/>
          <w:sz w:val="17"/>
          <w:szCs w:val="17"/>
          <w:lang w:eastAsia="pt-BR"/>
        </w:rPr>
        <w:t xml:space="preserve">”): </w:t>
      </w:r>
      <w:r w:rsidRPr="001E6E9D">
        <w:rPr>
          <w:rFonts w:asciiTheme="minorHAnsi" w:eastAsia="Times New Roman" w:hAnsiTheme="minorHAnsi" w:cstheme="minorHAnsi"/>
          <w:b/>
          <w:bCs/>
          <w:sz w:val="17"/>
          <w:szCs w:val="17"/>
          <w:lang w:eastAsia="pt-BR"/>
        </w:rPr>
        <w:t>(i)</w:t>
      </w:r>
      <w:r w:rsidRPr="001E6E9D">
        <w:rPr>
          <w:rFonts w:asciiTheme="minorHAnsi" w:eastAsia="Times New Roman" w:hAnsiTheme="minorHAnsi" w:cstheme="minorHAnsi"/>
          <w:sz w:val="17"/>
          <w:szCs w:val="17"/>
          <w:lang w:eastAsia="pt-BR"/>
        </w:rPr>
        <w:t xml:space="preserve"> investidores profissionais, conforme definido no artigo 11 da Resolução CVM 30; </w:t>
      </w:r>
      <w:r w:rsidRPr="001E6E9D">
        <w:rPr>
          <w:rFonts w:asciiTheme="minorHAnsi" w:eastAsia="Times New Roman" w:hAnsiTheme="minorHAnsi" w:cstheme="minorHAnsi"/>
          <w:b/>
          <w:bCs/>
          <w:sz w:val="17"/>
          <w:szCs w:val="17"/>
          <w:lang w:eastAsia="pt-BR"/>
        </w:rPr>
        <w:t>(ii)</w:t>
      </w:r>
      <w:r w:rsidRPr="001E6E9D">
        <w:rPr>
          <w:rFonts w:asciiTheme="minorHAnsi" w:eastAsia="Times New Roman" w:hAnsiTheme="minorHAnsi" w:cstheme="minorHAnsi"/>
          <w:sz w:val="17"/>
          <w:szCs w:val="17"/>
          <w:lang w:eastAsia="pt-BR"/>
        </w:rPr>
        <w:t xml:space="preserve"> pessoas naturais ou jurídicas que possuam investimentos financeiros em valor superior a R$ 1.000.000,00 (um milhão de reais) e que, adicionalmente, atestem por escrito sua condição de investidor qualificado mediante termo próprio, de acordo com o Anexo B da Resolução CVM 30; </w:t>
      </w:r>
      <w:r w:rsidRPr="001E6E9D">
        <w:rPr>
          <w:rFonts w:asciiTheme="minorHAnsi" w:eastAsia="Times New Roman" w:hAnsiTheme="minorHAnsi" w:cstheme="minorHAnsi"/>
          <w:b/>
          <w:bCs/>
          <w:sz w:val="17"/>
          <w:szCs w:val="17"/>
          <w:lang w:eastAsia="pt-BR"/>
        </w:rPr>
        <w:t>(iii)</w:t>
      </w:r>
      <w:r w:rsidRPr="001E6E9D">
        <w:rPr>
          <w:rFonts w:asciiTheme="minorHAnsi" w:eastAsia="Times New Roman" w:hAnsiTheme="minorHAnsi" w:cstheme="minorHAnsi"/>
          <w:sz w:val="17"/>
          <w:szCs w:val="17"/>
          <w:lang w:eastAsia="pt-BR"/>
        </w:rPr>
        <w:t xml:space="preserve"> as pessoas naturais que tenham sido aprovadas em exames de qualificação técnica ou possuam certificações aprovadas pela CVM como requisitos para o registro de agentes autônomos de investimento, administradores de carteira de valores mobiliários, analistas de valores mobiliários e consultores de valores mobiliários, em relação a seus recursos próprios; ou </w:t>
      </w:r>
      <w:r w:rsidRPr="001E6E9D">
        <w:rPr>
          <w:rFonts w:asciiTheme="minorHAnsi" w:eastAsia="Times New Roman" w:hAnsiTheme="minorHAnsi" w:cstheme="minorHAnsi"/>
          <w:b/>
          <w:bCs/>
          <w:sz w:val="17"/>
          <w:szCs w:val="17"/>
          <w:lang w:eastAsia="pt-BR"/>
        </w:rPr>
        <w:t>(iv)</w:t>
      </w:r>
      <w:r w:rsidRPr="001E6E9D">
        <w:rPr>
          <w:rFonts w:asciiTheme="minorHAnsi" w:eastAsia="Times New Roman" w:hAnsiTheme="minorHAnsi" w:cstheme="minorHAnsi"/>
          <w:sz w:val="17"/>
          <w:szCs w:val="17"/>
          <w:lang w:eastAsia="pt-BR"/>
        </w:rPr>
        <w:t xml:space="preserve"> clubes de investimento, desde que tenham a carteira gerida por um ou mais cotistas, que sejam investidores qualificados.</w:t>
      </w:r>
    </w:p>
    <w:p w14:paraId="4840B263" w14:textId="77777777" w:rsidR="003468A1" w:rsidRPr="001E6E9D" w:rsidRDefault="0053704D" w:rsidP="00DC7081">
      <w:pPr>
        <w:tabs>
          <w:tab w:val="left" w:pos="851"/>
        </w:tabs>
        <w:autoSpaceDE w:val="0"/>
        <w:autoSpaceDN w:val="0"/>
        <w:spacing w:after="140"/>
        <w:rPr>
          <w:rFonts w:asciiTheme="minorHAnsi" w:eastAsia="Times New Roman" w:hAnsiTheme="minorHAnsi" w:cstheme="minorHAnsi"/>
          <w:sz w:val="17"/>
          <w:szCs w:val="17"/>
          <w:lang w:eastAsia="pt-BR"/>
        </w:rPr>
      </w:pPr>
      <w:r w:rsidRPr="001E6E9D">
        <w:rPr>
          <w:rFonts w:asciiTheme="minorHAnsi" w:eastAsia="Times New Roman" w:hAnsiTheme="minorHAnsi" w:cstheme="minorHAnsi"/>
          <w:sz w:val="17"/>
          <w:szCs w:val="17"/>
          <w:lang w:eastAsia="pt-BR"/>
        </w:rPr>
        <w:lastRenderedPageBreak/>
        <w:t>Os regimes próprios de previdência social instituídos pela União, pelos Estados, pelo Distrito Federal ou por Municípios são considerados investidores profissionais ou Investidores Qualificados apenas se reconhecidos como tais conforme regulamentação específica do órgão de governo competente na esfera federal.</w:t>
      </w:r>
    </w:p>
    <w:p w14:paraId="75084AD1" w14:textId="77777777" w:rsidR="003468A1" w:rsidRPr="001E6E9D" w:rsidRDefault="0053704D" w:rsidP="00DC7081">
      <w:pPr>
        <w:pStyle w:val="Ttulo2"/>
        <w:spacing w:after="140"/>
        <w:rPr>
          <w:sz w:val="17"/>
          <w:szCs w:val="17"/>
        </w:rPr>
      </w:pPr>
      <w:bookmarkStart w:id="39" w:name="_Ref158844916"/>
      <w:bookmarkStart w:id="40" w:name="_Toc159073466"/>
      <w:bookmarkStart w:id="41" w:name="_Toc184129207"/>
      <w:r w:rsidRPr="001E6E9D">
        <w:rPr>
          <w:sz w:val="17"/>
          <w:szCs w:val="17"/>
        </w:rPr>
        <w:t>2.4.</w:t>
      </w:r>
      <w:r w:rsidR="000568D3" w:rsidRPr="001E6E9D">
        <w:rPr>
          <w:sz w:val="17"/>
          <w:szCs w:val="17"/>
        </w:rPr>
        <w:t xml:space="preserve"> </w:t>
      </w:r>
      <w:r w:rsidRPr="001E6E9D">
        <w:rPr>
          <w:sz w:val="17"/>
          <w:szCs w:val="17"/>
        </w:rPr>
        <w:t>Admissão à negociação em mercados organizados de bolsa e balcão</w:t>
      </w:r>
      <w:bookmarkEnd w:id="39"/>
      <w:bookmarkEnd w:id="40"/>
      <w:bookmarkEnd w:id="41"/>
    </w:p>
    <w:p w14:paraId="5A2B1F5F" w14:textId="77777777" w:rsidR="003468A1" w:rsidRPr="001E6E9D" w:rsidRDefault="0053704D" w:rsidP="00DC7081">
      <w:pPr>
        <w:tabs>
          <w:tab w:val="left" w:pos="851"/>
        </w:tabs>
        <w:autoSpaceDE w:val="0"/>
        <w:autoSpaceDN w:val="0"/>
        <w:spacing w:after="140"/>
        <w:rPr>
          <w:rFonts w:asciiTheme="minorHAnsi" w:eastAsia="Times New Roman" w:hAnsiTheme="minorHAnsi" w:cstheme="minorHAnsi"/>
          <w:sz w:val="17"/>
          <w:szCs w:val="17"/>
          <w:lang w:eastAsia="pt-BR"/>
        </w:rPr>
      </w:pPr>
      <w:r w:rsidRPr="001E6E9D">
        <w:rPr>
          <w:rFonts w:asciiTheme="minorHAnsi" w:eastAsia="Times New Roman" w:hAnsiTheme="minorHAnsi" w:cstheme="minorHAnsi"/>
          <w:sz w:val="17"/>
          <w:szCs w:val="17"/>
          <w:lang w:eastAsia="pt-BR"/>
        </w:rPr>
        <w:t xml:space="preserve">Nos termos do artigo 86, inciso IV, da Resolução CVM 160, as Debêntures somente poderão ser negociadas nos mercados regulamentados de valores mobiliários entre Investidores Qualificados, sendo requerido adicionalmente que a Emissora cumpra as obrigações previstas no artigo 89, da Resolução CVM 160. </w:t>
      </w:r>
      <w:bookmarkStart w:id="42" w:name="_Hlk127272833"/>
      <w:r w:rsidRPr="001E6E9D">
        <w:rPr>
          <w:rFonts w:asciiTheme="minorHAnsi" w:eastAsia="Times New Roman" w:hAnsiTheme="minorHAnsi" w:cstheme="minorHAnsi"/>
          <w:sz w:val="17"/>
          <w:szCs w:val="17"/>
          <w:lang w:eastAsia="pt-BR"/>
        </w:rPr>
        <w:t>Nos termos do artigo 88 da Resolução CVM 160, as Debêntures poderão ser negociadas nos mercados de balcão organizado e não organizado, mas não em bolsa, sem que a Emissora possua o registro de que trata o artigo 21 da Lei do Mercado de Valores Mobiliários</w:t>
      </w:r>
      <w:bookmarkEnd w:id="42"/>
      <w:r w:rsidRPr="001E6E9D">
        <w:rPr>
          <w:rFonts w:asciiTheme="minorHAnsi" w:eastAsia="Times New Roman" w:hAnsiTheme="minorHAnsi" w:cstheme="minorHAnsi"/>
          <w:sz w:val="17"/>
          <w:szCs w:val="17"/>
          <w:lang w:eastAsia="pt-BR"/>
        </w:rPr>
        <w:t>.</w:t>
      </w:r>
    </w:p>
    <w:p w14:paraId="435F6BA2" w14:textId="77777777" w:rsidR="003468A1" w:rsidRPr="001E6E9D" w:rsidRDefault="0053704D" w:rsidP="00DC7081">
      <w:pPr>
        <w:pStyle w:val="Ttulo2"/>
        <w:spacing w:after="140"/>
        <w:rPr>
          <w:sz w:val="17"/>
          <w:szCs w:val="17"/>
        </w:rPr>
      </w:pPr>
      <w:bookmarkStart w:id="43" w:name="_Ref158844917"/>
      <w:bookmarkStart w:id="44" w:name="_Toc159073467"/>
      <w:bookmarkStart w:id="45" w:name="_Toc184129208"/>
      <w:r w:rsidRPr="001E6E9D">
        <w:rPr>
          <w:sz w:val="17"/>
          <w:szCs w:val="17"/>
        </w:rPr>
        <w:t>2.5.</w:t>
      </w:r>
      <w:r w:rsidR="000568D3" w:rsidRPr="001E6E9D">
        <w:rPr>
          <w:sz w:val="17"/>
          <w:szCs w:val="17"/>
        </w:rPr>
        <w:t xml:space="preserve"> </w:t>
      </w:r>
      <w:r w:rsidRPr="001E6E9D">
        <w:rPr>
          <w:sz w:val="17"/>
          <w:szCs w:val="17"/>
        </w:rPr>
        <w:t>Valor total da Oferta</w:t>
      </w:r>
      <w:bookmarkEnd w:id="43"/>
      <w:bookmarkEnd w:id="44"/>
      <w:bookmarkEnd w:id="45"/>
    </w:p>
    <w:p w14:paraId="3EB103D0" w14:textId="43580A31" w:rsidR="003468A1" w:rsidRPr="001E6E9D" w:rsidRDefault="00E54EDD" w:rsidP="00DC7081">
      <w:pPr>
        <w:spacing w:after="140"/>
        <w:rPr>
          <w:rFonts w:asciiTheme="minorHAnsi" w:eastAsia="Times New Roman" w:hAnsiTheme="minorHAnsi" w:cstheme="minorHAnsi"/>
          <w:sz w:val="17"/>
          <w:szCs w:val="17"/>
          <w:lang w:eastAsia="pt-BR"/>
        </w:rPr>
      </w:pPr>
      <w:r w:rsidRPr="001E6E9D">
        <w:rPr>
          <w:rFonts w:asciiTheme="minorHAnsi" w:eastAsia="Times New Roman" w:hAnsiTheme="minorHAnsi" w:cstheme="minorHAnsi"/>
          <w:sz w:val="17"/>
          <w:szCs w:val="17"/>
          <w:lang w:eastAsia="pt-BR"/>
        </w:rPr>
        <w:t>O</w:t>
      </w:r>
      <w:r w:rsidR="0053704D" w:rsidRPr="001E6E9D">
        <w:rPr>
          <w:rFonts w:asciiTheme="minorHAnsi" w:eastAsia="Times New Roman" w:hAnsiTheme="minorHAnsi" w:cstheme="minorHAnsi"/>
          <w:sz w:val="17"/>
          <w:szCs w:val="17"/>
          <w:lang w:eastAsia="pt-BR"/>
        </w:rPr>
        <w:t xml:space="preserve"> Valor Total da Oferta</w:t>
      </w:r>
      <w:r w:rsidRPr="001E6E9D">
        <w:rPr>
          <w:rFonts w:asciiTheme="minorHAnsi" w:eastAsia="Times New Roman" w:hAnsiTheme="minorHAnsi" w:cstheme="minorHAnsi"/>
          <w:sz w:val="17"/>
          <w:szCs w:val="17"/>
          <w:lang w:eastAsia="pt-BR"/>
        </w:rPr>
        <w:t xml:space="preserve"> é </w:t>
      </w:r>
      <w:r w:rsidR="0053704D" w:rsidRPr="001E6E9D">
        <w:rPr>
          <w:rFonts w:asciiTheme="minorHAnsi" w:eastAsia="Times New Roman" w:hAnsiTheme="minorHAnsi" w:cstheme="minorHAnsi"/>
          <w:sz w:val="17"/>
          <w:szCs w:val="17"/>
          <w:lang w:eastAsia="pt-BR"/>
        </w:rPr>
        <w:t xml:space="preserve">R$ </w:t>
      </w:r>
      <w:r w:rsidRPr="001E6E9D">
        <w:rPr>
          <w:rFonts w:asciiTheme="minorHAnsi" w:eastAsia="Times New Roman" w:hAnsiTheme="minorHAnsi" w:cstheme="minorHAnsi"/>
          <w:sz w:val="17"/>
          <w:szCs w:val="17"/>
          <w:lang w:eastAsia="pt-BR"/>
        </w:rPr>
        <w:t>200</w:t>
      </w:r>
      <w:r w:rsidR="0053704D" w:rsidRPr="001E6E9D">
        <w:rPr>
          <w:rFonts w:asciiTheme="minorHAnsi" w:eastAsia="Times New Roman" w:hAnsiTheme="minorHAnsi" w:cstheme="minorHAnsi"/>
          <w:sz w:val="17"/>
          <w:szCs w:val="17"/>
          <w:lang w:eastAsia="pt-BR"/>
        </w:rPr>
        <w:t>.000.000,00 (duzentos milhões de reais).</w:t>
      </w:r>
    </w:p>
    <w:p w14:paraId="4D7DBE4E" w14:textId="77777777" w:rsidR="00C932D7" w:rsidRPr="001E6E9D" w:rsidRDefault="0053704D" w:rsidP="00DC7081">
      <w:pPr>
        <w:pStyle w:val="Ttulo2"/>
        <w:spacing w:after="140"/>
        <w:rPr>
          <w:sz w:val="17"/>
          <w:szCs w:val="17"/>
        </w:rPr>
      </w:pPr>
      <w:bookmarkStart w:id="46" w:name="_Ref158844918"/>
      <w:bookmarkStart w:id="47" w:name="_Ref158845066"/>
      <w:bookmarkStart w:id="48" w:name="_Ref158845203"/>
      <w:bookmarkStart w:id="49" w:name="_Toc159073468"/>
      <w:bookmarkStart w:id="50" w:name="_Toc184129209"/>
      <w:r w:rsidRPr="001E6E9D">
        <w:rPr>
          <w:sz w:val="17"/>
          <w:szCs w:val="17"/>
        </w:rPr>
        <w:t>2.6.</w:t>
      </w:r>
      <w:r w:rsidR="000568D3" w:rsidRPr="001E6E9D">
        <w:rPr>
          <w:sz w:val="17"/>
          <w:szCs w:val="17"/>
        </w:rPr>
        <w:t xml:space="preserve"> </w:t>
      </w:r>
      <w:r w:rsidRPr="001E6E9D">
        <w:rPr>
          <w:sz w:val="17"/>
          <w:szCs w:val="17"/>
        </w:rPr>
        <w:t>Características da Oferta</w:t>
      </w:r>
      <w:bookmarkEnd w:id="46"/>
      <w:bookmarkEnd w:id="47"/>
      <w:bookmarkEnd w:id="48"/>
      <w:bookmarkEnd w:id="49"/>
      <w:bookmarkEnd w:id="50"/>
    </w:p>
    <w:p w14:paraId="26C2BBD6" w14:textId="229CA12B" w:rsidR="003468A1" w:rsidRPr="001E6E9D" w:rsidRDefault="0053704D" w:rsidP="00DC7081">
      <w:pPr>
        <w:spacing w:after="140"/>
        <w:rPr>
          <w:rFonts w:asciiTheme="minorHAnsi" w:hAnsiTheme="minorHAnsi" w:cstheme="minorHAnsi"/>
          <w:sz w:val="17"/>
          <w:szCs w:val="17"/>
          <w:lang w:eastAsia="pt-BR"/>
        </w:rPr>
      </w:pPr>
      <w:r w:rsidRPr="001E6E9D">
        <w:rPr>
          <w:rFonts w:asciiTheme="minorHAnsi" w:hAnsiTheme="minorHAnsi" w:cstheme="minorHAnsi"/>
          <w:sz w:val="17"/>
          <w:szCs w:val="17"/>
          <w:lang w:eastAsia="pt-BR"/>
        </w:rPr>
        <w:t xml:space="preserve">As Debêntures </w:t>
      </w:r>
      <w:r w:rsidR="00915B73">
        <w:rPr>
          <w:rFonts w:asciiTheme="minorHAnsi" w:hAnsiTheme="minorHAnsi" w:cstheme="minorHAnsi"/>
          <w:sz w:val="17"/>
          <w:szCs w:val="17"/>
          <w:lang w:eastAsia="pt-BR"/>
        </w:rPr>
        <w:t>foram</w:t>
      </w:r>
      <w:r w:rsidR="00915B73" w:rsidRPr="001E6E9D">
        <w:rPr>
          <w:rFonts w:asciiTheme="minorHAnsi" w:hAnsiTheme="minorHAnsi" w:cstheme="minorHAnsi"/>
          <w:sz w:val="17"/>
          <w:szCs w:val="17"/>
          <w:lang w:eastAsia="pt-BR"/>
        </w:rPr>
        <w:t xml:space="preserve"> </w:t>
      </w:r>
      <w:r w:rsidRPr="001E6E9D">
        <w:rPr>
          <w:rFonts w:asciiTheme="minorHAnsi" w:hAnsiTheme="minorHAnsi" w:cstheme="minorHAnsi"/>
          <w:sz w:val="17"/>
          <w:szCs w:val="17"/>
          <w:lang w:eastAsia="pt-BR"/>
        </w:rPr>
        <w:t>emitidas em série única, com as características abaixo:</w:t>
      </w:r>
    </w:p>
    <w:p w14:paraId="17ACBD36" w14:textId="6DDFC144" w:rsidR="0053704D" w:rsidRPr="001E6E9D" w:rsidRDefault="0053704D" w:rsidP="00DC7081">
      <w:pPr>
        <w:spacing w:after="140"/>
        <w:ind w:left="567" w:hanging="567"/>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bCs/>
          <w:sz w:val="17"/>
          <w:szCs w:val="17"/>
          <w:lang w:eastAsia="pt-BR"/>
        </w:rPr>
        <w:t>a)</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Valor</w:t>
      </w:r>
      <w:r w:rsidRPr="001E6E9D">
        <w:rPr>
          <w:rFonts w:asciiTheme="minorHAnsi" w:eastAsia="SimSun" w:hAnsiTheme="minorHAnsi" w:cstheme="minorHAnsi"/>
          <w:b/>
          <w:sz w:val="17"/>
          <w:szCs w:val="17"/>
          <w:lang w:eastAsia="pt-BR"/>
        </w:rPr>
        <w:t xml:space="preserve"> nominal unitário</w:t>
      </w:r>
      <w:r w:rsidRPr="001E6E9D">
        <w:rPr>
          <w:rFonts w:asciiTheme="minorHAnsi" w:eastAsia="SimSun" w:hAnsiTheme="minorHAnsi" w:cstheme="minorHAnsi"/>
          <w:b/>
          <w:bCs/>
          <w:sz w:val="17"/>
          <w:szCs w:val="17"/>
          <w:lang w:eastAsia="pt-BR"/>
        </w:rPr>
        <w:t>:</w:t>
      </w:r>
      <w:r w:rsidRPr="001E6E9D">
        <w:rPr>
          <w:rFonts w:asciiTheme="minorHAnsi" w:eastAsia="SimSun" w:hAnsiTheme="minorHAnsi" w:cstheme="minorHAnsi"/>
          <w:bCs/>
          <w:sz w:val="17"/>
          <w:szCs w:val="17"/>
          <w:lang w:eastAsia="pt-BR"/>
        </w:rPr>
        <w:t xml:space="preserve"> </w:t>
      </w:r>
      <w:r w:rsidR="00EC638A" w:rsidRPr="001E6E9D">
        <w:rPr>
          <w:rFonts w:asciiTheme="minorHAnsi" w:hAnsiTheme="minorHAnsi" w:cstheme="minorHAnsi"/>
          <w:sz w:val="17"/>
          <w:szCs w:val="17"/>
        </w:rPr>
        <w:t xml:space="preserve">o valor nominal unitário das Debêntures </w:t>
      </w:r>
      <w:r w:rsidR="00915B73">
        <w:rPr>
          <w:rFonts w:asciiTheme="minorHAnsi" w:hAnsiTheme="minorHAnsi" w:cstheme="minorHAnsi"/>
          <w:sz w:val="17"/>
          <w:szCs w:val="17"/>
        </w:rPr>
        <w:t>é</w:t>
      </w:r>
      <w:r w:rsidR="00915B73" w:rsidRPr="001E6E9D">
        <w:rPr>
          <w:rFonts w:asciiTheme="minorHAnsi" w:hAnsiTheme="minorHAnsi" w:cstheme="minorHAnsi"/>
          <w:sz w:val="17"/>
          <w:szCs w:val="17"/>
        </w:rPr>
        <w:t xml:space="preserve"> </w:t>
      </w:r>
      <w:r w:rsidR="00EC638A" w:rsidRPr="001E6E9D">
        <w:rPr>
          <w:rFonts w:asciiTheme="minorHAnsi" w:hAnsiTheme="minorHAnsi" w:cstheme="minorHAnsi"/>
          <w:sz w:val="17"/>
          <w:szCs w:val="17"/>
        </w:rPr>
        <w:t>de R$ 1.000,00 (mil reais), na Data de Emissão (</w:t>
      </w:r>
      <w:r w:rsidR="000D5E35" w:rsidRPr="001E6E9D">
        <w:rPr>
          <w:rFonts w:asciiTheme="minorHAnsi" w:hAnsiTheme="minorHAnsi" w:cstheme="minorHAnsi"/>
          <w:sz w:val="17"/>
          <w:szCs w:val="17"/>
        </w:rPr>
        <w:t>“</w:t>
      </w:r>
      <w:r w:rsidR="00EC638A" w:rsidRPr="001E6E9D">
        <w:rPr>
          <w:rFonts w:asciiTheme="minorHAnsi" w:hAnsiTheme="minorHAnsi" w:cstheme="minorHAnsi"/>
          <w:sz w:val="17"/>
          <w:szCs w:val="17"/>
          <w:u w:val="single"/>
        </w:rPr>
        <w:t>Valor Nominal Unitário</w:t>
      </w:r>
      <w:r w:rsidR="00EC638A" w:rsidRPr="001E6E9D">
        <w:rPr>
          <w:rFonts w:asciiTheme="minorHAnsi" w:hAnsiTheme="minorHAnsi" w:cstheme="minorHAnsi"/>
          <w:sz w:val="17"/>
          <w:szCs w:val="17"/>
        </w:rPr>
        <w:t>”).</w:t>
      </w:r>
    </w:p>
    <w:p w14:paraId="58E38A7F" w14:textId="7C27371B" w:rsidR="0053704D" w:rsidRPr="001E6E9D" w:rsidRDefault="0053704D" w:rsidP="00DC7081">
      <w:pPr>
        <w:spacing w:after="140"/>
        <w:ind w:left="567"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b)</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Preço de subscrição</w:t>
      </w:r>
      <w:r w:rsidRPr="001E6E9D">
        <w:rPr>
          <w:rFonts w:asciiTheme="minorHAnsi" w:eastAsia="Times New Roman" w:hAnsiTheme="minorHAnsi" w:cstheme="minorHAnsi"/>
          <w:b/>
          <w:bCs/>
          <w:sz w:val="17"/>
          <w:szCs w:val="17"/>
          <w:lang w:eastAsia="pt-BR"/>
        </w:rPr>
        <w:t>:</w:t>
      </w:r>
      <w:r w:rsidRPr="001E6E9D">
        <w:rPr>
          <w:rFonts w:asciiTheme="minorHAnsi" w:eastAsia="Times New Roman" w:hAnsiTheme="minorHAnsi" w:cstheme="minorHAnsi"/>
          <w:bCs/>
          <w:sz w:val="17"/>
          <w:szCs w:val="17"/>
          <w:lang w:eastAsia="pt-BR"/>
        </w:rPr>
        <w:t xml:space="preserve"> </w:t>
      </w:r>
      <w:r w:rsidR="00EC638A" w:rsidRPr="001E6E9D">
        <w:rPr>
          <w:rFonts w:asciiTheme="minorHAnsi" w:eastAsia="SimSun" w:hAnsiTheme="minorHAnsi" w:cstheme="minorHAnsi"/>
          <w:sz w:val="17"/>
          <w:szCs w:val="17"/>
          <w:lang w:eastAsia="pt-BR"/>
        </w:rPr>
        <w:t>a</w:t>
      </w:r>
      <w:r w:rsidR="00212912" w:rsidRPr="001E6E9D">
        <w:rPr>
          <w:rFonts w:asciiTheme="minorHAnsi" w:eastAsia="SimSun" w:hAnsiTheme="minorHAnsi" w:cstheme="minorHAnsi"/>
          <w:bCs/>
          <w:sz w:val="17"/>
          <w:szCs w:val="17"/>
          <w:lang w:eastAsia="pt-BR"/>
        </w:rPr>
        <w:t>s Debêntures serão subscritas e integralizadas em única data</w:t>
      </w:r>
      <w:r w:rsidR="00212912" w:rsidRPr="001E6E9D">
        <w:rPr>
          <w:rFonts w:asciiTheme="minorHAnsi" w:eastAsia="SimSun" w:hAnsiTheme="minorHAnsi" w:cstheme="minorHAnsi"/>
          <w:sz w:val="17"/>
          <w:szCs w:val="17"/>
          <w:lang w:eastAsia="pt-BR"/>
        </w:rPr>
        <w:t xml:space="preserve">, </w:t>
      </w:r>
      <w:r w:rsidR="00212912" w:rsidRPr="001E6E9D">
        <w:rPr>
          <w:rFonts w:asciiTheme="minorHAnsi" w:eastAsia="SimSun" w:hAnsiTheme="minorHAnsi" w:cstheme="minorHAnsi"/>
          <w:bCs/>
          <w:sz w:val="17"/>
          <w:szCs w:val="17"/>
          <w:lang w:eastAsia="pt-BR"/>
        </w:rPr>
        <w:t>à vista, em moeda corrente nacional, de acordo com as normas de liquidação aplicáveis à B3, na Data da Primeira Integralização (como definido abaixo), pelo seu Valor Nominal Unitário. Caso qualquer Debênture venha a ser integralizada em data diversa e posterior à Data de Início da Rentabilidade, a integralização deverá considerar o seu Valor Nominal Atualizado (conforme definido abaixo) acrescido dos Juros Remuneratórios (conforme definido abaixo), calculados pro rata temporis desde a Data de Início da Rentabilidade até a data de sua efetiva integralização. As Debêntures poderão ser colocadas com ágio ou deságio, a ser definido a exclusivo critério dos Coordenadores, em comum acordo, se for o caso, no ato de subscrição das Debêntures, desde que referido ágio ou deságio seja aplicado de forma igualitária à totalidade das Debêntures integralizadas em cada data de integralização e seja observado o disposto no Contrato</w:t>
      </w:r>
      <w:r w:rsidR="00680A4C">
        <w:rPr>
          <w:rFonts w:asciiTheme="minorHAnsi" w:eastAsia="SimSun" w:hAnsiTheme="minorHAnsi" w:cstheme="minorHAnsi"/>
          <w:bCs/>
          <w:sz w:val="17"/>
          <w:szCs w:val="17"/>
          <w:lang w:eastAsia="pt-BR"/>
        </w:rPr>
        <w:t xml:space="preserve"> de Distribuição</w:t>
      </w:r>
      <w:r w:rsidR="00212912" w:rsidRPr="001E6E9D">
        <w:rPr>
          <w:rFonts w:asciiTheme="minorHAnsi" w:eastAsia="SimSun" w:hAnsiTheme="minorHAnsi" w:cstheme="minorHAnsi"/>
          <w:bCs/>
          <w:sz w:val="17"/>
          <w:szCs w:val="17"/>
          <w:lang w:eastAsia="pt-BR"/>
        </w:rPr>
        <w:t>. O ágio ou deságio, conforme o caso, será aplicado na ocorrência de uma ou mais condições objetivas de mercado, incluindo, mas não se limitando a, as seguintes: (i) alteração da taxa SELIC; (ii)</w:t>
      </w:r>
      <w:r w:rsidR="003E09A8" w:rsidRPr="001E6E9D">
        <w:rPr>
          <w:rFonts w:asciiTheme="minorHAnsi" w:eastAsia="SimSun" w:hAnsiTheme="minorHAnsi" w:cstheme="minorHAnsi"/>
          <w:bCs/>
          <w:sz w:val="17"/>
          <w:szCs w:val="17"/>
          <w:lang w:eastAsia="pt-BR"/>
        </w:rPr>
        <w:t> </w:t>
      </w:r>
      <w:r w:rsidR="00212912" w:rsidRPr="001E6E9D">
        <w:rPr>
          <w:rFonts w:asciiTheme="minorHAnsi" w:eastAsia="SimSun" w:hAnsiTheme="minorHAnsi" w:cstheme="minorHAnsi"/>
          <w:bCs/>
          <w:sz w:val="17"/>
          <w:szCs w:val="17"/>
          <w:lang w:eastAsia="pt-BR"/>
        </w:rPr>
        <w:t xml:space="preserve">alteração nas taxas de juros dos títulos do tesouro nacional; (iii) alteração na Taxa DI; ou (iv) alteração material nas taxas indicativas de negociação de títulos de renda fixa (debêntures, certificados de recebíveis imobiliários, certificados de recebíveis do agronegócio e outros) divulgadas pela ANBIMA. Para fins do disposto na Escritura de Emissão, entende-se por </w:t>
      </w:r>
      <w:r w:rsidR="000D5E35" w:rsidRPr="001E6E9D">
        <w:rPr>
          <w:rFonts w:asciiTheme="minorHAnsi" w:eastAsia="SimSun" w:hAnsiTheme="minorHAnsi" w:cstheme="minorHAnsi"/>
          <w:bCs/>
          <w:sz w:val="17"/>
          <w:szCs w:val="17"/>
          <w:lang w:eastAsia="pt-BR"/>
        </w:rPr>
        <w:t>“</w:t>
      </w:r>
      <w:r w:rsidR="00212912" w:rsidRPr="001E6E9D">
        <w:rPr>
          <w:rFonts w:asciiTheme="minorHAnsi" w:eastAsia="SimSun" w:hAnsiTheme="minorHAnsi" w:cstheme="minorHAnsi"/>
          <w:bCs/>
          <w:sz w:val="17"/>
          <w:szCs w:val="17"/>
          <w:lang w:eastAsia="pt-BR"/>
        </w:rPr>
        <w:t>Data da Primeira Integralização” a data em que ocorrer a primeira integralização das Debêntures</w:t>
      </w:r>
      <w:r w:rsidRPr="001E6E9D">
        <w:rPr>
          <w:rFonts w:asciiTheme="minorHAnsi" w:eastAsia="SimSun" w:hAnsiTheme="minorHAnsi" w:cstheme="minorHAnsi"/>
          <w:bCs/>
          <w:sz w:val="17"/>
          <w:szCs w:val="17"/>
          <w:lang w:eastAsia="pt-BR"/>
        </w:rPr>
        <w:t>.</w:t>
      </w:r>
    </w:p>
    <w:p w14:paraId="2C4507B9" w14:textId="552A5A2B" w:rsidR="0053704D" w:rsidRPr="001E6E9D" w:rsidRDefault="0053704D" w:rsidP="00DC7081">
      <w:pPr>
        <w:spacing w:after="140"/>
        <w:ind w:left="567" w:hanging="567"/>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bCs/>
          <w:sz w:val="17"/>
          <w:szCs w:val="17"/>
          <w:lang w:eastAsia="pt-BR"/>
        </w:rPr>
        <w:t>c)</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Quantidade</w:t>
      </w:r>
      <w:r w:rsidRPr="001E6E9D">
        <w:rPr>
          <w:rFonts w:asciiTheme="minorHAnsi" w:eastAsia="Times New Roman" w:hAnsiTheme="minorHAnsi" w:cstheme="minorHAnsi"/>
          <w:b/>
          <w:bCs/>
          <w:sz w:val="17"/>
          <w:szCs w:val="17"/>
          <w:lang w:eastAsia="pt-BR"/>
        </w:rPr>
        <w:t>:</w:t>
      </w:r>
      <w:r w:rsidRPr="001E6E9D">
        <w:rPr>
          <w:rFonts w:asciiTheme="minorHAnsi" w:eastAsia="Times New Roman" w:hAnsiTheme="minorHAnsi" w:cstheme="minorHAnsi"/>
          <w:bCs/>
          <w:sz w:val="17"/>
          <w:szCs w:val="17"/>
          <w:lang w:eastAsia="pt-BR"/>
        </w:rPr>
        <w:t xml:space="preserve"> </w:t>
      </w:r>
      <w:r w:rsidR="00915B73">
        <w:rPr>
          <w:rFonts w:asciiTheme="minorHAnsi" w:hAnsiTheme="minorHAnsi" w:cstheme="minorHAnsi"/>
          <w:sz w:val="17"/>
          <w:szCs w:val="17"/>
        </w:rPr>
        <w:t>foram</w:t>
      </w:r>
      <w:r w:rsidR="00915B73" w:rsidRPr="001E6E9D">
        <w:rPr>
          <w:rFonts w:asciiTheme="minorHAnsi" w:hAnsiTheme="minorHAnsi" w:cstheme="minorHAnsi"/>
          <w:sz w:val="17"/>
          <w:szCs w:val="17"/>
        </w:rPr>
        <w:t xml:space="preserve"> </w:t>
      </w:r>
      <w:r w:rsidR="00212912" w:rsidRPr="001E6E9D">
        <w:rPr>
          <w:rFonts w:asciiTheme="minorHAnsi" w:hAnsiTheme="minorHAnsi" w:cstheme="minorHAnsi"/>
          <w:sz w:val="17"/>
          <w:szCs w:val="17"/>
        </w:rPr>
        <w:t>emitidas 200.000 (duzentas mil) Debêntures</w:t>
      </w:r>
      <w:r w:rsidRPr="001E6E9D">
        <w:rPr>
          <w:rFonts w:asciiTheme="minorHAnsi" w:eastAsia="Times New Roman" w:hAnsiTheme="minorHAnsi" w:cstheme="minorHAnsi"/>
          <w:sz w:val="17"/>
          <w:szCs w:val="17"/>
          <w:lang w:eastAsia="pt-BR"/>
        </w:rPr>
        <w:t>.</w:t>
      </w:r>
    </w:p>
    <w:p w14:paraId="6F461906" w14:textId="77777777" w:rsidR="0053704D" w:rsidRPr="001E6E9D" w:rsidRDefault="0053704D" w:rsidP="00DC7081">
      <w:pPr>
        <w:spacing w:after="140"/>
        <w:ind w:left="567" w:hanging="567"/>
        <w:rPr>
          <w:rFonts w:asciiTheme="minorHAnsi" w:eastAsia="Times New Roman" w:hAnsiTheme="minorHAnsi" w:cstheme="minorHAnsi"/>
          <w:bCs/>
          <w:sz w:val="17"/>
          <w:szCs w:val="17"/>
          <w:lang w:eastAsia="pt-BR"/>
        </w:rPr>
      </w:pPr>
      <w:r w:rsidRPr="001E6E9D">
        <w:rPr>
          <w:rFonts w:asciiTheme="minorHAnsi" w:eastAsia="Times New Roman" w:hAnsiTheme="minorHAnsi" w:cstheme="minorHAnsi"/>
          <w:b/>
          <w:bCs/>
          <w:sz w:val="17"/>
          <w:szCs w:val="17"/>
          <w:lang w:eastAsia="pt-BR"/>
        </w:rPr>
        <w:t>d)</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Opção de lote adicional</w:t>
      </w:r>
      <w:r w:rsidRPr="001E6E9D">
        <w:rPr>
          <w:rFonts w:asciiTheme="minorHAnsi" w:eastAsia="Times New Roman" w:hAnsiTheme="minorHAnsi" w:cstheme="minorHAnsi"/>
          <w:b/>
          <w:bCs/>
          <w:sz w:val="17"/>
          <w:szCs w:val="17"/>
          <w:lang w:eastAsia="pt-BR"/>
        </w:rPr>
        <w:t>:</w:t>
      </w:r>
      <w:r w:rsidRPr="001E6E9D">
        <w:rPr>
          <w:rFonts w:asciiTheme="minorHAnsi" w:eastAsia="Times New Roman" w:hAnsiTheme="minorHAnsi" w:cstheme="minorHAnsi"/>
          <w:bCs/>
          <w:sz w:val="17"/>
          <w:szCs w:val="17"/>
          <w:lang w:eastAsia="pt-BR"/>
        </w:rPr>
        <w:t xml:space="preserve"> não haverá possibilidade de lote adicional.</w:t>
      </w:r>
    </w:p>
    <w:p w14:paraId="6F3AECB2" w14:textId="4B738D06" w:rsidR="0053704D" w:rsidRPr="001E6E9D" w:rsidRDefault="0053704D" w:rsidP="00DC7081">
      <w:pPr>
        <w:spacing w:after="140"/>
        <w:ind w:left="567" w:hanging="567"/>
        <w:rPr>
          <w:rFonts w:asciiTheme="minorHAnsi" w:eastAsia="Times New Roman" w:hAnsiTheme="minorHAnsi" w:cstheme="minorHAnsi"/>
          <w:bCs/>
          <w:sz w:val="17"/>
          <w:szCs w:val="17"/>
          <w:lang w:eastAsia="pt-BR"/>
        </w:rPr>
      </w:pPr>
      <w:r w:rsidRPr="001E6E9D">
        <w:rPr>
          <w:rFonts w:asciiTheme="minorHAnsi" w:eastAsia="Times New Roman" w:hAnsiTheme="minorHAnsi" w:cstheme="minorHAnsi"/>
          <w:b/>
          <w:bCs/>
          <w:sz w:val="17"/>
          <w:szCs w:val="17"/>
          <w:lang w:eastAsia="pt-BR"/>
        </w:rPr>
        <w:t>e)</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Código ISIN</w:t>
      </w:r>
      <w:r w:rsidRPr="001E6E9D">
        <w:rPr>
          <w:rFonts w:asciiTheme="minorHAnsi" w:eastAsia="Times New Roman" w:hAnsiTheme="minorHAnsi" w:cstheme="minorHAnsi"/>
          <w:b/>
          <w:bCs/>
          <w:sz w:val="17"/>
          <w:szCs w:val="17"/>
          <w:lang w:eastAsia="pt-BR"/>
        </w:rPr>
        <w:t>:</w:t>
      </w:r>
      <w:r w:rsidRPr="001E6E9D">
        <w:rPr>
          <w:rFonts w:asciiTheme="minorHAnsi" w:eastAsia="Times New Roman" w:hAnsiTheme="minorHAnsi" w:cstheme="minorHAnsi"/>
          <w:bCs/>
          <w:sz w:val="17"/>
          <w:szCs w:val="17"/>
          <w:lang w:eastAsia="pt-BR"/>
        </w:rPr>
        <w:t xml:space="preserve"> </w:t>
      </w:r>
      <w:r w:rsidR="00E02A6F" w:rsidRPr="001E6E9D">
        <w:rPr>
          <w:rFonts w:asciiTheme="minorHAnsi" w:eastAsia="Times New Roman" w:hAnsiTheme="minorHAnsi" w:cstheme="minorHAnsi"/>
          <w:sz w:val="17"/>
          <w:szCs w:val="17"/>
          <w:lang w:eastAsia="pt-BR"/>
        </w:rPr>
        <w:t>BRFEPSDBS008</w:t>
      </w:r>
      <w:r w:rsidRPr="001E6E9D">
        <w:rPr>
          <w:rFonts w:asciiTheme="minorHAnsi" w:eastAsia="Times New Roman" w:hAnsiTheme="minorHAnsi" w:cstheme="minorHAnsi"/>
          <w:bCs/>
          <w:sz w:val="17"/>
          <w:szCs w:val="17"/>
          <w:lang w:eastAsia="pt-BR"/>
        </w:rPr>
        <w:t>.</w:t>
      </w:r>
    </w:p>
    <w:p w14:paraId="429749B2" w14:textId="76BEADC8" w:rsidR="0053704D" w:rsidRPr="001E6E9D" w:rsidRDefault="0053704D" w:rsidP="00DC7081">
      <w:pPr>
        <w:spacing w:after="140"/>
        <w:ind w:left="567" w:hanging="567"/>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bCs/>
          <w:sz w:val="17"/>
          <w:szCs w:val="17"/>
          <w:lang w:eastAsia="pt-BR"/>
        </w:rPr>
        <w:t>f)</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Classificação de risco</w:t>
      </w:r>
      <w:r w:rsidR="00EC638A" w:rsidRPr="001E6E9D">
        <w:rPr>
          <w:rFonts w:asciiTheme="minorHAnsi" w:eastAsia="Times New Roman" w:hAnsiTheme="minorHAnsi" w:cstheme="minorHAnsi"/>
          <w:b/>
          <w:bCs/>
          <w:sz w:val="17"/>
          <w:szCs w:val="17"/>
          <w:lang w:eastAsia="pt-BR"/>
        </w:rPr>
        <w:t>:</w:t>
      </w:r>
      <w:r w:rsidR="00EC638A" w:rsidRPr="001E6E9D">
        <w:rPr>
          <w:rFonts w:asciiTheme="minorHAnsi" w:eastAsia="Times New Roman" w:hAnsiTheme="minorHAnsi" w:cstheme="minorHAnsi"/>
          <w:bCs/>
          <w:sz w:val="17"/>
          <w:szCs w:val="17"/>
          <w:lang w:eastAsia="pt-BR"/>
        </w:rPr>
        <w:t xml:space="preserve"> Foi </w:t>
      </w:r>
      <w:r w:rsidR="00100C1C" w:rsidRPr="001E6E9D">
        <w:rPr>
          <w:rFonts w:asciiTheme="minorHAnsi" w:eastAsia="Times New Roman" w:hAnsiTheme="minorHAnsi" w:cstheme="minorHAnsi"/>
          <w:bCs/>
          <w:sz w:val="17"/>
          <w:szCs w:val="17"/>
          <w:lang w:eastAsia="pt-BR"/>
        </w:rPr>
        <w:t xml:space="preserve">obtida a </w:t>
      </w:r>
      <w:r w:rsidR="00EC638A" w:rsidRPr="001E6E9D">
        <w:rPr>
          <w:rFonts w:asciiTheme="minorHAnsi" w:eastAsia="Times New Roman" w:hAnsiTheme="minorHAnsi" w:cstheme="minorHAnsi"/>
          <w:bCs/>
          <w:sz w:val="17"/>
          <w:szCs w:val="17"/>
          <w:lang w:eastAsia="pt-BR"/>
        </w:rPr>
        <w:t>classificação de risco (</w:t>
      </w:r>
      <w:r w:rsidR="00EC638A" w:rsidRPr="004A06FC">
        <w:rPr>
          <w:rFonts w:asciiTheme="minorHAnsi" w:eastAsia="Times New Roman" w:hAnsiTheme="minorHAnsi" w:cstheme="minorHAnsi"/>
          <w:bCs/>
          <w:sz w:val="17"/>
          <w:szCs w:val="17"/>
          <w:lang w:eastAsia="pt-BR"/>
        </w:rPr>
        <w:t xml:space="preserve">rating) </w:t>
      </w:r>
      <w:r w:rsidR="00E02A6F" w:rsidRPr="004A06FC">
        <w:rPr>
          <w:rFonts w:asciiTheme="minorHAnsi" w:eastAsia="Times New Roman" w:hAnsiTheme="minorHAnsi" w:cstheme="minorHAnsi"/>
          <w:bCs/>
          <w:sz w:val="17"/>
          <w:szCs w:val="17"/>
          <w:lang w:eastAsia="pt-BR"/>
        </w:rPr>
        <w:t>“</w:t>
      </w:r>
      <w:r w:rsidR="00DA64D7" w:rsidRPr="004A06FC">
        <w:rPr>
          <w:rFonts w:asciiTheme="minorHAnsi" w:hAnsiTheme="minorHAnsi"/>
          <w:sz w:val="17"/>
        </w:rPr>
        <w:t>AA+(bra</w:t>
      </w:r>
      <w:r w:rsidR="00DA64D7" w:rsidRPr="004A06FC">
        <w:rPr>
          <w:rFonts w:asciiTheme="minorHAnsi" w:eastAsia="Times New Roman" w:hAnsiTheme="minorHAnsi" w:cstheme="minorHAnsi"/>
          <w:bCs/>
          <w:sz w:val="17"/>
          <w:szCs w:val="17"/>
          <w:lang w:eastAsia="pt-BR"/>
        </w:rPr>
        <w:t>)</w:t>
      </w:r>
      <w:r w:rsidR="00E02A6F" w:rsidRPr="004A06FC">
        <w:rPr>
          <w:rFonts w:asciiTheme="minorHAnsi" w:eastAsia="Times New Roman" w:hAnsiTheme="minorHAnsi" w:cstheme="minorHAnsi"/>
          <w:bCs/>
          <w:sz w:val="17"/>
          <w:szCs w:val="17"/>
          <w:lang w:eastAsia="pt-BR"/>
        </w:rPr>
        <w:t xml:space="preserve">” </w:t>
      </w:r>
      <w:r w:rsidR="00EC638A" w:rsidRPr="004A06FC">
        <w:rPr>
          <w:rFonts w:asciiTheme="minorHAnsi" w:eastAsia="Times New Roman" w:hAnsiTheme="minorHAnsi" w:cstheme="minorHAnsi"/>
          <w:bCs/>
          <w:sz w:val="17"/>
          <w:szCs w:val="17"/>
          <w:lang w:eastAsia="pt-BR"/>
        </w:rPr>
        <w:t>para</w:t>
      </w:r>
      <w:r w:rsidR="00EC638A" w:rsidRPr="001E6E9D">
        <w:rPr>
          <w:rFonts w:asciiTheme="minorHAnsi" w:eastAsia="Times New Roman" w:hAnsiTheme="minorHAnsi" w:cstheme="minorHAnsi"/>
          <w:bCs/>
          <w:sz w:val="17"/>
          <w:szCs w:val="17"/>
          <w:lang w:eastAsia="pt-BR"/>
        </w:rPr>
        <w:t xml:space="preserve"> as Debêntures, </w:t>
      </w:r>
      <w:r w:rsidR="00100C1C" w:rsidRPr="001E6E9D">
        <w:rPr>
          <w:rFonts w:asciiTheme="minorHAnsi" w:eastAsia="Times New Roman" w:hAnsiTheme="minorHAnsi" w:cstheme="minorHAnsi"/>
          <w:bCs/>
          <w:sz w:val="17"/>
          <w:szCs w:val="17"/>
          <w:lang w:eastAsia="pt-BR"/>
        </w:rPr>
        <w:t xml:space="preserve">a </w:t>
      </w:r>
      <w:r w:rsidR="00EC638A" w:rsidRPr="001E6E9D">
        <w:rPr>
          <w:rFonts w:asciiTheme="minorHAnsi" w:eastAsia="Times New Roman" w:hAnsiTheme="minorHAnsi" w:cstheme="minorHAnsi"/>
          <w:bCs/>
          <w:sz w:val="17"/>
          <w:szCs w:val="17"/>
          <w:lang w:eastAsia="pt-BR"/>
        </w:rPr>
        <w:t xml:space="preserve">qual </w:t>
      </w:r>
      <w:r w:rsidR="00100C1C" w:rsidRPr="001E6E9D">
        <w:rPr>
          <w:rFonts w:asciiTheme="minorHAnsi" w:eastAsia="Times New Roman" w:hAnsiTheme="minorHAnsi" w:cstheme="minorHAnsi"/>
          <w:bCs/>
          <w:sz w:val="17"/>
          <w:szCs w:val="17"/>
          <w:lang w:eastAsia="pt-BR"/>
        </w:rPr>
        <w:t xml:space="preserve">foi expedida </w:t>
      </w:r>
      <w:r w:rsidR="00EC638A" w:rsidRPr="001E6E9D">
        <w:rPr>
          <w:rFonts w:asciiTheme="minorHAnsi" w:eastAsia="Times New Roman" w:hAnsiTheme="minorHAnsi" w:cstheme="minorHAnsi"/>
          <w:bCs/>
          <w:sz w:val="17"/>
          <w:szCs w:val="17"/>
          <w:lang w:eastAsia="pt-BR"/>
        </w:rPr>
        <w:t>pela agência de classificação Fitch Ratings Brasil Ltda. (</w:t>
      </w:r>
      <w:r w:rsidR="000D5E35" w:rsidRPr="001E6E9D">
        <w:rPr>
          <w:rFonts w:asciiTheme="minorHAnsi" w:eastAsia="Times New Roman" w:hAnsiTheme="minorHAnsi" w:cstheme="minorHAnsi"/>
          <w:bCs/>
          <w:sz w:val="17"/>
          <w:szCs w:val="17"/>
          <w:lang w:eastAsia="pt-BR"/>
        </w:rPr>
        <w:t>“</w:t>
      </w:r>
      <w:r w:rsidR="00EC638A" w:rsidRPr="001E6E9D">
        <w:rPr>
          <w:rFonts w:asciiTheme="minorHAnsi" w:eastAsia="Times New Roman" w:hAnsiTheme="minorHAnsi" w:cstheme="minorHAnsi"/>
          <w:bCs/>
          <w:sz w:val="17"/>
          <w:szCs w:val="17"/>
          <w:u w:val="single"/>
          <w:lang w:eastAsia="pt-BR"/>
        </w:rPr>
        <w:t>Agência de Classificação de Risco</w:t>
      </w:r>
      <w:r w:rsidR="00EC638A" w:rsidRPr="001E6E9D">
        <w:rPr>
          <w:rFonts w:asciiTheme="minorHAnsi" w:eastAsia="Times New Roman" w:hAnsiTheme="minorHAnsi" w:cstheme="minorHAnsi"/>
          <w:bCs/>
          <w:sz w:val="17"/>
          <w:szCs w:val="17"/>
          <w:lang w:eastAsia="pt-BR"/>
        </w:rPr>
        <w:t>”).</w:t>
      </w:r>
    </w:p>
    <w:p w14:paraId="40F31432" w14:textId="54D2022E" w:rsidR="0053704D" w:rsidRPr="001E6E9D" w:rsidRDefault="0053704D" w:rsidP="00DC7081">
      <w:pPr>
        <w:spacing w:after="140"/>
        <w:ind w:left="567" w:hanging="567"/>
        <w:rPr>
          <w:rFonts w:asciiTheme="minorHAnsi" w:eastAsia="Times New Roman" w:hAnsiTheme="minorHAnsi" w:cstheme="minorHAnsi"/>
          <w:bCs/>
          <w:sz w:val="17"/>
          <w:szCs w:val="17"/>
          <w:lang w:eastAsia="pt-BR"/>
        </w:rPr>
      </w:pPr>
      <w:r w:rsidRPr="001E6E9D">
        <w:rPr>
          <w:rFonts w:asciiTheme="minorHAnsi" w:eastAsia="Times New Roman" w:hAnsiTheme="minorHAnsi" w:cstheme="minorHAnsi"/>
          <w:b/>
          <w:bCs/>
          <w:sz w:val="17"/>
          <w:szCs w:val="17"/>
          <w:lang w:eastAsia="pt-BR"/>
        </w:rPr>
        <w:t>g)</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Data de emissão</w:t>
      </w:r>
      <w:r w:rsidRPr="001E6E9D">
        <w:rPr>
          <w:rFonts w:asciiTheme="minorHAnsi" w:eastAsia="Times New Roman" w:hAnsiTheme="minorHAnsi" w:cstheme="minorHAnsi"/>
          <w:b/>
          <w:bCs/>
          <w:sz w:val="17"/>
          <w:szCs w:val="17"/>
          <w:lang w:eastAsia="pt-BR"/>
        </w:rPr>
        <w:t>:</w:t>
      </w:r>
      <w:r w:rsidRPr="001E6E9D">
        <w:rPr>
          <w:rFonts w:asciiTheme="minorHAnsi" w:eastAsia="Times New Roman" w:hAnsiTheme="minorHAnsi" w:cstheme="minorHAnsi"/>
          <w:bCs/>
          <w:sz w:val="17"/>
          <w:szCs w:val="17"/>
          <w:lang w:eastAsia="pt-BR"/>
        </w:rPr>
        <w:t xml:space="preserve"> </w:t>
      </w:r>
      <w:r w:rsidR="00EC638A" w:rsidRPr="001E6E9D">
        <w:rPr>
          <w:rFonts w:asciiTheme="minorHAnsi" w:hAnsiTheme="minorHAnsi" w:cstheme="minorHAnsi"/>
          <w:sz w:val="17"/>
          <w:szCs w:val="17"/>
        </w:rPr>
        <w:t xml:space="preserve">para todos os fins e efeitos, a data de emissão das Debêntures </w:t>
      </w:r>
      <w:r w:rsidR="00915B73">
        <w:rPr>
          <w:rFonts w:asciiTheme="minorHAnsi" w:hAnsiTheme="minorHAnsi" w:cstheme="minorHAnsi"/>
          <w:sz w:val="17"/>
          <w:szCs w:val="17"/>
        </w:rPr>
        <w:t>é</w:t>
      </w:r>
      <w:r w:rsidR="00915B73" w:rsidRPr="001E6E9D">
        <w:rPr>
          <w:rFonts w:asciiTheme="minorHAnsi" w:hAnsiTheme="minorHAnsi" w:cstheme="minorHAnsi"/>
          <w:sz w:val="17"/>
          <w:szCs w:val="17"/>
        </w:rPr>
        <w:t xml:space="preserve"> </w:t>
      </w:r>
      <w:r w:rsidR="00EC638A" w:rsidRPr="001E6E9D">
        <w:rPr>
          <w:rFonts w:asciiTheme="minorHAnsi" w:hAnsiTheme="minorHAnsi" w:cstheme="minorHAnsi"/>
          <w:sz w:val="17"/>
          <w:szCs w:val="17"/>
        </w:rPr>
        <w:t xml:space="preserve">o dia </w:t>
      </w:r>
      <w:r w:rsidR="00E02A6F" w:rsidRPr="001E6E9D">
        <w:rPr>
          <w:rFonts w:asciiTheme="minorHAnsi" w:hAnsiTheme="minorHAnsi" w:cstheme="minorHAnsi"/>
          <w:sz w:val="17"/>
          <w:szCs w:val="17"/>
        </w:rPr>
        <w:t xml:space="preserve">15 </w:t>
      </w:r>
      <w:r w:rsidR="00EC638A" w:rsidRPr="001E6E9D">
        <w:rPr>
          <w:rFonts w:asciiTheme="minorHAnsi" w:hAnsiTheme="minorHAnsi" w:cstheme="minorHAnsi"/>
          <w:sz w:val="17"/>
          <w:szCs w:val="17"/>
        </w:rPr>
        <w:t xml:space="preserve">de </w:t>
      </w:r>
      <w:r w:rsidR="00E02A6F" w:rsidRPr="001E6E9D">
        <w:rPr>
          <w:rFonts w:asciiTheme="minorHAnsi" w:hAnsiTheme="minorHAnsi" w:cstheme="minorHAnsi"/>
          <w:sz w:val="17"/>
          <w:szCs w:val="17"/>
        </w:rPr>
        <w:t xml:space="preserve">janeiro </w:t>
      </w:r>
      <w:r w:rsidR="00EC638A" w:rsidRPr="001E6E9D">
        <w:rPr>
          <w:rFonts w:asciiTheme="minorHAnsi" w:hAnsiTheme="minorHAnsi" w:cstheme="minorHAnsi"/>
          <w:sz w:val="17"/>
          <w:szCs w:val="17"/>
        </w:rPr>
        <w:t>de 202</w:t>
      </w:r>
      <w:r w:rsidR="00E02A6F" w:rsidRPr="001E6E9D">
        <w:rPr>
          <w:rFonts w:asciiTheme="minorHAnsi" w:hAnsiTheme="minorHAnsi" w:cstheme="minorHAnsi"/>
          <w:sz w:val="17"/>
          <w:szCs w:val="17"/>
        </w:rPr>
        <w:t>5</w:t>
      </w:r>
      <w:r w:rsidR="00EC638A" w:rsidRPr="001E6E9D">
        <w:rPr>
          <w:rFonts w:asciiTheme="minorHAnsi" w:hAnsiTheme="minorHAnsi" w:cstheme="minorHAnsi"/>
          <w:sz w:val="17"/>
          <w:szCs w:val="17"/>
        </w:rPr>
        <w:t xml:space="preserve"> (</w:t>
      </w:r>
      <w:r w:rsidR="000D5E35" w:rsidRPr="001E6E9D">
        <w:rPr>
          <w:rFonts w:asciiTheme="minorHAnsi" w:hAnsiTheme="minorHAnsi" w:cstheme="minorHAnsi"/>
          <w:sz w:val="17"/>
          <w:szCs w:val="17"/>
        </w:rPr>
        <w:t>“</w:t>
      </w:r>
      <w:r w:rsidR="00EC638A" w:rsidRPr="001E6E9D">
        <w:rPr>
          <w:rFonts w:asciiTheme="minorHAnsi" w:hAnsiTheme="minorHAnsi" w:cstheme="minorHAnsi"/>
          <w:sz w:val="17"/>
          <w:szCs w:val="17"/>
          <w:u w:val="single"/>
        </w:rPr>
        <w:t>Data de Emissão</w:t>
      </w:r>
      <w:r w:rsidR="00EC638A" w:rsidRPr="001E6E9D">
        <w:rPr>
          <w:rFonts w:asciiTheme="minorHAnsi" w:hAnsiTheme="minorHAnsi" w:cstheme="minorHAnsi"/>
          <w:sz w:val="17"/>
          <w:szCs w:val="17"/>
        </w:rPr>
        <w:t>”).</w:t>
      </w:r>
    </w:p>
    <w:p w14:paraId="485A9688" w14:textId="0346B8FC" w:rsidR="0053704D" w:rsidRPr="001E6E9D" w:rsidRDefault="0053704D" w:rsidP="00DC7081">
      <w:pPr>
        <w:spacing w:after="140"/>
        <w:ind w:left="567" w:hanging="567"/>
        <w:rPr>
          <w:rFonts w:asciiTheme="minorHAnsi" w:eastAsia="Times New Roman" w:hAnsiTheme="minorHAnsi" w:cstheme="minorHAnsi"/>
          <w:b/>
          <w:bCs/>
          <w:sz w:val="17"/>
          <w:szCs w:val="17"/>
          <w:lang w:eastAsia="pt-BR"/>
        </w:rPr>
      </w:pPr>
      <w:r w:rsidRPr="001E6E9D">
        <w:rPr>
          <w:rFonts w:asciiTheme="minorHAnsi" w:eastAsia="Times New Roman" w:hAnsiTheme="minorHAnsi" w:cstheme="minorHAnsi"/>
          <w:b/>
          <w:bCs/>
          <w:sz w:val="17"/>
          <w:szCs w:val="17"/>
          <w:lang w:eastAsia="pt-BR"/>
        </w:rPr>
        <w:t>h)</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Prazo e data de vencimento</w:t>
      </w:r>
      <w:r w:rsidRPr="001E6E9D">
        <w:rPr>
          <w:rFonts w:asciiTheme="minorHAnsi" w:eastAsia="Times New Roman" w:hAnsiTheme="minorHAnsi" w:cstheme="minorHAnsi"/>
          <w:b/>
          <w:bCs/>
          <w:sz w:val="17"/>
          <w:szCs w:val="17"/>
          <w:lang w:eastAsia="pt-BR"/>
        </w:rPr>
        <w:t>:</w:t>
      </w:r>
      <w:r w:rsidRPr="001E6E9D">
        <w:rPr>
          <w:rFonts w:asciiTheme="minorHAnsi" w:eastAsia="Times New Roman" w:hAnsiTheme="minorHAnsi" w:cstheme="minorHAnsi"/>
          <w:bCs/>
          <w:sz w:val="17"/>
          <w:szCs w:val="17"/>
          <w:lang w:eastAsia="pt-BR"/>
        </w:rPr>
        <w:t xml:space="preserve"> </w:t>
      </w:r>
      <w:r w:rsidR="00EC638A" w:rsidRPr="001E6E9D">
        <w:rPr>
          <w:rFonts w:asciiTheme="minorHAnsi" w:eastAsia="Times New Roman" w:hAnsiTheme="minorHAnsi" w:cstheme="minorHAnsi"/>
          <w:bCs/>
          <w:sz w:val="17"/>
          <w:szCs w:val="17"/>
          <w:lang w:eastAsia="pt-BR"/>
        </w:rPr>
        <w:t xml:space="preserve">observado o disposto na Escritura de Emissão, o prazo de vencimento das Debêntures será de 15 (quinze) anos contados da Data de Emissão, vencendo-se as Debêntures, portanto, em </w:t>
      </w:r>
      <w:r w:rsidR="00E02A6F" w:rsidRPr="001E6E9D">
        <w:rPr>
          <w:rFonts w:asciiTheme="minorHAnsi" w:eastAsia="Times New Roman" w:hAnsiTheme="minorHAnsi" w:cstheme="minorHAnsi"/>
          <w:bCs/>
          <w:sz w:val="17"/>
          <w:szCs w:val="17"/>
          <w:lang w:eastAsia="pt-BR"/>
        </w:rPr>
        <w:t>15 de janeiro de 2040</w:t>
      </w:r>
      <w:r w:rsidR="00EC638A" w:rsidRPr="001E6E9D">
        <w:rPr>
          <w:rFonts w:asciiTheme="minorHAnsi" w:eastAsia="Times New Roman" w:hAnsiTheme="minorHAnsi" w:cstheme="minorHAnsi"/>
          <w:bCs/>
          <w:sz w:val="17"/>
          <w:szCs w:val="17"/>
          <w:lang w:eastAsia="pt-BR"/>
        </w:rPr>
        <w:t xml:space="preserve"> (</w:t>
      </w:r>
      <w:r w:rsidR="000D5E35" w:rsidRPr="001E6E9D">
        <w:rPr>
          <w:rFonts w:asciiTheme="minorHAnsi" w:eastAsia="Times New Roman" w:hAnsiTheme="minorHAnsi" w:cstheme="minorHAnsi"/>
          <w:bCs/>
          <w:sz w:val="17"/>
          <w:szCs w:val="17"/>
          <w:lang w:eastAsia="pt-BR"/>
        </w:rPr>
        <w:t>“</w:t>
      </w:r>
      <w:r w:rsidR="00EC638A" w:rsidRPr="001E6E9D">
        <w:rPr>
          <w:rFonts w:asciiTheme="minorHAnsi" w:eastAsia="Times New Roman" w:hAnsiTheme="minorHAnsi" w:cstheme="minorHAnsi"/>
          <w:bCs/>
          <w:sz w:val="17"/>
          <w:szCs w:val="17"/>
          <w:u w:val="single"/>
          <w:lang w:eastAsia="pt-BR"/>
        </w:rPr>
        <w:t>Data de Vencimento</w:t>
      </w:r>
      <w:r w:rsidR="00EC638A" w:rsidRPr="001E6E9D">
        <w:rPr>
          <w:rFonts w:asciiTheme="minorHAnsi" w:eastAsia="Times New Roman" w:hAnsiTheme="minorHAnsi" w:cstheme="minorHAnsi"/>
          <w:bCs/>
          <w:sz w:val="17"/>
          <w:szCs w:val="17"/>
          <w:lang w:eastAsia="pt-BR"/>
        </w:rPr>
        <w:t>”).</w:t>
      </w:r>
    </w:p>
    <w:p w14:paraId="564DCD7A" w14:textId="28A85207" w:rsidR="0053704D" w:rsidRPr="001E6E9D" w:rsidRDefault="0053704D" w:rsidP="00DC7081">
      <w:pPr>
        <w:spacing w:after="140"/>
        <w:ind w:left="567" w:hanging="567"/>
        <w:rPr>
          <w:rFonts w:asciiTheme="minorHAnsi" w:eastAsia="Times New Roman" w:hAnsiTheme="minorHAnsi" w:cstheme="minorHAnsi"/>
          <w:b/>
          <w:bCs/>
          <w:sz w:val="17"/>
          <w:szCs w:val="17"/>
          <w:lang w:eastAsia="pt-BR"/>
        </w:rPr>
      </w:pPr>
      <w:r w:rsidRPr="001E6E9D">
        <w:rPr>
          <w:rFonts w:asciiTheme="minorHAnsi" w:eastAsia="Times New Roman" w:hAnsiTheme="minorHAnsi" w:cstheme="minorHAnsi"/>
          <w:b/>
          <w:bCs/>
          <w:sz w:val="17"/>
          <w:szCs w:val="17"/>
          <w:lang w:eastAsia="pt-BR"/>
        </w:rPr>
        <w:t>i)</w:t>
      </w:r>
      <w:r w:rsidRPr="001E6E9D">
        <w:rPr>
          <w:rFonts w:asciiTheme="minorHAnsi" w:eastAsia="Times New Roman" w:hAnsiTheme="minorHAnsi" w:cstheme="minorHAnsi"/>
          <w:b/>
          <w:bCs/>
          <w:sz w:val="17"/>
          <w:szCs w:val="17"/>
          <w:lang w:eastAsia="pt-BR"/>
        </w:rPr>
        <w:tab/>
      </w:r>
      <w:r w:rsidR="00C26405" w:rsidRPr="001E6E9D">
        <w:rPr>
          <w:rFonts w:asciiTheme="minorHAnsi" w:eastAsia="Times New Roman" w:hAnsiTheme="minorHAnsi" w:cstheme="minorHAnsi"/>
          <w:b/>
          <w:sz w:val="17"/>
          <w:szCs w:val="17"/>
          <w:lang w:eastAsia="pt-BR"/>
        </w:rPr>
        <w:t>Juros Remuneratórios</w:t>
      </w:r>
      <w:r w:rsidRPr="001E6E9D">
        <w:rPr>
          <w:rFonts w:asciiTheme="minorHAnsi" w:eastAsia="Times New Roman" w:hAnsiTheme="minorHAnsi" w:cstheme="minorHAnsi"/>
          <w:b/>
          <w:bCs/>
          <w:sz w:val="17"/>
          <w:szCs w:val="17"/>
          <w:lang w:eastAsia="pt-BR"/>
        </w:rPr>
        <w:t>, atualização monetária e encargos moratórios</w:t>
      </w:r>
      <w:r w:rsidRPr="001E6E9D">
        <w:rPr>
          <w:rFonts w:asciiTheme="minorHAnsi" w:eastAsia="Times New Roman" w:hAnsiTheme="minorHAnsi" w:cstheme="minorHAnsi"/>
          <w:b/>
          <w:sz w:val="17"/>
          <w:szCs w:val="17"/>
          <w:lang w:eastAsia="pt-BR"/>
        </w:rPr>
        <w:t>:</w:t>
      </w:r>
    </w:p>
    <w:p w14:paraId="7410D29F" w14:textId="3205C644" w:rsidR="00065DBC" w:rsidRPr="001E6E9D" w:rsidRDefault="0053704D" w:rsidP="00DC7081">
      <w:pPr>
        <w:spacing w:after="140"/>
        <w:ind w:left="1134" w:hanging="567"/>
        <w:rPr>
          <w:rFonts w:asciiTheme="minorHAnsi" w:hAnsiTheme="minorHAnsi" w:cstheme="minorHAnsi"/>
          <w:sz w:val="17"/>
          <w:szCs w:val="17"/>
        </w:rPr>
      </w:pPr>
      <w:r w:rsidRPr="001E6E9D">
        <w:rPr>
          <w:rFonts w:asciiTheme="minorHAnsi" w:eastAsia="Times New Roman" w:hAnsiTheme="minorHAnsi" w:cstheme="minorHAnsi"/>
          <w:b/>
          <w:bCs/>
          <w:sz w:val="17"/>
          <w:szCs w:val="17"/>
          <w:lang w:eastAsia="pt-BR"/>
        </w:rPr>
        <w:t>i.1)</w:t>
      </w:r>
      <w:r w:rsidRPr="001E6E9D">
        <w:rPr>
          <w:rFonts w:asciiTheme="minorHAnsi" w:eastAsia="Times New Roman" w:hAnsiTheme="minorHAnsi" w:cstheme="minorHAnsi"/>
          <w:b/>
          <w:bCs/>
          <w:sz w:val="17"/>
          <w:szCs w:val="17"/>
          <w:lang w:eastAsia="pt-BR"/>
        </w:rPr>
        <w:tab/>
      </w:r>
      <w:r w:rsidR="00C26405" w:rsidRPr="001E6E9D">
        <w:rPr>
          <w:rFonts w:asciiTheme="minorHAnsi" w:eastAsia="Times New Roman" w:hAnsiTheme="minorHAnsi" w:cstheme="minorHAnsi"/>
          <w:b/>
          <w:bCs/>
          <w:sz w:val="17"/>
          <w:szCs w:val="17"/>
          <w:lang w:eastAsia="pt-BR"/>
        </w:rPr>
        <w:t>Juros Remuneratórios</w:t>
      </w:r>
      <w:r w:rsidRPr="001E6E9D">
        <w:rPr>
          <w:rFonts w:asciiTheme="minorHAnsi" w:eastAsia="Times New Roman" w:hAnsiTheme="minorHAnsi" w:cstheme="minorHAnsi"/>
          <w:b/>
          <w:sz w:val="17"/>
          <w:szCs w:val="17"/>
          <w:lang w:eastAsia="pt-BR"/>
        </w:rPr>
        <w:t>:</w:t>
      </w:r>
      <w:r w:rsidRPr="001E6E9D">
        <w:rPr>
          <w:rFonts w:asciiTheme="minorHAnsi" w:eastAsia="Times New Roman" w:hAnsiTheme="minorHAnsi" w:cstheme="minorHAnsi"/>
          <w:sz w:val="17"/>
          <w:szCs w:val="17"/>
          <w:lang w:eastAsia="pt-BR"/>
        </w:rPr>
        <w:t xml:space="preserve"> </w:t>
      </w:r>
      <w:bookmarkStart w:id="51" w:name="_Ref121957393"/>
      <w:r w:rsidR="00915B73" w:rsidRPr="00915B73">
        <w:rPr>
          <w:rFonts w:asciiTheme="minorHAnsi" w:hAnsiTheme="minorHAnsi" w:cstheme="minorHAnsi"/>
          <w:bCs/>
          <w:sz w:val="17"/>
          <w:szCs w:val="17"/>
        </w:rPr>
        <w:t xml:space="preserve">Sobre o Valor Nominal Atualizado das Debêntures incidirão juros remuneratórios equivalentes a </w:t>
      </w:r>
      <w:r w:rsidR="00AC236D" w:rsidRPr="00AC236D">
        <w:rPr>
          <w:rFonts w:asciiTheme="minorHAnsi" w:hAnsiTheme="minorHAnsi" w:cstheme="minorHAnsi"/>
          <w:bCs/>
          <w:sz w:val="17"/>
          <w:szCs w:val="17"/>
        </w:rPr>
        <w:t>8,6895% (oito inteiros e seis mil oitocentos e noventa e cinco décimos de milésimo por cento</w:t>
      </w:r>
      <w:r w:rsidR="00915B73" w:rsidRPr="00915B73">
        <w:rPr>
          <w:rFonts w:asciiTheme="minorHAnsi" w:hAnsiTheme="minorHAnsi" w:cstheme="minorHAnsi"/>
          <w:bCs/>
          <w:sz w:val="17"/>
          <w:szCs w:val="17"/>
        </w:rPr>
        <w:t>)</w:t>
      </w:r>
      <w:r w:rsidR="00C26405" w:rsidRPr="001E6E9D">
        <w:rPr>
          <w:rFonts w:asciiTheme="minorHAnsi" w:hAnsiTheme="minorHAnsi" w:cstheme="minorHAnsi"/>
          <w:sz w:val="17"/>
          <w:szCs w:val="17"/>
        </w:rPr>
        <w:t xml:space="preserve"> ao ano, base 252 (duzentos e cinquenta e dois) Dias Úteis </w:t>
      </w:r>
      <w:r w:rsidR="00C26405" w:rsidRPr="001E6E9D">
        <w:rPr>
          <w:rStyle w:val="DeltaViewInsertion"/>
          <w:rFonts w:asciiTheme="minorHAnsi" w:hAnsiTheme="minorHAnsi" w:cstheme="minorHAnsi"/>
          <w:color w:val="auto"/>
          <w:sz w:val="17"/>
          <w:szCs w:val="17"/>
          <w:u w:val="none"/>
        </w:rPr>
        <w:t>(</w:t>
      </w:r>
      <w:r w:rsidR="000D5E35" w:rsidRPr="001E6E9D">
        <w:rPr>
          <w:rStyle w:val="DeltaViewInsertion"/>
          <w:rFonts w:asciiTheme="minorHAnsi" w:hAnsiTheme="minorHAnsi" w:cstheme="minorHAnsi"/>
          <w:color w:val="auto"/>
          <w:sz w:val="17"/>
          <w:szCs w:val="17"/>
          <w:u w:val="none"/>
        </w:rPr>
        <w:t>“</w:t>
      </w:r>
      <w:r w:rsidR="00C26405" w:rsidRPr="001E6E9D">
        <w:rPr>
          <w:rStyle w:val="DeltaViewInsertion"/>
          <w:rFonts w:asciiTheme="minorHAnsi" w:hAnsiTheme="minorHAnsi" w:cstheme="minorHAnsi"/>
          <w:b/>
          <w:bCs/>
          <w:color w:val="auto"/>
          <w:sz w:val="17"/>
          <w:szCs w:val="17"/>
          <w:u w:val="none"/>
        </w:rPr>
        <w:t>Juros Remuneratórios</w:t>
      </w:r>
      <w:r w:rsidR="00C26405" w:rsidRPr="001E6E9D">
        <w:rPr>
          <w:rFonts w:asciiTheme="minorHAnsi" w:hAnsiTheme="minorHAnsi" w:cstheme="minorHAnsi"/>
          <w:sz w:val="17"/>
          <w:szCs w:val="17"/>
        </w:rPr>
        <w:t>”</w:t>
      </w:r>
      <w:r w:rsidR="00C26405" w:rsidRPr="001E6E9D">
        <w:rPr>
          <w:rStyle w:val="DeltaViewInsertion"/>
          <w:rFonts w:asciiTheme="minorHAnsi" w:hAnsiTheme="minorHAnsi" w:cstheme="minorHAnsi"/>
          <w:color w:val="auto"/>
          <w:sz w:val="17"/>
          <w:szCs w:val="17"/>
          <w:u w:val="none"/>
        </w:rPr>
        <w:t xml:space="preserve">), </w:t>
      </w:r>
      <w:r w:rsidR="00C26405" w:rsidRPr="001E6E9D">
        <w:rPr>
          <w:rFonts w:asciiTheme="minorHAnsi" w:hAnsiTheme="minorHAnsi" w:cstheme="minorHAnsi"/>
          <w:sz w:val="17"/>
          <w:szCs w:val="17"/>
        </w:rPr>
        <w:t>incidentes desde a Data de Início da Rentabilidade ou a Data de Pagamento dos Juros Remuneratórios (conforme definida abaixo) imediatamente anterior, conforme o caso, até a data do efetivo pagamento. O cálculo dos Juros Remuneratórios obedecerá à seguinte fórmula:</w:t>
      </w:r>
      <w:bookmarkEnd w:id="51"/>
    </w:p>
    <w:p w14:paraId="39E330D2" w14:textId="4D9F51C5" w:rsidR="0053704D" w:rsidRPr="001E6E9D" w:rsidRDefault="0053704D" w:rsidP="00DC7081">
      <w:pPr>
        <w:spacing w:after="140"/>
        <w:ind w:left="1134"/>
        <w:rPr>
          <w:rFonts w:asciiTheme="minorHAnsi" w:eastAsia="Times New Roman" w:hAnsiTheme="minorHAnsi" w:cstheme="minorHAnsi"/>
          <w:sz w:val="17"/>
          <w:szCs w:val="17"/>
          <w:lang w:eastAsia="pt-BR"/>
        </w:rPr>
      </w:pPr>
      <m:oMathPara>
        <m:oMath>
          <m:r>
            <w:rPr>
              <w:rFonts w:ascii="Cambria Math" w:eastAsia="Times New Roman" w:hAnsi="Cambria Math" w:cstheme="minorHAnsi"/>
              <w:sz w:val="17"/>
              <w:szCs w:val="17"/>
              <w:lang w:eastAsia="pt-BR"/>
            </w:rPr>
            <m:t>J=</m:t>
          </m:r>
          <m:d>
            <m:dPr>
              <m:begChr m:val="["/>
              <m:endChr m:val="]"/>
              <m:ctrlPr>
                <w:rPr>
                  <w:rFonts w:ascii="Cambria Math" w:eastAsia="Times New Roman" w:hAnsi="Cambria Math" w:cstheme="minorHAnsi"/>
                  <w:i/>
                  <w:sz w:val="17"/>
                  <w:szCs w:val="17"/>
                  <w:lang w:eastAsia="pt-BR"/>
                </w:rPr>
              </m:ctrlPr>
            </m:dPr>
            <m:e>
              <m:r>
                <w:rPr>
                  <w:rFonts w:ascii="Cambria Math" w:eastAsia="Times New Roman" w:hAnsi="Cambria Math" w:cstheme="minorHAnsi"/>
                  <w:sz w:val="17"/>
                  <w:szCs w:val="17"/>
                  <w:lang w:eastAsia="pt-BR"/>
                </w:rPr>
                <m:t>Vna×</m:t>
              </m:r>
              <m:d>
                <m:dPr>
                  <m:ctrlPr>
                    <w:rPr>
                      <w:rFonts w:ascii="Cambria Math" w:eastAsia="Times New Roman" w:hAnsi="Cambria Math" w:cstheme="minorHAnsi"/>
                      <w:i/>
                      <w:sz w:val="17"/>
                      <w:szCs w:val="17"/>
                      <w:lang w:eastAsia="pt-BR"/>
                    </w:rPr>
                  </m:ctrlPr>
                </m:dPr>
                <m:e>
                  <m:r>
                    <w:rPr>
                      <w:rFonts w:ascii="Cambria Math" w:eastAsia="Times New Roman" w:hAnsi="Cambria Math" w:cstheme="minorHAnsi"/>
                      <w:sz w:val="17"/>
                      <w:szCs w:val="17"/>
                      <w:lang w:eastAsia="pt-BR"/>
                    </w:rPr>
                    <m:t>FatorJuros-1</m:t>
                  </m:r>
                </m:e>
              </m:d>
            </m:e>
          </m:d>
        </m:oMath>
      </m:oMathPara>
    </w:p>
    <w:p w14:paraId="5BD4A894"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sz w:val="17"/>
          <w:szCs w:val="17"/>
          <w:lang w:eastAsia="pt-BR"/>
        </w:rPr>
        <w:t>onde:</w:t>
      </w:r>
    </w:p>
    <w:p w14:paraId="085420C4"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w:bookmarkStart w:id="52" w:name="_DV_C230"/>
      <w:r w:rsidRPr="001E6E9D">
        <w:rPr>
          <w:rFonts w:asciiTheme="minorHAnsi" w:eastAsia="Times New Roman" w:hAnsiTheme="minorHAnsi" w:cstheme="minorHAnsi"/>
          <w:b/>
          <w:sz w:val="17"/>
          <w:szCs w:val="17"/>
          <w:lang w:eastAsia="pt-BR"/>
        </w:rPr>
        <w:t>J</w:t>
      </w:r>
      <w:r w:rsidRPr="001E6E9D">
        <w:rPr>
          <w:rFonts w:asciiTheme="minorHAnsi" w:eastAsia="Times New Roman" w:hAnsiTheme="minorHAnsi" w:cstheme="minorHAnsi"/>
          <w:sz w:val="17"/>
          <w:szCs w:val="17"/>
          <w:lang w:eastAsia="pt-BR"/>
        </w:rPr>
        <w:t xml:space="preserve"> = valor</w:t>
      </w:r>
      <w:bookmarkEnd w:id="52"/>
      <w:r w:rsidRPr="001E6E9D">
        <w:rPr>
          <w:rFonts w:asciiTheme="minorHAnsi" w:eastAsia="Times New Roman" w:hAnsiTheme="minorHAnsi" w:cstheme="minorHAnsi"/>
          <w:sz w:val="17"/>
          <w:szCs w:val="17"/>
          <w:lang w:eastAsia="pt-BR"/>
        </w:rPr>
        <w:t xml:space="preserve"> </w:t>
      </w:r>
      <w:bookmarkStart w:id="53" w:name="_DV_C234"/>
      <w:r w:rsidRPr="001E6E9D">
        <w:rPr>
          <w:rFonts w:asciiTheme="minorHAnsi" w:eastAsia="Times New Roman" w:hAnsiTheme="minorHAnsi" w:cstheme="minorHAnsi"/>
          <w:sz w:val="17"/>
          <w:szCs w:val="17"/>
          <w:lang w:eastAsia="pt-BR"/>
        </w:rPr>
        <w:t>unitário dos Juros Remuneratórios</w:t>
      </w:r>
      <w:bookmarkStart w:id="54" w:name="_Hlk54781598"/>
      <w:r w:rsidRPr="001E6E9D">
        <w:rPr>
          <w:rFonts w:asciiTheme="minorHAnsi" w:eastAsia="Times New Roman" w:hAnsiTheme="minorHAnsi" w:cstheme="minorHAnsi"/>
          <w:sz w:val="17"/>
          <w:szCs w:val="17"/>
          <w:lang w:eastAsia="pt-BR"/>
        </w:rPr>
        <w:t xml:space="preserve"> </w:t>
      </w:r>
      <w:bookmarkEnd w:id="53"/>
      <w:bookmarkEnd w:id="54"/>
      <w:r w:rsidRPr="001E6E9D">
        <w:rPr>
          <w:rFonts w:asciiTheme="minorHAnsi" w:eastAsia="Times New Roman" w:hAnsiTheme="minorHAnsi" w:cstheme="minorHAnsi"/>
          <w:sz w:val="17"/>
          <w:szCs w:val="17"/>
          <w:lang w:eastAsia="pt-BR"/>
        </w:rPr>
        <w:t xml:space="preserve">devidos ao final de cada Período de Capitalização, calculado com 8 (oito) casas decimais, sem arredondamento. </w:t>
      </w:r>
    </w:p>
    <w:p w14:paraId="1E79C15E"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sz w:val="17"/>
          <w:szCs w:val="17"/>
          <w:lang w:eastAsia="pt-BR"/>
        </w:rPr>
        <w:t xml:space="preserve">Vna </w:t>
      </w:r>
      <w:r w:rsidRPr="001E6E9D">
        <w:rPr>
          <w:rFonts w:asciiTheme="minorHAnsi" w:eastAsia="Times New Roman" w:hAnsiTheme="minorHAnsi" w:cstheme="minorHAnsi"/>
          <w:sz w:val="17"/>
          <w:szCs w:val="17"/>
          <w:lang w:eastAsia="pt-BR"/>
        </w:rPr>
        <w:t xml:space="preserve">= Valor Nominal Atualizado (conforme definido no </w:t>
      </w:r>
      <w:r w:rsidRPr="001E6E9D">
        <w:rPr>
          <w:rFonts w:asciiTheme="minorHAnsi" w:eastAsia="Times New Roman" w:hAnsiTheme="minorHAnsi" w:cstheme="minorHAnsi"/>
          <w:sz w:val="17"/>
          <w:szCs w:val="17"/>
          <w:u w:val="single"/>
          <w:lang w:eastAsia="pt-BR"/>
        </w:rPr>
        <w:t>item 2.6(i.2)</w:t>
      </w:r>
      <w:r w:rsidRPr="001E6E9D">
        <w:rPr>
          <w:rFonts w:asciiTheme="minorHAnsi" w:eastAsia="Times New Roman" w:hAnsiTheme="minorHAnsi" w:cstheme="minorHAnsi"/>
          <w:sz w:val="17"/>
          <w:szCs w:val="17"/>
          <w:lang w:eastAsia="pt-BR"/>
        </w:rPr>
        <w:t xml:space="preserve"> deste Prospecto), calculado com 8 (oito) casas decimais, sem arredondamento.</w:t>
      </w:r>
    </w:p>
    <w:p w14:paraId="3FFBF589" w14:textId="77777777" w:rsidR="0053704D" w:rsidRPr="001E6E9D" w:rsidRDefault="0053704D" w:rsidP="00DC7081">
      <w:pPr>
        <w:spacing w:after="140"/>
        <w:ind w:left="1134"/>
        <w:rPr>
          <w:rFonts w:asciiTheme="minorHAnsi" w:eastAsia="Times New Roman" w:hAnsiTheme="minorHAnsi" w:cstheme="minorHAnsi"/>
          <w:i/>
          <w:sz w:val="17"/>
          <w:szCs w:val="17"/>
          <w:lang w:eastAsia="pt-BR"/>
        </w:rPr>
      </w:pPr>
      <w:r w:rsidRPr="001E6E9D">
        <w:rPr>
          <w:rFonts w:asciiTheme="minorHAnsi" w:eastAsia="Times New Roman" w:hAnsiTheme="minorHAnsi" w:cstheme="minorHAnsi"/>
          <w:b/>
          <w:sz w:val="17"/>
          <w:szCs w:val="17"/>
          <w:lang w:eastAsia="pt-BR"/>
        </w:rPr>
        <w:t>FatorJuros</w:t>
      </w:r>
      <w:r w:rsidRPr="001E6E9D">
        <w:rPr>
          <w:rFonts w:asciiTheme="minorHAnsi" w:eastAsia="Times New Roman" w:hAnsiTheme="minorHAnsi" w:cstheme="minorHAnsi"/>
          <w:i/>
          <w:sz w:val="17"/>
          <w:szCs w:val="17"/>
          <w:lang w:eastAsia="pt-BR"/>
        </w:rPr>
        <w:t xml:space="preserve"> = </w:t>
      </w:r>
      <w:r w:rsidRPr="001E6E9D">
        <w:rPr>
          <w:rFonts w:asciiTheme="minorHAnsi" w:eastAsia="Times New Roman" w:hAnsiTheme="minorHAnsi" w:cstheme="minorHAnsi"/>
          <w:sz w:val="17"/>
          <w:szCs w:val="17"/>
          <w:lang w:eastAsia="pt-BR"/>
        </w:rPr>
        <w:t>fator de juros fixo, calculado com 9 (nove) casas decimais, com arredondamento, de acordo com a seguinte fórmula</w:t>
      </w:r>
      <w:r w:rsidRPr="001E6E9D">
        <w:rPr>
          <w:rFonts w:asciiTheme="minorHAnsi" w:eastAsia="Times New Roman" w:hAnsiTheme="minorHAnsi" w:cstheme="minorHAnsi"/>
          <w:i/>
          <w:sz w:val="17"/>
          <w:szCs w:val="17"/>
          <w:lang w:eastAsia="pt-BR"/>
        </w:rPr>
        <w:t>:</w:t>
      </w:r>
    </w:p>
    <w:p w14:paraId="40076010"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m:oMathPara>
        <m:oMath>
          <m:r>
            <w:rPr>
              <w:rFonts w:ascii="Cambria Math" w:eastAsia="Times New Roman" w:hAnsi="Cambria Math" w:cstheme="minorHAnsi"/>
              <w:sz w:val="17"/>
              <w:szCs w:val="17"/>
              <w:lang w:eastAsia="pt-BR"/>
            </w:rPr>
            <m:t>FatorJuros=</m:t>
          </m:r>
          <m:sSup>
            <m:sSupPr>
              <m:ctrlPr>
                <w:rPr>
                  <w:rFonts w:ascii="Cambria Math" w:eastAsia="Times New Roman" w:hAnsi="Cambria Math" w:cstheme="minorHAnsi"/>
                  <w:i/>
                  <w:sz w:val="17"/>
                  <w:szCs w:val="17"/>
                  <w:lang w:eastAsia="pt-BR"/>
                </w:rPr>
              </m:ctrlPr>
            </m:sSupPr>
            <m:e>
              <m:d>
                <m:dPr>
                  <m:ctrlPr>
                    <w:rPr>
                      <w:rFonts w:ascii="Cambria Math" w:eastAsia="Times New Roman" w:hAnsi="Cambria Math" w:cstheme="minorHAnsi"/>
                      <w:i/>
                      <w:sz w:val="17"/>
                      <w:szCs w:val="17"/>
                      <w:lang w:eastAsia="pt-BR"/>
                    </w:rPr>
                  </m:ctrlPr>
                </m:dPr>
                <m:e>
                  <m:f>
                    <m:fPr>
                      <m:ctrlPr>
                        <w:rPr>
                          <w:rFonts w:ascii="Cambria Math" w:eastAsia="Times New Roman" w:hAnsi="Cambria Math" w:cstheme="minorHAnsi"/>
                          <w:i/>
                          <w:sz w:val="17"/>
                          <w:szCs w:val="17"/>
                          <w:lang w:eastAsia="pt-BR"/>
                        </w:rPr>
                      </m:ctrlPr>
                    </m:fPr>
                    <m:num>
                      <m:r>
                        <w:rPr>
                          <w:rFonts w:ascii="Cambria Math" w:eastAsia="Times New Roman" w:hAnsi="Cambria Math" w:cstheme="minorHAnsi"/>
                          <w:sz w:val="17"/>
                          <w:szCs w:val="17"/>
                          <w:lang w:eastAsia="pt-BR"/>
                        </w:rPr>
                        <m:t>Taxa</m:t>
                      </m:r>
                    </m:num>
                    <m:den>
                      <m:r>
                        <w:rPr>
                          <w:rFonts w:ascii="Cambria Math" w:eastAsia="Times New Roman" w:hAnsi="Cambria Math" w:cstheme="minorHAnsi"/>
                          <w:sz w:val="17"/>
                          <w:szCs w:val="17"/>
                          <w:lang w:eastAsia="pt-BR"/>
                        </w:rPr>
                        <m:t>100</m:t>
                      </m:r>
                    </m:den>
                  </m:f>
                  <m:r>
                    <w:rPr>
                      <w:rFonts w:ascii="Cambria Math" w:eastAsia="Times New Roman" w:hAnsi="Cambria Math" w:cstheme="minorHAnsi"/>
                      <w:sz w:val="17"/>
                      <w:szCs w:val="17"/>
                      <w:lang w:eastAsia="pt-BR"/>
                    </w:rPr>
                    <m:t>+1</m:t>
                  </m:r>
                </m:e>
              </m:d>
            </m:e>
            <m:sup>
              <m:f>
                <m:fPr>
                  <m:ctrlPr>
                    <w:rPr>
                      <w:rFonts w:ascii="Cambria Math" w:eastAsia="Times New Roman" w:hAnsi="Cambria Math" w:cstheme="minorHAnsi"/>
                      <w:i/>
                      <w:sz w:val="17"/>
                      <w:szCs w:val="17"/>
                      <w:lang w:eastAsia="pt-BR"/>
                    </w:rPr>
                  </m:ctrlPr>
                </m:fPr>
                <m:num>
                  <m:r>
                    <w:rPr>
                      <w:rFonts w:ascii="Cambria Math" w:eastAsia="Times New Roman" w:hAnsi="Cambria Math" w:cstheme="minorHAnsi"/>
                      <w:sz w:val="17"/>
                      <w:szCs w:val="17"/>
                      <w:lang w:eastAsia="pt-BR"/>
                    </w:rPr>
                    <m:t>DP</m:t>
                  </m:r>
                </m:num>
                <m:den>
                  <m:r>
                    <w:rPr>
                      <w:rFonts w:ascii="Cambria Math" w:eastAsia="Times New Roman" w:hAnsi="Cambria Math" w:cstheme="minorHAnsi"/>
                      <w:sz w:val="17"/>
                      <w:szCs w:val="17"/>
                      <w:lang w:eastAsia="pt-BR"/>
                    </w:rPr>
                    <m:t>252</m:t>
                  </m:r>
                </m:den>
              </m:f>
            </m:sup>
          </m:sSup>
        </m:oMath>
      </m:oMathPara>
    </w:p>
    <w:p w14:paraId="75FD10BD"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sz w:val="17"/>
          <w:szCs w:val="17"/>
          <w:lang w:eastAsia="pt-BR"/>
        </w:rPr>
        <w:t xml:space="preserve">onde: </w:t>
      </w:r>
    </w:p>
    <w:p w14:paraId="08781514" w14:textId="2AD335B3" w:rsidR="0053704D"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lastRenderedPageBreak/>
        <w:t>Taxa</w:t>
      </w:r>
      <w:r w:rsidRPr="001E6E9D">
        <w:rPr>
          <w:rFonts w:asciiTheme="minorHAnsi" w:eastAsia="Times New Roman" w:hAnsiTheme="minorHAnsi" w:cstheme="minorHAnsi"/>
          <w:sz w:val="17"/>
          <w:szCs w:val="17"/>
          <w:lang w:eastAsia="pt-BR"/>
        </w:rPr>
        <w:t xml:space="preserve"> = </w:t>
      </w:r>
      <w:r w:rsidR="00AC236D" w:rsidRPr="00AC236D">
        <w:rPr>
          <w:rFonts w:asciiTheme="minorHAnsi" w:eastAsia="Times New Roman" w:hAnsiTheme="minorHAnsi" w:cstheme="minorHAnsi"/>
          <w:sz w:val="17"/>
          <w:szCs w:val="17"/>
          <w:lang w:eastAsia="pt-BR"/>
        </w:rPr>
        <w:t>8,6895</w:t>
      </w:r>
      <w:r w:rsidRPr="001E6E9D">
        <w:rPr>
          <w:rFonts w:asciiTheme="minorHAnsi" w:eastAsia="Times New Roman" w:hAnsiTheme="minorHAnsi" w:cstheme="minorHAnsi"/>
          <w:sz w:val="17"/>
          <w:szCs w:val="17"/>
          <w:lang w:eastAsia="pt-BR"/>
        </w:rPr>
        <w:t>; e</w:t>
      </w:r>
    </w:p>
    <w:p w14:paraId="01CD61D5" w14:textId="7B4E195B" w:rsidR="003468A1"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DP</w:t>
      </w:r>
      <w:r w:rsidRPr="001E6E9D">
        <w:rPr>
          <w:rFonts w:asciiTheme="minorHAnsi" w:eastAsia="Times New Roman" w:hAnsiTheme="minorHAnsi" w:cstheme="minorHAnsi"/>
          <w:sz w:val="17"/>
          <w:szCs w:val="17"/>
          <w:lang w:eastAsia="pt-BR"/>
        </w:rPr>
        <w:t xml:space="preserve"> = </w:t>
      </w:r>
      <w:r w:rsidR="00680A4C" w:rsidRPr="009A41F9">
        <w:rPr>
          <w:rFonts w:asciiTheme="minorHAnsi" w:eastAsia="Times New Roman" w:hAnsiTheme="minorHAnsi" w:cstheme="minorHAnsi"/>
          <w:sz w:val="17"/>
          <w:szCs w:val="17"/>
          <w:lang w:eastAsia="pt-BR"/>
        </w:rPr>
        <w:t xml:space="preserve">número de Dias Úteis entre a data de início do último Período de Capitalização e a data do cálculo, sendo </w:t>
      </w:r>
      <w:r w:rsidR="00680A4C">
        <w:rPr>
          <w:rFonts w:asciiTheme="minorHAnsi" w:eastAsia="Times New Roman" w:hAnsiTheme="minorHAnsi" w:cstheme="minorHAnsi"/>
          <w:sz w:val="17"/>
          <w:szCs w:val="17"/>
          <w:lang w:eastAsia="pt-BR"/>
        </w:rPr>
        <w:t>“</w:t>
      </w:r>
      <w:r w:rsidR="00680A4C" w:rsidRPr="009A41F9">
        <w:rPr>
          <w:rFonts w:asciiTheme="minorHAnsi" w:eastAsia="Times New Roman" w:hAnsiTheme="minorHAnsi" w:cstheme="minorHAnsi"/>
          <w:sz w:val="17"/>
          <w:szCs w:val="17"/>
          <w:lang w:eastAsia="pt-BR"/>
        </w:rPr>
        <w:t>DP” um número inteiro</w:t>
      </w:r>
      <w:r w:rsidRPr="001E6E9D">
        <w:rPr>
          <w:rFonts w:asciiTheme="minorHAnsi" w:eastAsia="Times New Roman" w:hAnsiTheme="minorHAnsi" w:cstheme="minorHAnsi"/>
          <w:sz w:val="17"/>
          <w:szCs w:val="17"/>
          <w:lang w:eastAsia="pt-BR"/>
        </w:rPr>
        <w:t>.</w:t>
      </w:r>
    </w:p>
    <w:p w14:paraId="3F2ED962" w14:textId="1A8B375F" w:rsidR="0053704D" w:rsidRPr="001E6E9D" w:rsidRDefault="00680A4C" w:rsidP="00DC7081">
      <w:pPr>
        <w:spacing w:after="140"/>
        <w:ind w:left="1134"/>
        <w:rPr>
          <w:rFonts w:asciiTheme="minorHAnsi" w:eastAsia="Times New Roman" w:hAnsiTheme="minorHAnsi" w:cstheme="minorHAnsi"/>
          <w:bCs/>
          <w:sz w:val="17"/>
          <w:szCs w:val="17"/>
          <w:lang w:eastAsia="pt-BR" w:bidi="pt-BR"/>
        </w:rPr>
      </w:pPr>
      <w:r w:rsidRPr="009A41F9">
        <w:rPr>
          <w:rFonts w:asciiTheme="minorHAnsi" w:eastAsia="Times New Roman" w:hAnsiTheme="minorHAnsi" w:cstheme="minorHAnsi"/>
          <w:sz w:val="17"/>
          <w:szCs w:val="17"/>
          <w:lang w:eastAsia="pt-BR"/>
        </w:rPr>
        <w:t xml:space="preserve">Para fins deste Prospecto, </w:t>
      </w:r>
      <w:r>
        <w:rPr>
          <w:rFonts w:asciiTheme="minorHAnsi" w:eastAsia="Times New Roman" w:hAnsiTheme="minorHAnsi" w:cstheme="minorHAnsi"/>
          <w:sz w:val="17"/>
          <w:szCs w:val="17"/>
          <w:lang w:eastAsia="pt-BR"/>
        </w:rPr>
        <w:t>“</w:t>
      </w:r>
      <w:r w:rsidRPr="009A41F9">
        <w:rPr>
          <w:rFonts w:asciiTheme="minorHAnsi" w:eastAsia="Times New Roman" w:hAnsiTheme="minorHAnsi" w:cstheme="minorHAnsi"/>
          <w:b/>
          <w:sz w:val="17"/>
          <w:szCs w:val="17"/>
          <w:lang w:eastAsia="pt-BR"/>
        </w:rPr>
        <w:t>Período de Capitalização</w:t>
      </w:r>
      <w:r w:rsidRPr="009A41F9">
        <w:rPr>
          <w:rFonts w:asciiTheme="minorHAnsi" w:eastAsia="Times New Roman" w:hAnsiTheme="minorHAnsi" w:cstheme="minorHAnsi"/>
          <w:sz w:val="17"/>
          <w:szCs w:val="17"/>
          <w:lang w:eastAsia="pt-BR"/>
        </w:rPr>
        <w:t xml:space="preserve">” é, para o primeiro período de capitalização, o intervalo de tempo que se inicia na Data de Início da Rentabilidade, inclusive, e termina na primeira Data de Pagamento dos Juros Remuneratórios (conforme definido no </w:t>
      </w:r>
      <w:r w:rsidRPr="009A41F9">
        <w:rPr>
          <w:rFonts w:asciiTheme="minorHAnsi" w:eastAsia="Times New Roman" w:hAnsiTheme="minorHAnsi" w:cstheme="minorHAnsi"/>
          <w:sz w:val="17"/>
          <w:szCs w:val="17"/>
          <w:u w:val="single"/>
          <w:lang w:eastAsia="pt-BR"/>
        </w:rPr>
        <w:t>item 2.6(j)</w:t>
      </w:r>
      <w:r w:rsidRPr="009A41F9">
        <w:rPr>
          <w:rFonts w:asciiTheme="minorHAnsi" w:eastAsia="Times New Roman" w:hAnsiTheme="minorHAnsi" w:cstheme="minorHAnsi"/>
          <w:sz w:val="17"/>
          <w:szCs w:val="17"/>
          <w:lang w:eastAsia="pt-BR"/>
        </w:rPr>
        <w:t xml:space="preserve"> deste Prospecto), exclusive, </w:t>
      </w:r>
      <w:r>
        <w:rPr>
          <w:rFonts w:asciiTheme="minorHAnsi" w:eastAsia="Times New Roman" w:hAnsiTheme="minorHAnsi" w:cstheme="minorHAnsi"/>
          <w:sz w:val="17"/>
          <w:szCs w:val="17"/>
          <w:lang w:eastAsia="pt-BR"/>
        </w:rPr>
        <w:t xml:space="preserve">considerando o Período de Carência, </w:t>
      </w:r>
      <w:r w:rsidRPr="009A41F9">
        <w:rPr>
          <w:rFonts w:asciiTheme="minorHAnsi" w:eastAsia="Times New Roman" w:hAnsiTheme="minorHAnsi" w:cstheme="minorHAnsi"/>
          <w:sz w:val="17"/>
          <w:szCs w:val="17"/>
          <w:lang w:eastAsia="pt-BR"/>
        </w:rPr>
        <w:t xml:space="preserve">e, para os demais Períodos de Capitalização, o intervalo de tempo que se inicia na Data de Pagamento dos Juros Remuneratórios (conforme definido no </w:t>
      </w:r>
      <w:r w:rsidRPr="009A41F9">
        <w:rPr>
          <w:rFonts w:asciiTheme="minorHAnsi" w:eastAsia="Times New Roman" w:hAnsiTheme="minorHAnsi" w:cstheme="minorHAnsi"/>
          <w:sz w:val="17"/>
          <w:szCs w:val="17"/>
          <w:u w:val="single"/>
          <w:lang w:eastAsia="pt-BR"/>
        </w:rPr>
        <w:t>item 2.6(j)</w:t>
      </w:r>
      <w:r w:rsidRPr="009A41F9">
        <w:rPr>
          <w:rFonts w:asciiTheme="minorHAnsi" w:eastAsia="Times New Roman" w:hAnsiTheme="minorHAnsi" w:cstheme="minorHAnsi"/>
          <w:sz w:val="17"/>
          <w:szCs w:val="17"/>
          <w:lang w:eastAsia="pt-BR"/>
        </w:rPr>
        <w:t xml:space="preserve"> deste Prospecto) imediatamente anterior, inclusive, e termina na Data de Pagamento dos Juros Remuneratórios (conforme definido no </w:t>
      </w:r>
      <w:r w:rsidRPr="009A41F9">
        <w:rPr>
          <w:rFonts w:asciiTheme="minorHAnsi" w:eastAsia="Times New Roman" w:hAnsiTheme="minorHAnsi" w:cstheme="minorHAnsi"/>
          <w:sz w:val="17"/>
          <w:szCs w:val="17"/>
          <w:u w:val="single"/>
          <w:lang w:eastAsia="pt-BR"/>
        </w:rPr>
        <w:t>item 2.6(j)</w:t>
      </w:r>
      <w:r w:rsidRPr="009A41F9">
        <w:rPr>
          <w:rFonts w:asciiTheme="minorHAnsi" w:eastAsia="Times New Roman" w:hAnsiTheme="minorHAnsi" w:cstheme="minorHAnsi"/>
          <w:sz w:val="17"/>
          <w:szCs w:val="17"/>
          <w:lang w:eastAsia="pt-BR"/>
        </w:rPr>
        <w:t xml:space="preserve"> deste Prospecto) subsequente, exclusive. Cada Período de Capitalização sucede o anterior sem solução de continuidade, até a Data de Vencimento</w:t>
      </w:r>
      <w:r w:rsidR="0053704D" w:rsidRPr="001E6E9D">
        <w:rPr>
          <w:rFonts w:asciiTheme="minorHAnsi" w:eastAsia="Times New Roman" w:hAnsiTheme="minorHAnsi" w:cstheme="minorHAnsi"/>
          <w:sz w:val="17"/>
          <w:szCs w:val="17"/>
          <w:lang w:eastAsia="pt-BR"/>
        </w:rPr>
        <w:t>.</w:t>
      </w:r>
    </w:p>
    <w:p w14:paraId="03565681" w14:textId="2A9A9718" w:rsidR="0053704D" w:rsidRPr="001E6E9D" w:rsidRDefault="0053704D" w:rsidP="00DC7081">
      <w:pPr>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sz w:val="17"/>
          <w:szCs w:val="17"/>
          <w:lang w:eastAsia="pt-BR" w:bidi="pt-BR"/>
        </w:rPr>
        <w:t>i.2)</w:t>
      </w:r>
      <w:r w:rsidRPr="001E6E9D">
        <w:rPr>
          <w:rFonts w:asciiTheme="minorHAnsi" w:eastAsia="Times New Roman" w:hAnsiTheme="minorHAnsi" w:cstheme="minorHAnsi"/>
          <w:b/>
          <w:sz w:val="17"/>
          <w:szCs w:val="17"/>
          <w:lang w:eastAsia="pt-BR" w:bidi="pt-BR"/>
        </w:rPr>
        <w:tab/>
      </w:r>
      <w:r w:rsidRPr="001E6E9D">
        <w:rPr>
          <w:rFonts w:asciiTheme="minorHAnsi" w:eastAsia="Times New Roman" w:hAnsiTheme="minorHAnsi" w:cstheme="minorHAnsi"/>
          <w:b/>
          <w:sz w:val="17"/>
          <w:szCs w:val="17"/>
          <w:lang w:eastAsia="pt-BR"/>
        </w:rPr>
        <w:t>Atualização monetária:</w:t>
      </w:r>
      <w:r w:rsidRPr="001E6E9D">
        <w:rPr>
          <w:rFonts w:asciiTheme="minorHAnsi" w:eastAsia="Times New Roman" w:hAnsiTheme="minorHAnsi" w:cstheme="minorHAnsi"/>
          <w:sz w:val="17"/>
          <w:szCs w:val="17"/>
          <w:lang w:eastAsia="pt-BR"/>
        </w:rPr>
        <w:t xml:space="preserve"> </w:t>
      </w:r>
      <w:r w:rsidR="00C26405" w:rsidRPr="001E6E9D">
        <w:rPr>
          <w:rFonts w:asciiTheme="minorHAnsi" w:eastAsia="Times New Roman" w:hAnsiTheme="minorHAnsi" w:cstheme="minorHAnsi"/>
          <w:sz w:val="17"/>
          <w:szCs w:val="17"/>
          <w:lang w:eastAsia="pt-BR"/>
        </w:rPr>
        <w:t>O Valor Nominal Unitário ou saldo do Valor Nominal Unitário das Debêntures, conforme o caso, será atualizado monetariamente pela variação do IPCA – Índice Nacional de Preços ao Consumidor Amplo calculado (</w:t>
      </w:r>
      <w:r w:rsidR="000D5E35" w:rsidRPr="001E6E9D">
        <w:rPr>
          <w:rFonts w:asciiTheme="minorHAnsi" w:eastAsia="Times New Roman" w:hAnsiTheme="minorHAnsi" w:cstheme="minorHAnsi"/>
          <w:sz w:val="17"/>
          <w:szCs w:val="17"/>
          <w:lang w:eastAsia="pt-BR"/>
        </w:rPr>
        <w:t>“</w:t>
      </w:r>
      <w:r w:rsidR="00C26405" w:rsidRPr="001E6E9D">
        <w:rPr>
          <w:rFonts w:asciiTheme="minorHAnsi" w:eastAsia="Times New Roman" w:hAnsiTheme="minorHAnsi" w:cstheme="minorHAnsi"/>
          <w:sz w:val="17"/>
          <w:szCs w:val="17"/>
          <w:u w:val="single"/>
          <w:lang w:eastAsia="pt-BR"/>
        </w:rPr>
        <w:t>IPCA</w:t>
      </w:r>
      <w:r w:rsidR="00C26405" w:rsidRPr="001E6E9D">
        <w:rPr>
          <w:rFonts w:asciiTheme="minorHAnsi" w:eastAsia="Times New Roman" w:hAnsiTheme="minorHAnsi" w:cstheme="minorHAnsi"/>
          <w:sz w:val="17"/>
          <w:szCs w:val="17"/>
          <w:lang w:eastAsia="pt-BR"/>
        </w:rPr>
        <w:t>”), apurado e divulgado pelo IBGE – Instituto Brasileiro de Geografia e Estatística (</w:t>
      </w:r>
      <w:r w:rsidR="000D5E35" w:rsidRPr="001E6E9D">
        <w:rPr>
          <w:rFonts w:asciiTheme="minorHAnsi" w:eastAsia="Times New Roman" w:hAnsiTheme="minorHAnsi" w:cstheme="minorHAnsi"/>
          <w:sz w:val="17"/>
          <w:szCs w:val="17"/>
          <w:lang w:eastAsia="pt-BR"/>
        </w:rPr>
        <w:t>“</w:t>
      </w:r>
      <w:r w:rsidR="00C26405" w:rsidRPr="001E6E9D">
        <w:rPr>
          <w:rFonts w:asciiTheme="minorHAnsi" w:eastAsia="Times New Roman" w:hAnsiTheme="minorHAnsi" w:cstheme="minorHAnsi"/>
          <w:b/>
          <w:bCs/>
          <w:sz w:val="17"/>
          <w:szCs w:val="17"/>
          <w:u w:val="single"/>
          <w:lang w:eastAsia="pt-BR"/>
        </w:rPr>
        <w:t>IBGE</w:t>
      </w:r>
      <w:r w:rsidR="00C26405" w:rsidRPr="001E6E9D">
        <w:rPr>
          <w:rFonts w:asciiTheme="minorHAnsi" w:eastAsia="Times New Roman" w:hAnsiTheme="minorHAnsi" w:cstheme="minorHAnsi"/>
          <w:sz w:val="17"/>
          <w:szCs w:val="17"/>
          <w:lang w:eastAsia="pt-BR"/>
        </w:rPr>
        <w:t>”), desde a Data de Início da Rentabilidade até a data do efetivo pagamento (</w:t>
      </w:r>
      <w:r w:rsidR="000D5E35" w:rsidRPr="001E6E9D">
        <w:rPr>
          <w:rFonts w:asciiTheme="minorHAnsi" w:eastAsia="Times New Roman" w:hAnsiTheme="minorHAnsi" w:cstheme="minorHAnsi"/>
          <w:sz w:val="17"/>
          <w:szCs w:val="17"/>
          <w:lang w:eastAsia="pt-BR"/>
        </w:rPr>
        <w:t>“</w:t>
      </w:r>
      <w:r w:rsidR="00C26405" w:rsidRPr="001E6E9D">
        <w:rPr>
          <w:rFonts w:asciiTheme="minorHAnsi" w:eastAsia="Times New Roman" w:hAnsiTheme="minorHAnsi" w:cstheme="minorHAnsi"/>
          <w:b/>
          <w:bCs/>
          <w:sz w:val="17"/>
          <w:szCs w:val="17"/>
          <w:u w:val="single"/>
          <w:lang w:eastAsia="pt-BR"/>
        </w:rPr>
        <w:t>Atualização Monetária</w:t>
      </w:r>
      <w:r w:rsidR="00C26405" w:rsidRPr="001E6E9D">
        <w:rPr>
          <w:rFonts w:asciiTheme="minorHAnsi" w:eastAsia="Times New Roman" w:hAnsiTheme="minorHAnsi" w:cstheme="minorHAnsi"/>
          <w:sz w:val="17"/>
          <w:szCs w:val="17"/>
          <w:lang w:eastAsia="pt-BR"/>
        </w:rPr>
        <w:t>”), sendo o produto da Atualização Monetária automaticamente incorporado ao Valor Nominal Unitário das Debêntures ou ao saldo do Valor Nominal Unitário das Debêntures, conforme o caso (</w:t>
      </w:r>
      <w:r w:rsidR="000D5E35" w:rsidRPr="001E6E9D">
        <w:rPr>
          <w:rFonts w:asciiTheme="minorHAnsi" w:eastAsia="Times New Roman" w:hAnsiTheme="minorHAnsi" w:cstheme="minorHAnsi"/>
          <w:sz w:val="17"/>
          <w:szCs w:val="17"/>
          <w:lang w:eastAsia="pt-BR"/>
        </w:rPr>
        <w:t>“</w:t>
      </w:r>
      <w:r w:rsidR="00C26405" w:rsidRPr="001E6E9D">
        <w:rPr>
          <w:rFonts w:asciiTheme="minorHAnsi" w:eastAsia="Times New Roman" w:hAnsiTheme="minorHAnsi" w:cstheme="minorHAnsi"/>
          <w:b/>
          <w:bCs/>
          <w:sz w:val="17"/>
          <w:szCs w:val="17"/>
          <w:u w:val="single"/>
          <w:lang w:eastAsia="pt-BR"/>
        </w:rPr>
        <w:t>Valor Nominal Atualizado</w:t>
      </w:r>
      <w:r w:rsidR="00C26405" w:rsidRPr="001E6E9D">
        <w:rPr>
          <w:rFonts w:asciiTheme="minorHAnsi" w:eastAsia="Times New Roman" w:hAnsiTheme="minorHAnsi" w:cstheme="minorHAnsi"/>
          <w:sz w:val="17"/>
          <w:szCs w:val="17"/>
          <w:lang w:eastAsia="pt-BR"/>
        </w:rPr>
        <w:t>”)</w:t>
      </w:r>
      <w:r w:rsidRPr="001E6E9D">
        <w:rPr>
          <w:rFonts w:asciiTheme="minorHAnsi" w:eastAsia="Times New Roman" w:hAnsiTheme="minorHAnsi" w:cstheme="minorHAnsi"/>
          <w:sz w:val="17"/>
          <w:szCs w:val="17"/>
          <w:lang w:eastAsia="pt-BR"/>
        </w:rPr>
        <w:t xml:space="preserve">. </w:t>
      </w:r>
      <w:bookmarkStart w:id="55" w:name="_DV_M125"/>
      <w:bookmarkStart w:id="56" w:name="_DV_M126"/>
      <w:bookmarkStart w:id="57" w:name="_DV_M127"/>
      <w:bookmarkEnd w:id="55"/>
      <w:bookmarkEnd w:id="56"/>
      <w:bookmarkEnd w:id="57"/>
      <w:r w:rsidRPr="001E6E9D">
        <w:rPr>
          <w:rFonts w:asciiTheme="minorHAnsi" w:eastAsia="Times New Roman" w:hAnsiTheme="minorHAnsi" w:cstheme="minorHAnsi"/>
          <w:sz w:val="17"/>
          <w:szCs w:val="17"/>
          <w:lang w:eastAsia="pt-BR"/>
        </w:rPr>
        <w:t>O cálculo da Atualização Monetária obedecerá à seguinte fórmula:</w:t>
      </w:r>
    </w:p>
    <w:p w14:paraId="22414B70"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m:oMathPara>
        <m:oMath>
          <m:r>
            <w:rPr>
              <w:rFonts w:ascii="Cambria Math" w:eastAsia="Times New Roman" w:hAnsi="Cambria Math" w:cstheme="minorHAnsi"/>
              <w:sz w:val="17"/>
              <w:szCs w:val="17"/>
              <w:lang w:eastAsia="pt-BR"/>
            </w:rPr>
            <m:t>Vna=Vne×C</m:t>
          </m:r>
        </m:oMath>
      </m:oMathPara>
    </w:p>
    <w:p w14:paraId="3DF7C07C"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sz w:val="17"/>
          <w:szCs w:val="17"/>
          <w:lang w:eastAsia="pt-BR"/>
        </w:rPr>
        <w:t>onde:</w:t>
      </w:r>
    </w:p>
    <w:p w14:paraId="64A022BF"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sz w:val="17"/>
          <w:szCs w:val="17"/>
          <w:lang w:eastAsia="pt-BR"/>
        </w:rPr>
        <w:t>Vna</w:t>
      </w:r>
      <w:r w:rsidRPr="001E6E9D">
        <w:rPr>
          <w:rFonts w:asciiTheme="minorHAnsi" w:eastAsia="Times New Roman" w:hAnsiTheme="minorHAnsi" w:cstheme="minorHAnsi"/>
          <w:sz w:val="17"/>
          <w:szCs w:val="17"/>
          <w:lang w:eastAsia="pt-BR"/>
        </w:rPr>
        <w:t xml:space="preserve"> = Valor Nominal Atualizado, calculado com 8 (oito) casas decimais, sem arredondamento.</w:t>
      </w:r>
    </w:p>
    <w:p w14:paraId="6E61E116"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sz w:val="17"/>
          <w:szCs w:val="17"/>
          <w:lang w:eastAsia="pt-BR"/>
        </w:rPr>
        <w:t>Vne</w:t>
      </w:r>
      <w:r w:rsidRPr="001E6E9D">
        <w:rPr>
          <w:rFonts w:asciiTheme="minorHAnsi" w:eastAsia="Times New Roman" w:hAnsiTheme="minorHAnsi" w:cstheme="minorHAnsi"/>
          <w:sz w:val="17"/>
          <w:szCs w:val="17"/>
          <w:lang w:eastAsia="pt-BR"/>
        </w:rPr>
        <w:t xml:space="preserve"> = Valor Nominal Unitário ou saldo do Valor Nominal Unitário, conforme o caso, calculado com 8 (oito) casas decimais, sem arredondamento.</w:t>
      </w:r>
    </w:p>
    <w:p w14:paraId="3C04F1D1"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sz w:val="17"/>
          <w:szCs w:val="17"/>
          <w:lang w:eastAsia="pt-BR"/>
        </w:rPr>
        <w:t>C</w:t>
      </w:r>
      <w:r w:rsidRPr="001E6E9D">
        <w:rPr>
          <w:rFonts w:asciiTheme="minorHAnsi" w:eastAsia="Times New Roman" w:hAnsiTheme="minorHAnsi" w:cstheme="minorHAnsi"/>
          <w:sz w:val="17"/>
          <w:szCs w:val="17"/>
          <w:lang w:eastAsia="pt-BR"/>
        </w:rPr>
        <w:t xml:space="preserve"> = </w:t>
      </w:r>
      <w:r w:rsidRPr="001E6E9D">
        <w:rPr>
          <w:rFonts w:asciiTheme="minorHAnsi" w:eastAsia="Times New Roman" w:hAnsiTheme="minorHAnsi" w:cstheme="minorHAnsi"/>
          <w:sz w:val="17"/>
          <w:szCs w:val="17"/>
          <w:lang w:eastAsia="pt-BR"/>
        </w:rPr>
        <w:tab/>
        <w:t>fator acumulado das variações mensais do IPCA, calculado com 8 (oito) casas decimais, sem arredondamento, apurado de acordo com a seguinte fórmula:</w:t>
      </w:r>
    </w:p>
    <w:p w14:paraId="24BDBD43"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m:oMathPara>
        <m:oMath>
          <m:r>
            <w:rPr>
              <w:rFonts w:ascii="Cambria Math" w:eastAsia="Times New Roman" w:hAnsi="Cambria Math" w:cstheme="minorHAnsi"/>
              <w:sz w:val="17"/>
              <w:szCs w:val="17"/>
              <w:lang w:eastAsia="pt-BR"/>
            </w:rPr>
            <m:t>C=</m:t>
          </m:r>
          <m:nary>
            <m:naryPr>
              <m:chr m:val="∏"/>
              <m:limLoc m:val="undOvr"/>
              <m:ctrlPr>
                <w:rPr>
                  <w:rFonts w:ascii="Cambria Math" w:eastAsia="Times New Roman" w:hAnsi="Cambria Math" w:cstheme="minorHAnsi"/>
                  <w:i/>
                  <w:sz w:val="17"/>
                  <w:szCs w:val="17"/>
                  <w:lang w:eastAsia="pt-BR"/>
                </w:rPr>
              </m:ctrlPr>
            </m:naryPr>
            <m:sub>
              <m:r>
                <w:rPr>
                  <w:rFonts w:ascii="Cambria Math" w:eastAsia="Times New Roman" w:hAnsi="Cambria Math" w:cstheme="minorHAnsi"/>
                  <w:sz w:val="17"/>
                  <w:szCs w:val="17"/>
                  <w:lang w:eastAsia="pt-BR"/>
                </w:rPr>
                <m:t>k=1</m:t>
              </m:r>
            </m:sub>
            <m:sup>
              <m:r>
                <w:rPr>
                  <w:rFonts w:ascii="Cambria Math" w:eastAsia="Times New Roman" w:hAnsi="Cambria Math" w:cstheme="minorHAnsi"/>
                  <w:sz w:val="17"/>
                  <w:szCs w:val="17"/>
                  <w:lang w:eastAsia="pt-BR"/>
                </w:rPr>
                <m:t>n</m:t>
              </m:r>
            </m:sup>
            <m:e>
              <m:d>
                <m:dPr>
                  <m:begChr m:val="["/>
                  <m:endChr m:val="]"/>
                  <m:ctrlPr>
                    <w:rPr>
                      <w:rFonts w:ascii="Cambria Math" w:eastAsia="Times New Roman" w:hAnsi="Cambria Math" w:cstheme="minorHAnsi"/>
                      <w:i/>
                      <w:sz w:val="17"/>
                      <w:szCs w:val="17"/>
                      <w:lang w:eastAsia="pt-BR"/>
                    </w:rPr>
                  </m:ctrlPr>
                </m:dPr>
                <m:e>
                  <m:sSup>
                    <m:sSupPr>
                      <m:ctrlPr>
                        <w:rPr>
                          <w:rFonts w:ascii="Cambria Math" w:eastAsia="Times New Roman" w:hAnsi="Cambria Math" w:cstheme="minorHAnsi"/>
                          <w:i/>
                          <w:sz w:val="17"/>
                          <w:szCs w:val="17"/>
                          <w:lang w:eastAsia="pt-BR"/>
                        </w:rPr>
                      </m:ctrlPr>
                    </m:sSupPr>
                    <m:e>
                      <m:d>
                        <m:dPr>
                          <m:ctrlPr>
                            <w:rPr>
                              <w:rFonts w:ascii="Cambria Math" w:eastAsia="Times New Roman" w:hAnsi="Cambria Math" w:cstheme="minorHAnsi"/>
                              <w:i/>
                              <w:sz w:val="17"/>
                              <w:szCs w:val="17"/>
                              <w:lang w:eastAsia="pt-BR"/>
                            </w:rPr>
                          </m:ctrlPr>
                        </m:dPr>
                        <m:e>
                          <m:f>
                            <m:fPr>
                              <m:ctrlPr>
                                <w:rPr>
                                  <w:rFonts w:ascii="Cambria Math" w:eastAsia="Times New Roman" w:hAnsi="Cambria Math" w:cstheme="minorHAnsi"/>
                                  <w:i/>
                                  <w:sz w:val="17"/>
                                  <w:szCs w:val="17"/>
                                  <w:lang w:eastAsia="pt-BR"/>
                                </w:rPr>
                              </m:ctrlPr>
                            </m:fPr>
                            <m:num>
                              <m:sSub>
                                <m:sSubPr>
                                  <m:ctrlPr>
                                    <w:rPr>
                                      <w:rFonts w:ascii="Cambria Math" w:eastAsia="Times New Roman" w:hAnsi="Cambria Math" w:cstheme="minorHAnsi"/>
                                      <w:i/>
                                      <w:sz w:val="17"/>
                                      <w:szCs w:val="17"/>
                                      <w:lang w:eastAsia="pt-BR"/>
                                    </w:rPr>
                                  </m:ctrlPr>
                                </m:sSubPr>
                                <m:e>
                                  <m:r>
                                    <w:rPr>
                                      <w:rFonts w:ascii="Cambria Math" w:eastAsia="Times New Roman" w:hAnsi="Cambria Math" w:cstheme="minorHAnsi"/>
                                      <w:sz w:val="17"/>
                                      <w:szCs w:val="17"/>
                                      <w:lang w:eastAsia="pt-BR"/>
                                    </w:rPr>
                                    <m:t>NI</m:t>
                                  </m:r>
                                </m:e>
                                <m:sub>
                                  <m:r>
                                    <w:rPr>
                                      <w:rFonts w:ascii="Cambria Math" w:eastAsia="Times New Roman" w:hAnsi="Cambria Math" w:cstheme="minorHAnsi"/>
                                      <w:sz w:val="17"/>
                                      <w:szCs w:val="17"/>
                                      <w:lang w:eastAsia="pt-BR"/>
                                    </w:rPr>
                                    <m:t>k</m:t>
                                  </m:r>
                                </m:sub>
                              </m:sSub>
                            </m:num>
                            <m:den>
                              <m:sSub>
                                <m:sSubPr>
                                  <m:ctrlPr>
                                    <w:rPr>
                                      <w:rFonts w:ascii="Cambria Math" w:eastAsia="Times New Roman" w:hAnsi="Cambria Math" w:cstheme="minorHAnsi"/>
                                      <w:i/>
                                      <w:sz w:val="17"/>
                                      <w:szCs w:val="17"/>
                                      <w:lang w:eastAsia="pt-BR"/>
                                    </w:rPr>
                                  </m:ctrlPr>
                                </m:sSubPr>
                                <m:e>
                                  <m:r>
                                    <w:rPr>
                                      <w:rFonts w:ascii="Cambria Math" w:eastAsia="Times New Roman" w:hAnsi="Cambria Math" w:cstheme="minorHAnsi"/>
                                      <w:sz w:val="17"/>
                                      <w:szCs w:val="17"/>
                                      <w:lang w:eastAsia="pt-BR"/>
                                    </w:rPr>
                                    <m:t>NI</m:t>
                                  </m:r>
                                </m:e>
                                <m:sub>
                                  <m:r>
                                    <w:rPr>
                                      <w:rFonts w:ascii="Cambria Math" w:eastAsia="Times New Roman" w:hAnsi="Cambria Math" w:cstheme="minorHAnsi"/>
                                      <w:sz w:val="17"/>
                                      <w:szCs w:val="17"/>
                                      <w:lang w:eastAsia="pt-BR"/>
                                    </w:rPr>
                                    <m:t>k-1</m:t>
                                  </m:r>
                                </m:sub>
                              </m:sSub>
                            </m:den>
                          </m:f>
                        </m:e>
                      </m:d>
                    </m:e>
                    <m:sup>
                      <m:f>
                        <m:fPr>
                          <m:ctrlPr>
                            <w:rPr>
                              <w:rFonts w:ascii="Cambria Math" w:eastAsia="Times New Roman" w:hAnsi="Cambria Math" w:cstheme="minorHAnsi"/>
                              <w:i/>
                              <w:sz w:val="17"/>
                              <w:szCs w:val="17"/>
                              <w:lang w:eastAsia="pt-BR"/>
                            </w:rPr>
                          </m:ctrlPr>
                        </m:fPr>
                        <m:num>
                          <m:r>
                            <w:rPr>
                              <w:rFonts w:ascii="Cambria Math" w:eastAsia="Times New Roman" w:hAnsi="Cambria Math" w:cstheme="minorHAnsi"/>
                              <w:sz w:val="17"/>
                              <w:szCs w:val="17"/>
                              <w:lang w:eastAsia="pt-BR"/>
                            </w:rPr>
                            <m:t>dup</m:t>
                          </m:r>
                        </m:num>
                        <m:den>
                          <m:r>
                            <w:rPr>
                              <w:rFonts w:ascii="Cambria Math" w:eastAsia="Times New Roman" w:hAnsi="Cambria Math" w:cstheme="minorHAnsi"/>
                              <w:sz w:val="17"/>
                              <w:szCs w:val="17"/>
                              <w:lang w:eastAsia="pt-BR"/>
                            </w:rPr>
                            <m:t>dut</m:t>
                          </m:r>
                        </m:den>
                      </m:f>
                    </m:sup>
                  </m:sSup>
                </m:e>
              </m:d>
            </m:e>
          </m:nary>
        </m:oMath>
      </m:oMathPara>
    </w:p>
    <w:p w14:paraId="1E12811E" w14:textId="77777777" w:rsidR="0053704D"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sz w:val="17"/>
          <w:szCs w:val="17"/>
          <w:lang w:eastAsia="pt-BR"/>
        </w:rPr>
        <w:t>onde:</w:t>
      </w:r>
    </w:p>
    <w:p w14:paraId="46F02434" w14:textId="1D6D8970" w:rsidR="0053704D" w:rsidRPr="001E6E9D" w:rsidRDefault="0053704D" w:rsidP="00DC7081">
      <w:pPr>
        <w:spacing w:after="140"/>
        <w:ind w:left="1134"/>
        <w:rPr>
          <w:rFonts w:asciiTheme="minorHAnsi" w:eastAsia="Times New Roman" w:hAnsiTheme="minorHAnsi" w:cstheme="minorHAnsi"/>
          <w:bCs/>
          <w:sz w:val="17"/>
          <w:szCs w:val="17"/>
          <w:lang w:eastAsia="pt-BR"/>
        </w:rPr>
      </w:pPr>
      <w:r w:rsidRPr="001E6E9D">
        <w:rPr>
          <w:rFonts w:asciiTheme="minorHAnsi" w:eastAsia="Times New Roman" w:hAnsiTheme="minorHAnsi" w:cstheme="minorHAnsi"/>
          <w:b/>
          <w:sz w:val="17"/>
          <w:szCs w:val="17"/>
          <w:lang w:eastAsia="pt-BR"/>
        </w:rPr>
        <w:t xml:space="preserve">n </w:t>
      </w:r>
      <w:r w:rsidRPr="001E6E9D">
        <w:rPr>
          <w:rFonts w:asciiTheme="minorHAnsi" w:eastAsia="Times New Roman" w:hAnsiTheme="minorHAnsi" w:cstheme="minorHAnsi"/>
          <w:bCs/>
          <w:sz w:val="17"/>
          <w:szCs w:val="17"/>
          <w:lang w:eastAsia="pt-BR"/>
        </w:rPr>
        <w:t xml:space="preserve">= número total de índices considerados na Atualização Monetária, sendo </w:t>
      </w:r>
      <w:r w:rsidR="000D5E35" w:rsidRPr="001E6E9D">
        <w:rPr>
          <w:rFonts w:asciiTheme="minorHAnsi" w:eastAsia="Times New Roman" w:hAnsiTheme="minorHAnsi" w:cstheme="minorHAnsi"/>
          <w:bCs/>
          <w:sz w:val="17"/>
          <w:szCs w:val="17"/>
          <w:lang w:eastAsia="pt-BR"/>
        </w:rPr>
        <w:t>“</w:t>
      </w:r>
      <w:r w:rsidRPr="001E6E9D">
        <w:rPr>
          <w:rFonts w:asciiTheme="minorHAnsi" w:eastAsia="Times New Roman" w:hAnsiTheme="minorHAnsi" w:cstheme="minorHAnsi"/>
          <w:bCs/>
          <w:sz w:val="17"/>
          <w:szCs w:val="17"/>
          <w:lang w:eastAsia="pt-BR"/>
        </w:rPr>
        <w:t>n” um número inteiro.</w:t>
      </w:r>
    </w:p>
    <w:p w14:paraId="05A9C399" w14:textId="0511BD0A" w:rsidR="0053704D" w:rsidRPr="001E6E9D" w:rsidRDefault="0053704D" w:rsidP="00DC7081">
      <w:pPr>
        <w:spacing w:after="140"/>
        <w:ind w:left="1134"/>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sz w:val="17"/>
          <w:szCs w:val="17"/>
          <w:lang w:eastAsia="pt-BR"/>
        </w:rPr>
        <w:t xml:space="preserve">NIk </w:t>
      </w:r>
      <w:r w:rsidRPr="001E6E9D">
        <w:rPr>
          <w:rFonts w:asciiTheme="minorHAnsi" w:eastAsia="Times New Roman" w:hAnsiTheme="minorHAnsi" w:cstheme="minorHAnsi"/>
          <w:bCs/>
          <w:sz w:val="17"/>
          <w:szCs w:val="17"/>
          <w:lang w:eastAsia="pt-BR"/>
        </w:rPr>
        <w:t xml:space="preserve">= valor do número-índice do IPCA do mês anterior ao mês de atualização; caso a atualização seja em data anterior ou na própria Data de Aniversário, após a Data de Aniversário, o </w:t>
      </w:r>
      <w:r w:rsidR="000D5E35" w:rsidRPr="001E6E9D">
        <w:rPr>
          <w:rFonts w:asciiTheme="minorHAnsi" w:eastAsia="Times New Roman" w:hAnsiTheme="minorHAnsi" w:cstheme="minorHAnsi"/>
          <w:bCs/>
          <w:sz w:val="17"/>
          <w:szCs w:val="17"/>
          <w:lang w:eastAsia="pt-BR"/>
        </w:rPr>
        <w:t>“</w:t>
      </w:r>
      <w:r w:rsidRPr="001E6E9D">
        <w:rPr>
          <w:rFonts w:asciiTheme="minorHAnsi" w:eastAsia="Times New Roman" w:hAnsiTheme="minorHAnsi" w:cstheme="minorHAnsi"/>
          <w:bCs/>
          <w:sz w:val="17"/>
          <w:szCs w:val="17"/>
          <w:lang w:eastAsia="pt-BR"/>
        </w:rPr>
        <w:t xml:space="preserve">NIk” corresponderá ao valor do número índice do IPCA do mês de atualização. </w:t>
      </w:r>
    </w:p>
    <w:p w14:paraId="5CC17CDA" w14:textId="1EC3CC8E" w:rsidR="0053704D" w:rsidRPr="001E6E9D" w:rsidRDefault="0053704D" w:rsidP="00DC7081">
      <w:pPr>
        <w:spacing w:after="140"/>
        <w:ind w:left="1134"/>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sz w:val="17"/>
          <w:szCs w:val="17"/>
          <w:lang w:eastAsia="pt-BR"/>
        </w:rPr>
        <w:t xml:space="preserve">NIk-1 </w:t>
      </w:r>
      <w:r w:rsidRPr="001E6E9D">
        <w:rPr>
          <w:rFonts w:asciiTheme="minorHAnsi" w:eastAsia="Times New Roman" w:hAnsiTheme="minorHAnsi" w:cstheme="minorHAnsi"/>
          <w:bCs/>
          <w:sz w:val="17"/>
          <w:szCs w:val="17"/>
          <w:lang w:eastAsia="pt-BR"/>
        </w:rPr>
        <w:t xml:space="preserve">= valor do número-índice do IPCA do mês anterior ao mês </w:t>
      </w:r>
      <w:r w:rsidR="000D5E35" w:rsidRPr="001E6E9D">
        <w:rPr>
          <w:rFonts w:asciiTheme="minorHAnsi" w:eastAsia="Times New Roman" w:hAnsiTheme="minorHAnsi" w:cstheme="minorHAnsi"/>
          <w:bCs/>
          <w:sz w:val="17"/>
          <w:szCs w:val="17"/>
          <w:lang w:eastAsia="pt-BR"/>
        </w:rPr>
        <w:t>“</w:t>
      </w:r>
      <w:r w:rsidRPr="001E6E9D">
        <w:rPr>
          <w:rFonts w:asciiTheme="minorHAnsi" w:eastAsia="Times New Roman" w:hAnsiTheme="minorHAnsi" w:cstheme="minorHAnsi"/>
          <w:bCs/>
          <w:sz w:val="17"/>
          <w:szCs w:val="17"/>
          <w:lang w:eastAsia="pt-BR"/>
        </w:rPr>
        <w:t>k”.</w:t>
      </w:r>
    </w:p>
    <w:p w14:paraId="05DFA0D9" w14:textId="6FCEDB21" w:rsidR="0053704D" w:rsidRPr="001E6E9D" w:rsidRDefault="0053704D" w:rsidP="00DC7081">
      <w:pPr>
        <w:spacing w:after="140"/>
        <w:ind w:left="1134"/>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sz w:val="17"/>
          <w:szCs w:val="17"/>
          <w:lang w:eastAsia="pt-BR"/>
        </w:rPr>
        <w:t xml:space="preserve">dup </w:t>
      </w:r>
      <w:r w:rsidRPr="001E6E9D">
        <w:rPr>
          <w:rFonts w:asciiTheme="minorHAnsi" w:eastAsia="Times New Roman" w:hAnsiTheme="minorHAnsi" w:cstheme="minorHAnsi"/>
          <w:bCs/>
          <w:sz w:val="17"/>
          <w:szCs w:val="17"/>
          <w:lang w:eastAsia="pt-BR"/>
        </w:rPr>
        <w:t xml:space="preserve">= número de Dias Úteis entre a Data de Início da Rentabilidade (ou a última Data de Aniversário) e a data de cálculo, limitado ao número total de Dias Úteis de vigência do número-índice do IPCA, sendo </w:t>
      </w:r>
      <w:r w:rsidR="000D5E35" w:rsidRPr="001E6E9D">
        <w:rPr>
          <w:rFonts w:asciiTheme="minorHAnsi" w:eastAsia="Times New Roman" w:hAnsiTheme="minorHAnsi" w:cstheme="minorHAnsi"/>
          <w:bCs/>
          <w:sz w:val="17"/>
          <w:szCs w:val="17"/>
          <w:lang w:eastAsia="pt-BR"/>
        </w:rPr>
        <w:t>“</w:t>
      </w:r>
      <w:r w:rsidRPr="001E6E9D">
        <w:rPr>
          <w:rFonts w:asciiTheme="minorHAnsi" w:eastAsia="Times New Roman" w:hAnsiTheme="minorHAnsi" w:cstheme="minorHAnsi"/>
          <w:bCs/>
          <w:sz w:val="17"/>
          <w:szCs w:val="17"/>
          <w:lang w:eastAsia="pt-BR"/>
        </w:rPr>
        <w:t>dup” um número inteiro.</w:t>
      </w:r>
    </w:p>
    <w:p w14:paraId="6F2A5CA7" w14:textId="00AF45C7" w:rsidR="003468A1" w:rsidRPr="001E6E9D" w:rsidRDefault="0053704D"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sz w:val="17"/>
          <w:szCs w:val="17"/>
          <w:lang w:eastAsia="pt-BR"/>
        </w:rPr>
        <w:t xml:space="preserve">dut </w:t>
      </w:r>
      <w:r w:rsidRPr="001E6E9D">
        <w:rPr>
          <w:rFonts w:asciiTheme="minorHAnsi" w:eastAsia="Times New Roman" w:hAnsiTheme="minorHAnsi" w:cstheme="minorHAnsi"/>
          <w:bCs/>
          <w:sz w:val="17"/>
          <w:szCs w:val="17"/>
          <w:lang w:eastAsia="pt-BR"/>
        </w:rPr>
        <w:t>=</w:t>
      </w:r>
      <w:r w:rsidR="003468A1" w:rsidRPr="001E6E9D">
        <w:rPr>
          <w:rFonts w:asciiTheme="minorHAnsi" w:eastAsia="Times New Roman" w:hAnsiTheme="minorHAnsi" w:cstheme="minorHAnsi"/>
          <w:bCs/>
          <w:sz w:val="17"/>
          <w:szCs w:val="17"/>
          <w:lang w:eastAsia="pt-BR"/>
        </w:rPr>
        <w:t xml:space="preserve"> </w:t>
      </w:r>
      <w:r w:rsidRPr="001E6E9D">
        <w:rPr>
          <w:rFonts w:asciiTheme="minorHAnsi" w:eastAsia="Times New Roman" w:hAnsiTheme="minorHAnsi" w:cstheme="minorHAnsi"/>
          <w:bCs/>
          <w:sz w:val="17"/>
          <w:szCs w:val="17"/>
          <w:lang w:eastAsia="pt-BR"/>
        </w:rPr>
        <w:t>número de Dias Úteis contidos entre a última Data</w:t>
      </w:r>
      <w:r w:rsidRPr="001E6E9D">
        <w:rPr>
          <w:rFonts w:asciiTheme="minorHAnsi" w:eastAsia="Times New Roman" w:hAnsiTheme="minorHAnsi" w:cstheme="minorHAnsi"/>
          <w:sz w:val="17"/>
          <w:szCs w:val="17"/>
          <w:lang w:eastAsia="pt-BR"/>
        </w:rPr>
        <w:t xml:space="preserve"> de Aniversário e a próxima Data de Aniversário, sendo </w:t>
      </w:r>
      <w:r w:rsidR="000D5E35" w:rsidRPr="001E6E9D">
        <w:rPr>
          <w:rFonts w:asciiTheme="minorHAnsi" w:eastAsia="Times New Roman" w:hAnsiTheme="minorHAnsi" w:cstheme="minorHAnsi"/>
          <w:sz w:val="17"/>
          <w:szCs w:val="17"/>
          <w:lang w:eastAsia="pt-BR"/>
        </w:rPr>
        <w:t>“</w:t>
      </w:r>
      <w:r w:rsidRPr="001E6E9D">
        <w:rPr>
          <w:rFonts w:asciiTheme="minorHAnsi" w:eastAsia="Times New Roman" w:hAnsiTheme="minorHAnsi" w:cstheme="minorHAnsi"/>
          <w:sz w:val="17"/>
          <w:szCs w:val="17"/>
          <w:lang w:eastAsia="pt-BR"/>
        </w:rPr>
        <w:t>dut” um número inteiro.</w:t>
      </w:r>
    </w:p>
    <w:p w14:paraId="473158DF" w14:textId="77777777" w:rsidR="0053704D" w:rsidRPr="001E6E9D" w:rsidRDefault="0053704D" w:rsidP="00DC7081">
      <w:pPr>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Observações</w:t>
      </w:r>
      <w:r w:rsidRPr="001E6E9D">
        <w:rPr>
          <w:rFonts w:asciiTheme="minorHAnsi" w:eastAsia="Times New Roman" w:hAnsiTheme="minorHAnsi" w:cstheme="minorHAnsi"/>
          <w:b/>
          <w:sz w:val="17"/>
          <w:szCs w:val="17"/>
          <w:lang w:eastAsia="pt-BR"/>
        </w:rPr>
        <w:t>:</w:t>
      </w:r>
    </w:p>
    <w:p w14:paraId="4B2B338F" w14:textId="77777777" w:rsidR="0053704D" w:rsidRPr="001E6E9D" w:rsidRDefault="0053704D" w:rsidP="00DC7081">
      <w:pPr>
        <w:tabs>
          <w:tab w:val="left" w:pos="1418"/>
        </w:tabs>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(i)</w:t>
      </w:r>
      <w:r w:rsidR="000568D3" w:rsidRPr="001E6E9D">
        <w:rPr>
          <w:rFonts w:asciiTheme="minorHAnsi" w:eastAsia="Times New Roman" w:hAnsiTheme="minorHAnsi" w:cstheme="minorHAnsi"/>
          <w:sz w:val="17"/>
          <w:szCs w:val="17"/>
          <w:lang w:eastAsia="pt-BR"/>
        </w:rPr>
        <w:tab/>
      </w:r>
      <w:r w:rsidRPr="001E6E9D">
        <w:rPr>
          <w:rFonts w:asciiTheme="minorHAnsi" w:eastAsia="Times New Roman" w:hAnsiTheme="minorHAnsi" w:cstheme="minorHAnsi"/>
          <w:sz w:val="17"/>
          <w:szCs w:val="17"/>
          <w:lang w:eastAsia="pt-BR"/>
        </w:rPr>
        <w:t>A aplicação do IPCA incidirá no menor período permitido pela legislação em vigor, sem necessidade de ajuste à Escritura de Emissão ou qualquer outra formalidade;</w:t>
      </w:r>
    </w:p>
    <w:p w14:paraId="5365D8E7" w14:textId="77777777" w:rsidR="0053704D" w:rsidRPr="001E6E9D" w:rsidRDefault="0053704D" w:rsidP="00DC7081">
      <w:pPr>
        <w:tabs>
          <w:tab w:val="left" w:pos="1418"/>
        </w:tabs>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(ii)</w:t>
      </w:r>
      <w:r w:rsidRPr="001E6E9D">
        <w:rPr>
          <w:rFonts w:asciiTheme="minorHAnsi" w:eastAsia="Times New Roman" w:hAnsiTheme="minorHAnsi" w:cstheme="minorHAnsi"/>
          <w:sz w:val="17"/>
          <w:szCs w:val="17"/>
          <w:lang w:eastAsia="pt-BR"/>
        </w:rPr>
        <w:t xml:space="preserve"> </w:t>
      </w:r>
      <w:r w:rsidR="000568D3" w:rsidRPr="001E6E9D">
        <w:rPr>
          <w:rFonts w:asciiTheme="minorHAnsi" w:eastAsia="Times New Roman" w:hAnsiTheme="minorHAnsi" w:cstheme="minorHAnsi"/>
          <w:sz w:val="17"/>
          <w:szCs w:val="17"/>
          <w:lang w:eastAsia="pt-BR"/>
        </w:rPr>
        <w:tab/>
      </w:r>
      <w:r w:rsidRPr="001E6E9D">
        <w:rPr>
          <w:rFonts w:asciiTheme="minorHAnsi" w:eastAsia="Times New Roman" w:hAnsiTheme="minorHAnsi" w:cstheme="minorHAnsi"/>
          <w:sz w:val="17"/>
          <w:szCs w:val="17"/>
          <w:lang w:eastAsia="pt-BR"/>
        </w:rPr>
        <w:t>O IPCA deverá ser utilizado considerando idêntico número de casas decimais divulgado pelo IBGE;</w:t>
      </w:r>
    </w:p>
    <w:p w14:paraId="053EFB99" w14:textId="3131348A" w:rsidR="0053704D" w:rsidRPr="001E6E9D" w:rsidRDefault="0053704D" w:rsidP="00DC7081">
      <w:pPr>
        <w:tabs>
          <w:tab w:val="left" w:pos="1418"/>
        </w:tabs>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(iii)</w:t>
      </w:r>
      <w:r w:rsidRPr="001E6E9D">
        <w:rPr>
          <w:rFonts w:asciiTheme="minorHAnsi" w:eastAsia="Times New Roman" w:hAnsiTheme="minorHAnsi" w:cstheme="minorHAnsi"/>
          <w:sz w:val="17"/>
          <w:szCs w:val="17"/>
          <w:lang w:eastAsia="pt-BR"/>
        </w:rPr>
        <w:t xml:space="preserve"> </w:t>
      </w:r>
      <w:r w:rsidR="000568D3" w:rsidRPr="001E6E9D">
        <w:rPr>
          <w:rFonts w:asciiTheme="minorHAnsi" w:eastAsia="Times New Roman" w:hAnsiTheme="minorHAnsi" w:cstheme="minorHAnsi"/>
          <w:sz w:val="17"/>
          <w:szCs w:val="17"/>
          <w:lang w:eastAsia="pt-BR"/>
        </w:rPr>
        <w:tab/>
      </w:r>
      <w:r w:rsidRPr="001E6E9D">
        <w:rPr>
          <w:rFonts w:asciiTheme="minorHAnsi" w:eastAsia="Times New Roman" w:hAnsiTheme="minorHAnsi" w:cstheme="minorHAnsi"/>
          <w:sz w:val="17"/>
          <w:szCs w:val="17"/>
          <w:lang w:eastAsia="pt-BR"/>
        </w:rPr>
        <w:t xml:space="preserve">Considera-se </w:t>
      </w:r>
      <w:r w:rsidR="000D5E35" w:rsidRPr="001E6E9D">
        <w:rPr>
          <w:rFonts w:asciiTheme="minorHAnsi" w:eastAsia="Times New Roman" w:hAnsiTheme="minorHAnsi" w:cstheme="minorHAnsi"/>
          <w:sz w:val="17"/>
          <w:szCs w:val="17"/>
          <w:lang w:eastAsia="pt-BR"/>
        </w:rPr>
        <w:t>“</w:t>
      </w:r>
      <w:r w:rsidRPr="001E6E9D">
        <w:rPr>
          <w:rFonts w:asciiTheme="minorHAnsi" w:eastAsia="Times New Roman" w:hAnsiTheme="minorHAnsi" w:cstheme="minorHAnsi"/>
          <w:b/>
          <w:bCs/>
          <w:sz w:val="17"/>
          <w:szCs w:val="17"/>
          <w:lang w:eastAsia="pt-BR"/>
        </w:rPr>
        <w:t>Data(s) de Aniversário</w:t>
      </w:r>
      <w:r w:rsidRPr="001E6E9D">
        <w:rPr>
          <w:rFonts w:asciiTheme="minorHAnsi" w:eastAsia="Times New Roman" w:hAnsiTheme="minorHAnsi" w:cstheme="minorHAnsi"/>
          <w:sz w:val="17"/>
          <w:szCs w:val="17"/>
          <w:lang w:eastAsia="pt-BR"/>
        </w:rPr>
        <w:t>” todo dia 15 (quinze) de cada mês ou, caso a referida data não seja Dia Útil, o Dia Útil subsequente;</w:t>
      </w:r>
    </w:p>
    <w:p w14:paraId="5C46E2B7" w14:textId="77777777" w:rsidR="0053704D" w:rsidRPr="001E6E9D" w:rsidRDefault="0053704D" w:rsidP="00DC7081">
      <w:pPr>
        <w:tabs>
          <w:tab w:val="left" w:pos="1418"/>
        </w:tabs>
        <w:spacing w:after="140"/>
        <w:ind w:left="1134" w:hanging="567"/>
        <w:rPr>
          <w:rFonts w:asciiTheme="minorHAnsi" w:eastAsia="Times New Roman" w:hAnsiTheme="minorHAnsi" w:cstheme="minorHAnsi"/>
          <w:b/>
          <w:i/>
          <w:sz w:val="17"/>
          <w:szCs w:val="17"/>
          <w:lang w:eastAsia="pt-BR"/>
        </w:rPr>
      </w:pPr>
      <w:r w:rsidRPr="001E6E9D">
        <w:rPr>
          <w:rFonts w:asciiTheme="minorHAnsi" w:eastAsia="Times New Roman" w:hAnsiTheme="minorHAnsi" w:cstheme="minorHAnsi"/>
          <w:b/>
          <w:bCs/>
          <w:sz w:val="17"/>
          <w:szCs w:val="17"/>
          <w:lang w:eastAsia="pt-BR"/>
        </w:rPr>
        <w:t>(iv)</w:t>
      </w:r>
      <w:r w:rsidRPr="001E6E9D">
        <w:rPr>
          <w:rFonts w:asciiTheme="minorHAnsi" w:eastAsia="Times New Roman" w:hAnsiTheme="minorHAnsi" w:cstheme="minorHAnsi"/>
          <w:sz w:val="17"/>
          <w:szCs w:val="17"/>
          <w:lang w:eastAsia="pt-BR"/>
        </w:rPr>
        <w:t xml:space="preserve"> </w:t>
      </w:r>
      <w:r w:rsidR="000568D3" w:rsidRPr="001E6E9D">
        <w:rPr>
          <w:rFonts w:asciiTheme="minorHAnsi" w:eastAsia="Times New Roman" w:hAnsiTheme="minorHAnsi" w:cstheme="minorHAnsi"/>
          <w:sz w:val="17"/>
          <w:szCs w:val="17"/>
          <w:lang w:eastAsia="pt-BR"/>
        </w:rPr>
        <w:tab/>
      </w:r>
      <w:r w:rsidRPr="001E6E9D">
        <w:rPr>
          <w:rFonts w:asciiTheme="minorHAnsi" w:eastAsia="Times New Roman" w:hAnsiTheme="minorHAnsi" w:cstheme="minorHAnsi"/>
          <w:sz w:val="17"/>
          <w:szCs w:val="17"/>
          <w:lang w:eastAsia="pt-BR"/>
        </w:rPr>
        <w:t>Considera-se como mês de atualização o período mensal compreendido entre duas datas de aniversários consecutivas das Debêntures;</w:t>
      </w:r>
    </w:p>
    <w:p w14:paraId="267460EC" w14:textId="77777777" w:rsidR="0053704D" w:rsidRPr="001E6E9D" w:rsidRDefault="0053704D" w:rsidP="00DC7081">
      <w:pPr>
        <w:tabs>
          <w:tab w:val="left" w:pos="1418"/>
        </w:tabs>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(v)</w:t>
      </w:r>
      <w:r w:rsidRPr="001E6E9D">
        <w:rPr>
          <w:rFonts w:asciiTheme="minorHAnsi" w:eastAsia="Times New Roman" w:hAnsiTheme="minorHAnsi" w:cstheme="minorHAnsi"/>
          <w:sz w:val="17"/>
          <w:szCs w:val="17"/>
          <w:lang w:eastAsia="pt-BR"/>
        </w:rPr>
        <w:t xml:space="preserve"> </w:t>
      </w:r>
      <w:r w:rsidR="000568D3" w:rsidRPr="001E6E9D">
        <w:rPr>
          <w:rFonts w:asciiTheme="minorHAnsi" w:eastAsia="Times New Roman" w:hAnsiTheme="minorHAnsi" w:cstheme="minorHAnsi"/>
          <w:sz w:val="17"/>
          <w:szCs w:val="17"/>
          <w:lang w:eastAsia="pt-BR"/>
        </w:rPr>
        <w:tab/>
      </w:r>
      <w:r w:rsidRPr="001E6E9D">
        <w:rPr>
          <w:rFonts w:asciiTheme="minorHAnsi" w:eastAsia="Times New Roman" w:hAnsiTheme="minorHAnsi" w:cstheme="minorHAnsi"/>
          <w:sz w:val="17"/>
          <w:szCs w:val="17"/>
          <w:lang w:eastAsia="pt-BR"/>
        </w:rPr>
        <w:t xml:space="preserve">O fator resultante da expressão </w:t>
      </w:r>
      <m:oMath>
        <m:d>
          <m:dPr>
            <m:ctrlPr>
              <w:rPr>
                <w:rFonts w:ascii="Cambria Math" w:eastAsia="Times New Roman" w:hAnsi="Cambria Math" w:cstheme="minorHAnsi"/>
                <w:i/>
                <w:sz w:val="17"/>
                <w:szCs w:val="17"/>
                <w:lang w:eastAsia="pt-BR"/>
              </w:rPr>
            </m:ctrlPr>
          </m:dPr>
          <m:e>
            <m:f>
              <m:fPr>
                <m:ctrlPr>
                  <w:rPr>
                    <w:rFonts w:ascii="Cambria Math" w:eastAsia="Times New Roman" w:hAnsi="Cambria Math" w:cstheme="minorHAnsi"/>
                    <w:i/>
                    <w:sz w:val="17"/>
                    <w:szCs w:val="17"/>
                    <w:lang w:eastAsia="pt-BR"/>
                  </w:rPr>
                </m:ctrlPr>
              </m:fPr>
              <m:num>
                <m:sSub>
                  <m:sSubPr>
                    <m:ctrlPr>
                      <w:rPr>
                        <w:rFonts w:ascii="Cambria Math" w:eastAsia="Times New Roman" w:hAnsi="Cambria Math" w:cstheme="minorHAnsi"/>
                        <w:i/>
                        <w:sz w:val="17"/>
                        <w:szCs w:val="17"/>
                        <w:lang w:eastAsia="pt-BR"/>
                      </w:rPr>
                    </m:ctrlPr>
                  </m:sSubPr>
                  <m:e>
                    <m:r>
                      <w:rPr>
                        <w:rFonts w:ascii="Cambria Math" w:eastAsia="Times New Roman" w:hAnsi="Cambria Math" w:cstheme="minorHAnsi"/>
                        <w:sz w:val="17"/>
                        <w:szCs w:val="17"/>
                        <w:lang w:eastAsia="pt-BR"/>
                      </w:rPr>
                      <m:t>NI</m:t>
                    </m:r>
                  </m:e>
                  <m:sub>
                    <m:r>
                      <w:rPr>
                        <w:rFonts w:ascii="Cambria Math" w:eastAsia="Times New Roman" w:hAnsi="Cambria Math" w:cstheme="minorHAnsi"/>
                        <w:sz w:val="17"/>
                        <w:szCs w:val="17"/>
                        <w:lang w:eastAsia="pt-BR"/>
                      </w:rPr>
                      <m:t>k</m:t>
                    </m:r>
                  </m:sub>
                </m:sSub>
              </m:num>
              <m:den>
                <m:sSub>
                  <m:sSubPr>
                    <m:ctrlPr>
                      <w:rPr>
                        <w:rFonts w:ascii="Cambria Math" w:eastAsia="Times New Roman" w:hAnsi="Cambria Math" w:cstheme="minorHAnsi"/>
                        <w:i/>
                        <w:sz w:val="17"/>
                        <w:szCs w:val="17"/>
                        <w:lang w:eastAsia="pt-BR"/>
                      </w:rPr>
                    </m:ctrlPr>
                  </m:sSubPr>
                  <m:e>
                    <m:r>
                      <w:rPr>
                        <w:rFonts w:ascii="Cambria Math" w:eastAsia="Times New Roman" w:hAnsi="Cambria Math" w:cstheme="minorHAnsi"/>
                        <w:sz w:val="17"/>
                        <w:szCs w:val="17"/>
                        <w:lang w:eastAsia="pt-BR"/>
                      </w:rPr>
                      <m:t>NI</m:t>
                    </m:r>
                  </m:e>
                  <m:sub>
                    <m:r>
                      <w:rPr>
                        <w:rFonts w:ascii="Cambria Math" w:eastAsia="Times New Roman" w:hAnsi="Cambria Math" w:cstheme="minorHAnsi"/>
                        <w:sz w:val="17"/>
                        <w:szCs w:val="17"/>
                        <w:lang w:eastAsia="pt-BR"/>
                      </w:rPr>
                      <m:t>k-1</m:t>
                    </m:r>
                  </m:sub>
                </m:sSub>
              </m:den>
            </m:f>
          </m:e>
        </m:d>
      </m:oMath>
      <w:r w:rsidRPr="001E6E9D">
        <w:rPr>
          <w:rFonts w:asciiTheme="minorHAnsi" w:eastAsia="Times New Roman" w:hAnsiTheme="minorHAnsi" w:cstheme="minorHAnsi"/>
          <w:sz w:val="17"/>
          <w:szCs w:val="17"/>
          <w:lang w:eastAsia="pt-BR"/>
        </w:rPr>
        <w:t xml:space="preserve"> é considerado com 8 (oito) casas decimais, sem arredondamento;</w:t>
      </w:r>
    </w:p>
    <w:p w14:paraId="59B6FA6D" w14:textId="77777777" w:rsidR="0053704D" w:rsidRPr="001E6E9D" w:rsidRDefault="0053704D" w:rsidP="00DC7081">
      <w:pPr>
        <w:tabs>
          <w:tab w:val="left" w:pos="1418"/>
        </w:tabs>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(vi)</w:t>
      </w:r>
      <w:r w:rsidRPr="001E6E9D">
        <w:rPr>
          <w:rFonts w:asciiTheme="minorHAnsi" w:eastAsia="Times New Roman" w:hAnsiTheme="minorHAnsi" w:cstheme="minorHAnsi"/>
          <w:sz w:val="17"/>
          <w:szCs w:val="17"/>
          <w:lang w:eastAsia="pt-BR"/>
        </w:rPr>
        <w:t xml:space="preserve"> </w:t>
      </w:r>
      <w:r w:rsidR="000568D3" w:rsidRPr="001E6E9D">
        <w:rPr>
          <w:rFonts w:asciiTheme="minorHAnsi" w:eastAsia="Times New Roman" w:hAnsiTheme="minorHAnsi" w:cstheme="minorHAnsi"/>
          <w:sz w:val="17"/>
          <w:szCs w:val="17"/>
          <w:lang w:eastAsia="pt-BR"/>
        </w:rPr>
        <w:tab/>
      </w:r>
      <w:r w:rsidRPr="001E6E9D">
        <w:rPr>
          <w:rFonts w:asciiTheme="minorHAnsi" w:eastAsia="Times New Roman" w:hAnsiTheme="minorHAnsi" w:cstheme="minorHAnsi"/>
          <w:sz w:val="17"/>
          <w:szCs w:val="17"/>
          <w:lang w:eastAsia="pt-BR"/>
        </w:rPr>
        <w:t>O produtório é executado a partir do fator mais recente, acrescentando-se, em seguida, os mais remotos. Os resultados intermediários são calculados com 16 (dezesseis) casas decimais, sem arredondamento; e</w:t>
      </w:r>
    </w:p>
    <w:p w14:paraId="5BB20661" w14:textId="77777777" w:rsidR="003468A1" w:rsidRPr="001E6E9D" w:rsidRDefault="0053704D" w:rsidP="00DC7081">
      <w:pPr>
        <w:tabs>
          <w:tab w:val="left" w:pos="1418"/>
        </w:tabs>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(vii)</w:t>
      </w:r>
      <w:r w:rsidR="008B44F3" w:rsidRPr="001E6E9D">
        <w:rPr>
          <w:rFonts w:asciiTheme="minorHAnsi" w:eastAsia="Times New Roman" w:hAnsiTheme="minorHAnsi" w:cstheme="minorHAnsi"/>
          <w:sz w:val="17"/>
          <w:szCs w:val="17"/>
          <w:lang w:eastAsia="pt-BR"/>
        </w:rPr>
        <w:tab/>
      </w:r>
      <w:r w:rsidRPr="001E6E9D">
        <w:rPr>
          <w:rFonts w:asciiTheme="minorHAnsi" w:eastAsia="Times New Roman" w:hAnsiTheme="minorHAnsi" w:cstheme="minorHAnsi"/>
          <w:sz w:val="17"/>
          <w:szCs w:val="17"/>
          <w:lang w:eastAsia="pt-BR"/>
        </w:rPr>
        <w:t>Os valores dos finais de semana ou feriados serão iguais ao valor do Dia Útil subsequente, apropriando o pro rata do último Dia Útil anterior.</w:t>
      </w:r>
    </w:p>
    <w:p w14:paraId="57ABAED3" w14:textId="58672EF0" w:rsidR="003468A1" w:rsidRPr="001E6E9D" w:rsidRDefault="00680A4C" w:rsidP="00DC7081">
      <w:pPr>
        <w:spacing w:after="140"/>
        <w:ind w:left="1134"/>
        <w:rPr>
          <w:rFonts w:asciiTheme="minorHAnsi" w:eastAsia="Times New Roman" w:hAnsiTheme="minorHAnsi" w:cstheme="minorHAnsi"/>
          <w:bCs/>
          <w:spacing w:val="-4"/>
          <w:sz w:val="17"/>
          <w:szCs w:val="17"/>
          <w:lang w:eastAsia="pt-BR"/>
        </w:rPr>
      </w:pPr>
      <w:r w:rsidRPr="00544D28">
        <w:rPr>
          <w:rFonts w:asciiTheme="minorHAnsi" w:eastAsia="Times New Roman" w:hAnsiTheme="minorHAnsi" w:cstheme="minorHAnsi"/>
          <w:bCs/>
          <w:spacing w:val="-4"/>
          <w:sz w:val="17"/>
          <w:szCs w:val="17"/>
          <w:lang w:eastAsia="pt-BR"/>
        </w:rPr>
        <w:t>No caso de indisponibilidade temporária do IPCA</w:t>
      </w:r>
      <w:r w:rsidRPr="005F4B19">
        <w:rPr>
          <w:rFonts w:asciiTheme="minorHAnsi" w:eastAsia="Times New Roman" w:hAnsiTheme="minorHAnsi" w:cstheme="minorHAnsi"/>
          <w:bCs/>
          <w:spacing w:val="-4"/>
          <w:sz w:val="17"/>
          <w:szCs w:val="17"/>
          <w:lang w:eastAsia="pt-BR"/>
        </w:rPr>
        <w:t xml:space="preserve"> por prazo inferior a 30 (trinta) dias contados da data esperada para sua apuração e/ou divulgação</w:t>
      </w:r>
      <w:r>
        <w:rPr>
          <w:rFonts w:asciiTheme="minorHAnsi" w:eastAsia="Times New Roman" w:hAnsiTheme="minorHAnsi" w:cstheme="minorHAnsi"/>
          <w:bCs/>
          <w:spacing w:val="-4"/>
          <w:sz w:val="17"/>
          <w:szCs w:val="17"/>
          <w:lang w:eastAsia="pt-BR"/>
        </w:rPr>
        <w:t>,</w:t>
      </w:r>
      <w:r w:rsidRPr="005F4B19">
        <w:rPr>
          <w:rFonts w:asciiTheme="minorHAnsi" w:eastAsia="Times New Roman" w:hAnsiTheme="minorHAnsi" w:cstheme="minorHAnsi"/>
          <w:bCs/>
          <w:spacing w:val="-4"/>
          <w:sz w:val="17"/>
          <w:szCs w:val="17"/>
          <w:lang w:eastAsia="pt-BR"/>
        </w:rPr>
        <w:t xml:space="preserve"> </w:t>
      </w:r>
      <w:r w:rsidRPr="00544D28">
        <w:rPr>
          <w:rFonts w:asciiTheme="minorHAnsi" w:eastAsia="Times New Roman" w:hAnsiTheme="minorHAnsi" w:cstheme="minorHAnsi"/>
          <w:bCs/>
          <w:spacing w:val="-4"/>
          <w:sz w:val="17"/>
          <w:szCs w:val="17"/>
          <w:lang w:eastAsia="pt-BR"/>
        </w:rPr>
        <w:t xml:space="preserve">quando do pagamento de qualquer obrigação pecuniária prevista na Escritura de Emissão para as Debêntures, será utilizada, em sua substituição, </w:t>
      </w:r>
      <w:r>
        <w:rPr>
          <w:rFonts w:asciiTheme="minorHAnsi" w:eastAsia="Times New Roman" w:hAnsiTheme="minorHAnsi" w:cstheme="minorHAnsi"/>
          <w:bCs/>
          <w:spacing w:val="-4"/>
          <w:sz w:val="17"/>
          <w:szCs w:val="17"/>
          <w:lang w:eastAsia="pt-BR"/>
        </w:rPr>
        <w:t xml:space="preserve">o último </w:t>
      </w:r>
      <w:r w:rsidRPr="00544D28">
        <w:rPr>
          <w:rFonts w:asciiTheme="minorHAnsi" w:eastAsia="Times New Roman" w:hAnsiTheme="minorHAnsi" w:cstheme="minorHAnsi"/>
          <w:bCs/>
          <w:spacing w:val="-4"/>
          <w:sz w:val="17"/>
          <w:szCs w:val="17"/>
          <w:lang w:eastAsia="pt-BR"/>
        </w:rPr>
        <w:t>IPCA</w:t>
      </w:r>
      <w:r>
        <w:rPr>
          <w:rFonts w:asciiTheme="minorHAnsi" w:eastAsia="Times New Roman" w:hAnsiTheme="minorHAnsi" w:cstheme="minorHAnsi"/>
          <w:bCs/>
          <w:spacing w:val="-4"/>
          <w:sz w:val="17"/>
          <w:szCs w:val="17"/>
          <w:lang w:eastAsia="pt-BR"/>
        </w:rPr>
        <w:t xml:space="preserve"> divulgado pelo número de dias necessários até a data do </w:t>
      </w:r>
      <w:r>
        <w:rPr>
          <w:rFonts w:asciiTheme="minorHAnsi" w:eastAsia="Times New Roman" w:hAnsiTheme="minorHAnsi" w:cstheme="minorHAnsi"/>
          <w:bCs/>
          <w:spacing w:val="-4"/>
          <w:sz w:val="17"/>
          <w:szCs w:val="17"/>
          <w:lang w:eastAsia="pt-BR"/>
        </w:rPr>
        <w:lastRenderedPageBreak/>
        <w:t>cálculo</w:t>
      </w:r>
      <w:r w:rsidRPr="00544D28">
        <w:rPr>
          <w:rFonts w:asciiTheme="minorHAnsi" w:eastAsia="Times New Roman" w:hAnsiTheme="minorHAnsi" w:cstheme="minorHAnsi"/>
          <w:bCs/>
          <w:spacing w:val="-4"/>
          <w:sz w:val="17"/>
          <w:szCs w:val="17"/>
          <w:lang w:eastAsia="pt-BR"/>
        </w:rPr>
        <w:t>, não sendo devidas quaisquer compensações financeiras, tanto por parte da Emissora quanto pelos Debenturistas, quando da divulgação posterior do IPCA</w:t>
      </w:r>
      <w:r w:rsidR="0053704D" w:rsidRPr="001E6E9D">
        <w:rPr>
          <w:rFonts w:asciiTheme="minorHAnsi" w:eastAsia="Times New Roman" w:hAnsiTheme="minorHAnsi" w:cstheme="minorHAnsi"/>
          <w:bCs/>
          <w:spacing w:val="-4"/>
          <w:sz w:val="17"/>
          <w:szCs w:val="17"/>
          <w:lang w:eastAsia="pt-BR"/>
        </w:rPr>
        <w:t>.</w:t>
      </w:r>
    </w:p>
    <w:p w14:paraId="705EAA98" w14:textId="031C16EF" w:rsidR="003468A1" w:rsidRPr="001E6E9D" w:rsidRDefault="00680A4C" w:rsidP="00DC7081">
      <w:pPr>
        <w:spacing w:after="140"/>
        <w:ind w:left="1134"/>
        <w:rPr>
          <w:rFonts w:asciiTheme="minorHAnsi" w:eastAsia="Times New Roman" w:hAnsiTheme="minorHAnsi" w:cstheme="minorHAnsi"/>
          <w:sz w:val="17"/>
          <w:szCs w:val="17"/>
          <w:lang w:eastAsia="pt-BR"/>
        </w:rPr>
      </w:pPr>
      <w:r w:rsidRPr="009A41F9">
        <w:rPr>
          <w:rFonts w:asciiTheme="minorHAnsi" w:eastAsia="Times New Roman" w:hAnsiTheme="minorHAnsi" w:cstheme="minorHAnsi"/>
          <w:bCs/>
          <w:sz w:val="17"/>
          <w:szCs w:val="17"/>
          <w:lang w:eastAsia="pt-BR"/>
        </w:rPr>
        <w:t>Na ausência de apuração e/ou divulgação do IPCA por prazo superior a 30 (trinta) dias contados da data esperada para sua apuração e/ou divulgação (</w:t>
      </w:r>
      <w:r>
        <w:rPr>
          <w:rFonts w:asciiTheme="minorHAnsi" w:eastAsia="Times New Roman" w:hAnsiTheme="minorHAnsi" w:cstheme="minorHAnsi"/>
          <w:bCs/>
          <w:sz w:val="17"/>
          <w:szCs w:val="17"/>
          <w:lang w:eastAsia="pt-BR"/>
        </w:rPr>
        <w:t>“</w:t>
      </w:r>
      <w:r w:rsidRPr="009A41F9">
        <w:rPr>
          <w:rFonts w:asciiTheme="minorHAnsi" w:eastAsia="Times New Roman" w:hAnsiTheme="minorHAnsi" w:cstheme="minorHAnsi"/>
          <w:b/>
          <w:sz w:val="17"/>
          <w:szCs w:val="17"/>
          <w:lang w:eastAsia="pt-BR"/>
        </w:rPr>
        <w:t>Período de Ausência do IPCA</w:t>
      </w:r>
      <w:r w:rsidRPr="009A41F9">
        <w:rPr>
          <w:rFonts w:asciiTheme="minorHAnsi" w:eastAsia="Times New Roman" w:hAnsiTheme="minorHAnsi" w:cstheme="minorHAnsi"/>
          <w:bCs/>
          <w:sz w:val="17"/>
          <w:szCs w:val="17"/>
          <w:lang w:eastAsia="pt-BR"/>
        </w:rPr>
        <w:t xml:space="preserve">”) ou, ainda, na hipótese de extinção ou inaplicabilidade por disposição legal ou determinação judicial, o IPCA deverá ser substituído pelo seu substituto legal ou, no caso de inexistir substituto legal para o IPCA, o Agente Fiduciário deverá, no prazo máximo de até </w:t>
      </w:r>
      <w:r>
        <w:rPr>
          <w:rFonts w:asciiTheme="minorHAnsi" w:eastAsia="Times New Roman" w:hAnsiTheme="minorHAnsi" w:cstheme="minorHAnsi"/>
          <w:bCs/>
          <w:sz w:val="17"/>
          <w:szCs w:val="17"/>
          <w:lang w:eastAsia="pt-BR"/>
        </w:rPr>
        <w:t>5</w:t>
      </w:r>
      <w:r w:rsidRPr="009A41F9">
        <w:rPr>
          <w:rFonts w:asciiTheme="minorHAnsi" w:eastAsia="Times New Roman" w:hAnsiTheme="minorHAnsi" w:cstheme="minorHAnsi"/>
          <w:bCs/>
          <w:sz w:val="17"/>
          <w:szCs w:val="17"/>
          <w:lang w:eastAsia="pt-BR"/>
        </w:rPr>
        <w:t xml:space="preserve"> (</w:t>
      </w:r>
      <w:r>
        <w:rPr>
          <w:rFonts w:asciiTheme="minorHAnsi" w:eastAsia="Times New Roman" w:hAnsiTheme="minorHAnsi" w:cstheme="minorHAnsi"/>
          <w:bCs/>
          <w:sz w:val="17"/>
          <w:szCs w:val="17"/>
          <w:lang w:eastAsia="pt-BR"/>
        </w:rPr>
        <w:t>cinco</w:t>
      </w:r>
      <w:r w:rsidRPr="009A41F9">
        <w:rPr>
          <w:rFonts w:asciiTheme="minorHAnsi" w:eastAsia="Times New Roman" w:hAnsiTheme="minorHAnsi" w:cstheme="minorHAnsi"/>
          <w:bCs/>
          <w:sz w:val="17"/>
          <w:szCs w:val="17"/>
          <w:lang w:eastAsia="pt-BR"/>
        </w:rPr>
        <w:t xml:space="preserve">) Dias Úteis </w:t>
      </w:r>
      <w:r w:rsidR="0053704D" w:rsidRPr="001E6E9D">
        <w:rPr>
          <w:rFonts w:asciiTheme="minorHAnsi" w:eastAsia="Times New Roman" w:hAnsiTheme="minorHAnsi" w:cstheme="minorHAnsi"/>
          <w:bCs/>
          <w:sz w:val="17"/>
          <w:szCs w:val="17"/>
          <w:lang w:eastAsia="pt-BR"/>
        </w:rPr>
        <w:t xml:space="preserve">a contar do final do Período de Ausência do IPCA ou do evento de extinção ou inaplicabilidade, conforme o caso, convocar assembleia geral entre os Debenturistas, de acordo com o artigo 71 da LSA e da Resolução da CVM </w:t>
      </w:r>
      <w:r w:rsidR="000D5E35" w:rsidRPr="001E6E9D">
        <w:rPr>
          <w:rFonts w:asciiTheme="minorHAnsi" w:eastAsia="Times New Roman" w:hAnsiTheme="minorHAnsi" w:cstheme="minorHAnsi"/>
          <w:bCs/>
          <w:sz w:val="17"/>
          <w:szCs w:val="17"/>
          <w:lang w:eastAsia="pt-BR"/>
        </w:rPr>
        <w:t>nº</w:t>
      </w:r>
      <w:r w:rsidR="0053704D" w:rsidRPr="001E6E9D">
        <w:rPr>
          <w:rFonts w:asciiTheme="minorHAnsi" w:eastAsia="Times New Roman" w:hAnsiTheme="minorHAnsi" w:cstheme="minorHAnsi"/>
          <w:bCs/>
          <w:sz w:val="17"/>
          <w:szCs w:val="17"/>
          <w:lang w:eastAsia="pt-BR"/>
        </w:rPr>
        <w:t xml:space="preserve"> 81, de 29 de março de 2022, conforme em vigor (</w:t>
      </w:r>
      <w:r w:rsidR="000D5E35" w:rsidRPr="001E6E9D">
        <w:rPr>
          <w:rFonts w:asciiTheme="minorHAnsi" w:eastAsia="Times New Roman" w:hAnsiTheme="minorHAnsi" w:cstheme="minorHAnsi"/>
          <w:bCs/>
          <w:sz w:val="17"/>
          <w:szCs w:val="17"/>
          <w:lang w:eastAsia="pt-BR"/>
        </w:rPr>
        <w:t>“</w:t>
      </w:r>
      <w:r w:rsidR="0053704D" w:rsidRPr="001E6E9D">
        <w:rPr>
          <w:rFonts w:asciiTheme="minorHAnsi" w:eastAsia="Times New Roman" w:hAnsiTheme="minorHAnsi" w:cstheme="minorHAnsi"/>
          <w:b/>
          <w:sz w:val="17"/>
          <w:szCs w:val="17"/>
          <w:lang w:eastAsia="pt-BR"/>
        </w:rPr>
        <w:t>Assembleia Geral de Debenturistas</w:t>
      </w:r>
      <w:r w:rsidR="0053704D" w:rsidRPr="001E6E9D">
        <w:rPr>
          <w:rFonts w:asciiTheme="minorHAnsi" w:eastAsia="Times New Roman" w:hAnsiTheme="minorHAnsi" w:cstheme="minorHAnsi"/>
          <w:bCs/>
          <w:sz w:val="17"/>
          <w:szCs w:val="17"/>
          <w:lang w:eastAsia="pt-BR"/>
        </w:rPr>
        <w:t>”), na forma e nos prazos estipulados no artigo 124 da LSA e na Escritura de Emissão, conforme definidos na Cláusula 9 da Escritura de Emissão, para os Debenturistas definirem, de comum acordo com a Emissora, observada a regulamentação aplicável, o novo parâmetro a ser aplicado, o qual deverá refletir parâmetros utilizados em operações similares existentes à época (</w:t>
      </w:r>
      <w:r w:rsidR="000D5E35" w:rsidRPr="001E6E9D">
        <w:rPr>
          <w:rFonts w:asciiTheme="minorHAnsi" w:eastAsia="Times New Roman" w:hAnsiTheme="minorHAnsi" w:cstheme="minorHAnsi"/>
          <w:bCs/>
          <w:sz w:val="17"/>
          <w:szCs w:val="17"/>
          <w:lang w:eastAsia="pt-BR"/>
        </w:rPr>
        <w:t>“</w:t>
      </w:r>
      <w:r w:rsidR="0053704D" w:rsidRPr="001E6E9D">
        <w:rPr>
          <w:rFonts w:asciiTheme="minorHAnsi" w:eastAsia="Times New Roman" w:hAnsiTheme="minorHAnsi" w:cstheme="minorHAnsi"/>
          <w:b/>
          <w:sz w:val="17"/>
          <w:szCs w:val="17"/>
          <w:lang w:eastAsia="pt-BR"/>
        </w:rPr>
        <w:t>Taxa Substitutiva</w:t>
      </w:r>
      <w:r w:rsidR="0053704D" w:rsidRPr="001E6E9D">
        <w:rPr>
          <w:rFonts w:asciiTheme="minorHAnsi" w:eastAsia="Times New Roman" w:hAnsiTheme="minorHAnsi" w:cstheme="minorHAnsi"/>
          <w:bCs/>
          <w:sz w:val="17"/>
          <w:szCs w:val="17"/>
          <w:lang w:eastAsia="pt-BR"/>
        </w:rPr>
        <w:t>”). Até a deliberação desse parâmetro será utilizada, para o cálculo do valor de quaisquer obrigações pecuniárias previstas na Escritura de Emissão, as projeções ANBIMA para o IPCA, coletadas junto ao CAM-ANBIMA, não sendo devidas quaisquer compensações financeiras, multas ou penalidades, tanto por parte da Emissora quanto pelos Debenturistas, quando da divulgação posterior</w:t>
      </w:r>
      <w:r w:rsidR="009A22ED" w:rsidRPr="001E6E9D">
        <w:rPr>
          <w:rFonts w:asciiTheme="minorHAnsi" w:eastAsia="Times New Roman" w:hAnsiTheme="minorHAnsi" w:cstheme="minorHAnsi"/>
          <w:bCs/>
          <w:sz w:val="17"/>
          <w:szCs w:val="17"/>
          <w:lang w:eastAsia="pt-BR"/>
        </w:rPr>
        <w:t xml:space="preserve"> </w:t>
      </w:r>
      <w:r w:rsidR="0053704D" w:rsidRPr="001E6E9D">
        <w:rPr>
          <w:rFonts w:asciiTheme="minorHAnsi" w:eastAsia="Times New Roman" w:hAnsiTheme="minorHAnsi" w:cstheme="minorHAnsi"/>
          <w:bCs/>
          <w:sz w:val="17"/>
          <w:szCs w:val="17"/>
          <w:lang w:eastAsia="pt-BR"/>
        </w:rPr>
        <w:t>do IPCA</w:t>
      </w:r>
      <w:r w:rsidR="0053704D" w:rsidRPr="001E6E9D">
        <w:rPr>
          <w:rFonts w:asciiTheme="minorHAnsi" w:eastAsia="Times New Roman" w:hAnsiTheme="minorHAnsi" w:cstheme="minorHAnsi"/>
          <w:sz w:val="17"/>
          <w:szCs w:val="17"/>
          <w:lang w:eastAsia="pt-BR"/>
        </w:rPr>
        <w:t xml:space="preserve">. </w:t>
      </w:r>
    </w:p>
    <w:p w14:paraId="7AC3702B" w14:textId="77777777" w:rsidR="003468A1" w:rsidRPr="001E6E9D" w:rsidRDefault="0053704D" w:rsidP="00DC7081">
      <w:pPr>
        <w:spacing w:after="140"/>
        <w:ind w:left="1134"/>
        <w:rPr>
          <w:rFonts w:asciiTheme="minorHAnsi" w:eastAsia="Times New Roman" w:hAnsiTheme="minorHAnsi" w:cstheme="minorHAnsi"/>
          <w:bCs/>
          <w:sz w:val="17"/>
          <w:szCs w:val="17"/>
          <w:lang w:eastAsia="pt-BR"/>
        </w:rPr>
      </w:pPr>
      <w:bookmarkStart w:id="58" w:name="_Toc367387585"/>
      <w:r w:rsidRPr="001E6E9D">
        <w:rPr>
          <w:rFonts w:asciiTheme="minorHAnsi" w:eastAsia="Times New Roman" w:hAnsiTheme="minorHAnsi" w:cstheme="minorHAnsi"/>
          <w:bCs/>
          <w:sz w:val="17"/>
          <w:szCs w:val="17"/>
          <w:lang w:eastAsia="pt-BR"/>
        </w:rPr>
        <w:t>Caso o IPCA venha a ser divulgado antes da realização da Assembleia Geral de Debenturistas, a referida Assembleia Geral de Debenturistas não será mais realizada, e o IPCA a partir de sua divulgação, voltará a ser utilizado para o cálculo do Valor Nominal Atualizado desde o dia de sua indisponibilidade, não sendo devidas quaisquer compensações financeiras, tanto por parte da Emissora, quanto pelos Debenturistas.</w:t>
      </w:r>
    </w:p>
    <w:p w14:paraId="36B311A4" w14:textId="213F972B" w:rsidR="003468A1" w:rsidRPr="001E6E9D" w:rsidRDefault="0053704D" w:rsidP="00DC7081">
      <w:pPr>
        <w:spacing w:after="140"/>
        <w:ind w:left="1134"/>
        <w:rPr>
          <w:rFonts w:asciiTheme="minorHAnsi" w:eastAsia="Times New Roman" w:hAnsiTheme="minorHAnsi" w:cstheme="minorHAnsi"/>
          <w:bCs/>
          <w:spacing w:val="2"/>
          <w:sz w:val="17"/>
          <w:szCs w:val="17"/>
          <w:lang w:eastAsia="pt-BR"/>
        </w:rPr>
      </w:pPr>
      <w:r w:rsidRPr="001E6E9D">
        <w:rPr>
          <w:rFonts w:asciiTheme="minorHAnsi" w:eastAsia="Times New Roman" w:hAnsiTheme="minorHAnsi" w:cstheme="minorHAnsi"/>
          <w:bCs/>
          <w:spacing w:val="2"/>
          <w:sz w:val="17"/>
          <w:szCs w:val="17"/>
          <w:lang w:eastAsia="pt-BR"/>
        </w:rPr>
        <w:t xml:space="preserve">Caso não haja acordo sobre a Taxa Substitutiva entre a Emissora e os Debenturistas representando: </w:t>
      </w:r>
      <w:r w:rsidR="00C26405" w:rsidRPr="001E6E9D">
        <w:rPr>
          <w:rFonts w:asciiTheme="minorHAnsi" w:hAnsiTheme="minorHAnsi" w:cstheme="minorHAnsi"/>
          <w:iCs/>
          <w:sz w:val="17"/>
          <w:szCs w:val="17"/>
        </w:rPr>
        <w:t>(</w:t>
      </w:r>
      <w:r w:rsidR="00C26405" w:rsidRPr="001E6E9D">
        <w:rPr>
          <w:rFonts w:asciiTheme="minorHAnsi" w:eastAsia="Arial Unicode MS" w:hAnsiTheme="minorHAnsi" w:cstheme="minorHAnsi"/>
          <w:sz w:val="17"/>
          <w:szCs w:val="17"/>
        </w:rPr>
        <w:t>a) em primeira convocação, por Debenturistas que representam, no mínimo, 50% (cinquenta por cento) mais um das Debêntures em Circulação (conforme abaixo definido); e (b) em segunda convocação, por Debenturistas que representam, no mínimo, 50% (cinquenta por cento) mais um dos presentes na Assembleias Gerais de Debenturistas instalada em segunda convocação, desde que estejam presentes, no mínimo, 25% (vinte e cinco por cento) das Debêntures em Circulação</w:t>
      </w:r>
      <w:r w:rsidR="00C26405" w:rsidRPr="001E6E9D">
        <w:rPr>
          <w:rFonts w:asciiTheme="minorHAnsi" w:hAnsiTheme="minorHAnsi" w:cstheme="minorHAnsi"/>
          <w:iCs/>
          <w:sz w:val="17"/>
          <w:szCs w:val="17"/>
        </w:rPr>
        <w:t xml:space="preserve">, ou, </w:t>
      </w:r>
      <w:r w:rsidR="00C26405" w:rsidRPr="001E6E9D">
        <w:rPr>
          <w:rFonts w:asciiTheme="minorHAnsi" w:hAnsiTheme="minorHAnsi" w:cstheme="minorHAnsi"/>
          <w:snapToGrid w:val="0"/>
          <w:sz w:val="17"/>
          <w:szCs w:val="17"/>
        </w:rPr>
        <w:t>ainda, caso não haja quórum de instalação em segunda convocação, a Emissora deverá (i)</w:t>
      </w:r>
      <w:r w:rsidR="00C26405" w:rsidRPr="001E6E9D">
        <w:rPr>
          <w:rFonts w:asciiTheme="minorHAnsi" w:hAnsiTheme="minorHAnsi" w:cstheme="minorHAnsi"/>
          <w:sz w:val="17"/>
          <w:szCs w:val="17"/>
        </w:rPr>
        <w:t> </w:t>
      </w:r>
      <w:r w:rsidR="00C26405" w:rsidRPr="001E6E9D">
        <w:rPr>
          <w:rFonts w:asciiTheme="minorHAnsi" w:hAnsiTheme="minorHAnsi" w:cstheme="minorHAnsi"/>
          <w:bCs/>
          <w:sz w:val="17"/>
          <w:szCs w:val="17"/>
        </w:rPr>
        <w:t xml:space="preserve">desde que atendidas as exigências previstas na Lei 12.431, na </w:t>
      </w:r>
      <w:bookmarkStart w:id="59" w:name="_Hlk50468013"/>
      <w:bookmarkStart w:id="60" w:name="_Hlk50506070"/>
      <w:r w:rsidR="00C26405" w:rsidRPr="001E6E9D">
        <w:rPr>
          <w:rFonts w:asciiTheme="minorHAnsi" w:hAnsiTheme="minorHAnsi" w:cstheme="minorHAnsi"/>
          <w:bCs/>
          <w:sz w:val="17"/>
          <w:szCs w:val="17"/>
        </w:rPr>
        <w:t xml:space="preserve">Resolução </w:t>
      </w:r>
      <w:bookmarkStart w:id="61" w:name="_Hlk50471570"/>
      <w:r w:rsidR="00C26405" w:rsidRPr="001E6E9D">
        <w:rPr>
          <w:rFonts w:asciiTheme="minorHAnsi" w:hAnsiTheme="minorHAnsi" w:cstheme="minorHAnsi"/>
          <w:bCs/>
          <w:sz w:val="17"/>
          <w:szCs w:val="17"/>
        </w:rPr>
        <w:t>do CMN 4.751</w:t>
      </w:r>
      <w:bookmarkEnd w:id="59"/>
      <w:bookmarkEnd w:id="60"/>
      <w:bookmarkEnd w:id="61"/>
      <w:r w:rsidR="00C26405" w:rsidRPr="001E6E9D">
        <w:rPr>
          <w:rFonts w:asciiTheme="minorHAnsi" w:hAnsiTheme="minorHAnsi" w:cstheme="minorHAnsi"/>
          <w:bCs/>
          <w:sz w:val="17"/>
          <w:szCs w:val="17"/>
        </w:rPr>
        <w:t xml:space="preserve">, e nas demais regulamentações aplicáveis, inclusive em relação ao prazo mínimo para o referido resgate antecipado, </w:t>
      </w:r>
      <w:r w:rsidR="00C26405" w:rsidRPr="001E6E9D">
        <w:rPr>
          <w:rFonts w:asciiTheme="minorHAnsi" w:hAnsiTheme="minorHAnsi" w:cstheme="minorHAnsi"/>
          <w:snapToGrid w:val="0"/>
          <w:sz w:val="17"/>
          <w:szCs w:val="17"/>
        </w:rPr>
        <w:t xml:space="preserve">resgatar antecipadamente a totalidade das Debêntures, </w:t>
      </w:r>
      <w:r w:rsidR="00C26405" w:rsidRPr="001E6E9D">
        <w:rPr>
          <w:rFonts w:asciiTheme="minorHAnsi" w:hAnsiTheme="minorHAnsi" w:cstheme="minorHAnsi"/>
          <w:bCs/>
          <w:sz w:val="17"/>
          <w:szCs w:val="17"/>
        </w:rPr>
        <w:t xml:space="preserve">com o consequente cancelamento das Debêntures, </w:t>
      </w:r>
      <w:r w:rsidR="00C26405" w:rsidRPr="001E6E9D">
        <w:rPr>
          <w:rFonts w:asciiTheme="minorHAnsi" w:hAnsiTheme="minorHAnsi" w:cstheme="minorHAnsi"/>
          <w:snapToGrid w:val="0"/>
          <w:sz w:val="17"/>
          <w:szCs w:val="17"/>
        </w:rPr>
        <w:t xml:space="preserve">sem multa ou prêmio de qualquer natureza, no prazo de </w:t>
      </w:r>
      <w:r w:rsidR="00C26405" w:rsidRPr="001E6E9D">
        <w:rPr>
          <w:rFonts w:asciiTheme="minorHAnsi" w:hAnsiTheme="minorHAnsi" w:cstheme="minorHAnsi"/>
          <w:snapToGrid w:val="0"/>
          <w:sz w:val="17"/>
          <w:szCs w:val="17"/>
          <w:shd w:val="clear" w:color="auto" w:fill="FFFFFF" w:themeFill="background1"/>
        </w:rPr>
        <w:t>30 (trinta)</w:t>
      </w:r>
      <w:r w:rsidR="00C26405" w:rsidRPr="001E6E9D">
        <w:rPr>
          <w:rFonts w:asciiTheme="minorHAnsi" w:hAnsiTheme="minorHAnsi" w:cstheme="minorHAnsi"/>
          <w:snapToGrid w:val="0"/>
          <w:sz w:val="17"/>
          <w:szCs w:val="17"/>
        </w:rPr>
        <w:t xml:space="preserve"> dias contados da data da realização da respectiva Assembleia Geral de Debenturistas ou da data em que esta deveria ter sido realizada</w:t>
      </w:r>
      <w:r w:rsidR="00C26405" w:rsidRPr="001E6E9D">
        <w:rPr>
          <w:rFonts w:asciiTheme="minorHAnsi" w:hAnsiTheme="minorHAnsi" w:cstheme="minorHAnsi"/>
          <w:snapToGrid w:val="0"/>
          <w:sz w:val="17"/>
          <w:szCs w:val="17"/>
          <w:shd w:val="clear" w:color="auto" w:fill="FFFFFF" w:themeFill="background1"/>
        </w:rPr>
        <w:t>,</w:t>
      </w:r>
      <w:r w:rsidR="00C26405" w:rsidRPr="001E6E9D">
        <w:rPr>
          <w:rFonts w:asciiTheme="minorHAnsi" w:hAnsiTheme="minorHAnsi" w:cstheme="minorHAnsi"/>
          <w:snapToGrid w:val="0"/>
          <w:sz w:val="17"/>
          <w:szCs w:val="17"/>
        </w:rPr>
        <w:t xml:space="preserve"> ou na Data de Vencimento, caso esta ocorra primeiro </w:t>
      </w:r>
      <w:r w:rsidR="00C26405" w:rsidRPr="001E6E9D">
        <w:rPr>
          <w:rFonts w:asciiTheme="minorHAnsi" w:hAnsiTheme="minorHAnsi" w:cstheme="minorHAnsi"/>
          <w:snapToGrid w:val="0"/>
          <w:sz w:val="17"/>
          <w:szCs w:val="17"/>
          <w:shd w:val="clear" w:color="auto" w:fill="FFFFFF" w:themeFill="background1"/>
        </w:rPr>
        <w:t>ou, ainda</w:t>
      </w:r>
      <w:r w:rsidR="00C26405" w:rsidRPr="001E6E9D">
        <w:rPr>
          <w:rFonts w:asciiTheme="minorHAnsi" w:hAnsiTheme="minorHAnsi" w:cstheme="minorHAnsi"/>
          <w:snapToGrid w:val="0"/>
          <w:sz w:val="17"/>
          <w:szCs w:val="17"/>
        </w:rPr>
        <w:t xml:space="preserve">, </w:t>
      </w:r>
      <w:r w:rsidR="00C26405" w:rsidRPr="001E6E9D">
        <w:rPr>
          <w:rFonts w:asciiTheme="minorHAnsi" w:hAnsiTheme="minorHAnsi" w:cstheme="minorHAnsi"/>
          <w:snapToGrid w:val="0"/>
          <w:sz w:val="17"/>
          <w:szCs w:val="17"/>
          <w:shd w:val="clear" w:color="auto" w:fill="FFFFFF" w:themeFill="background1"/>
        </w:rPr>
        <w:t>em prazo a ser definido pelos Debenturistas, de comum acordo com a Emissora</w:t>
      </w:r>
      <w:r w:rsidR="00C26405" w:rsidRPr="001E6E9D">
        <w:rPr>
          <w:rFonts w:asciiTheme="minorHAnsi" w:hAnsiTheme="minorHAnsi" w:cstheme="minorHAnsi"/>
          <w:snapToGrid w:val="0"/>
          <w:sz w:val="17"/>
          <w:szCs w:val="17"/>
        </w:rPr>
        <w:t>, no âmbito da respectiva Assembleia Geral de Debenturistas, pelo Valor Nominal Atualizado, acrescido dos Juros Remuneratórios (conforme definido abaixo)</w:t>
      </w:r>
      <w:r w:rsidR="00C26405" w:rsidRPr="001E6E9D">
        <w:rPr>
          <w:rFonts w:asciiTheme="minorHAnsi" w:hAnsiTheme="minorHAnsi" w:cstheme="minorHAnsi"/>
          <w:sz w:val="17"/>
          <w:szCs w:val="17"/>
        </w:rPr>
        <w:t>, devidos</w:t>
      </w:r>
      <w:r w:rsidR="00C26405" w:rsidRPr="001E6E9D">
        <w:rPr>
          <w:rFonts w:asciiTheme="minorHAnsi" w:hAnsiTheme="minorHAnsi" w:cstheme="minorHAnsi"/>
          <w:snapToGrid w:val="0"/>
          <w:sz w:val="17"/>
          <w:szCs w:val="17"/>
        </w:rPr>
        <w:t xml:space="preserve"> até a data do efetivo resgate, calculados </w:t>
      </w:r>
      <w:r w:rsidR="00C26405" w:rsidRPr="001E6E9D">
        <w:rPr>
          <w:rFonts w:asciiTheme="minorHAnsi" w:hAnsiTheme="minorHAnsi" w:cstheme="minorHAnsi"/>
          <w:i/>
          <w:snapToGrid w:val="0"/>
          <w:sz w:val="17"/>
          <w:szCs w:val="17"/>
        </w:rPr>
        <w:t>pro rata temporis</w:t>
      </w:r>
      <w:r w:rsidR="00C26405" w:rsidRPr="001E6E9D">
        <w:rPr>
          <w:rFonts w:asciiTheme="minorHAnsi" w:hAnsiTheme="minorHAnsi" w:cstheme="minorHAnsi"/>
          <w:snapToGrid w:val="0"/>
          <w:sz w:val="17"/>
          <w:szCs w:val="17"/>
        </w:rPr>
        <w:t>, a partir da Data de Início da Rentabilidade ou da Data de Pagamento dos Juros Remuneratórios (conforme abaixo definido) imediatamente anterior,</w:t>
      </w:r>
      <w:r w:rsidR="00C26405" w:rsidRPr="001E6E9D">
        <w:rPr>
          <w:rFonts w:asciiTheme="minorHAnsi" w:hAnsiTheme="minorHAnsi" w:cstheme="minorHAnsi"/>
          <w:snapToGrid w:val="0"/>
          <w:sz w:val="17"/>
          <w:szCs w:val="17"/>
          <w:shd w:val="clear" w:color="auto" w:fill="FFFFFF" w:themeFill="background1"/>
        </w:rPr>
        <w:t xml:space="preserve"> conforme o caso; </w:t>
      </w:r>
      <w:r w:rsidR="00C26405" w:rsidRPr="001E6E9D">
        <w:rPr>
          <w:rFonts w:asciiTheme="minorHAnsi" w:hAnsiTheme="minorHAnsi" w:cstheme="minorHAnsi"/>
          <w:bCs/>
          <w:sz w:val="17"/>
          <w:szCs w:val="17"/>
        </w:rPr>
        <w:t xml:space="preserve">ou </w:t>
      </w:r>
      <w:r w:rsidR="00C26405" w:rsidRPr="001E6E9D">
        <w:rPr>
          <w:rFonts w:asciiTheme="minorHAnsi" w:hAnsiTheme="minorHAnsi" w:cstheme="minorHAnsi"/>
          <w:snapToGrid w:val="0"/>
          <w:sz w:val="17"/>
          <w:szCs w:val="17"/>
        </w:rPr>
        <w:t>(ii)</w:t>
      </w:r>
      <w:r w:rsidR="00C26405" w:rsidRPr="001E6E9D">
        <w:rPr>
          <w:rFonts w:asciiTheme="minorHAnsi" w:hAnsiTheme="minorHAnsi" w:cstheme="minorHAnsi"/>
          <w:bCs/>
          <w:sz w:val="17"/>
          <w:szCs w:val="17"/>
        </w:rPr>
        <w:t xml:space="preserve"> caso não sejam atendidas as exigências para a realização do resgate antecipado das Debêntures, nos termos da Lei 12.431, da Resolução CMN 4.751 e das demais regulamentações aplicáveis, resgatar a totalidade das Debêntures, com o consequente cancelamento das Debêntures, no prazo de até 30 (trinta) dias contados da data em que se torne legalmente permitido à Emissora realizar o resgate antecipado das Debêntures, nos termos da Lei 12.431, da Resolução CMN 4.751 e das demais regulamentações aplicáveis, pelo valor indicado no item (i) acima</w:t>
      </w:r>
      <w:r w:rsidR="00C26405" w:rsidRPr="001E6E9D">
        <w:rPr>
          <w:rFonts w:asciiTheme="minorHAnsi" w:hAnsiTheme="minorHAnsi" w:cstheme="minorHAnsi"/>
          <w:snapToGrid w:val="0"/>
          <w:sz w:val="17"/>
          <w:szCs w:val="17"/>
        </w:rPr>
        <w:t>. Para cálculo da Atualização Monetária e dos Juros Remuneratórios das Debêntures a serem resgatadas e, consequentemente, canceladas, para cada dia do período de ausência do IPCA serão utilizadas as projeções ANBIMA para o IPCA, coletadas junto ao Comitê de Acompanhamento da ANBIMA</w:t>
      </w:r>
      <w:r w:rsidRPr="001E6E9D">
        <w:rPr>
          <w:rFonts w:asciiTheme="minorHAnsi" w:eastAsia="Times New Roman" w:hAnsiTheme="minorHAnsi" w:cstheme="minorHAnsi"/>
          <w:bCs/>
          <w:spacing w:val="2"/>
          <w:sz w:val="17"/>
          <w:szCs w:val="17"/>
          <w:lang w:eastAsia="pt-BR"/>
        </w:rPr>
        <w:t>.</w:t>
      </w:r>
      <w:bookmarkEnd w:id="58"/>
    </w:p>
    <w:p w14:paraId="0EB88956" w14:textId="283553BF" w:rsidR="0053704D" w:rsidRPr="001E6E9D" w:rsidRDefault="00C26405" w:rsidP="00DC7081">
      <w:pPr>
        <w:spacing w:after="140"/>
        <w:ind w:left="1134"/>
        <w:rPr>
          <w:rFonts w:asciiTheme="minorHAnsi" w:eastAsia="Times New Roman" w:hAnsiTheme="minorHAnsi" w:cstheme="minorHAnsi"/>
          <w:bCs/>
          <w:sz w:val="17"/>
          <w:szCs w:val="17"/>
          <w:lang w:eastAsia="pt-BR"/>
        </w:rPr>
      </w:pPr>
      <w:r w:rsidRPr="001E6E9D">
        <w:rPr>
          <w:rFonts w:asciiTheme="minorHAnsi" w:eastAsia="Times New Roman" w:hAnsiTheme="minorHAnsi" w:cstheme="minorHAnsi"/>
          <w:sz w:val="17"/>
          <w:szCs w:val="17"/>
          <w:lang w:eastAsia="pt-BR"/>
        </w:rPr>
        <w:t>Caso a Taxa Substitutiva venha a acarretar a perda do benefício gerado pelo tratamento tributário previsto na Lei 12.431, a Emissora deverá, a seu exclusivo critério e nos termos da Cláusula 4.23.3. abaixo, optar por: (i) </w:t>
      </w:r>
      <w:r w:rsidRPr="001E6E9D">
        <w:rPr>
          <w:rFonts w:asciiTheme="minorHAnsi" w:eastAsia="Arial Unicode MS" w:hAnsiTheme="minorHAnsi" w:cstheme="minorHAnsi"/>
          <w:snapToGrid w:val="0"/>
          <w:sz w:val="17"/>
          <w:szCs w:val="17"/>
        </w:rPr>
        <w:t xml:space="preserve">nos termos do artigo 1º, §1º, inciso II, da Lei 12.431, da Resolução CMN 4.751 e da regulamentação aplicável, desde que o prazo médio ponderado dos pagamentos transcorridos entre a Data de Emissão e a data do efetivo resgate antecipado seja superior a 4 (quatro) anos ou outro prazo autorizado por regulamentação aplicável, realizar uma Oferta de Resgate Antecipado, sem a incidência de prêmio de qualquer natureza, sendo certo que a realização de tal resgate não dependerá de uma aceitação mínima e que os Debenturistas que optarem por não aceitar referida oferta passarão a arcar com todos os tributos que venham a ser devidos em razão da perda do tratamento tributário previsto na Lei 12.431; ou (ii) </w:t>
      </w:r>
      <w:r w:rsidRPr="001E6E9D">
        <w:rPr>
          <w:rFonts w:asciiTheme="minorHAnsi" w:eastAsia="Times New Roman" w:hAnsiTheme="minorHAnsi" w:cstheme="minorHAnsi"/>
          <w:sz w:val="17"/>
          <w:szCs w:val="17"/>
          <w:lang w:eastAsia="pt-BR"/>
        </w:rPr>
        <w:t>arcar com todos os tributos que venham a ser devidos pelos Debenturistas, bem como com qualquer multa a ser paga nos termos da Lei 12.431, de modo que a Emissora deverá acrescer a esses pagamentos valores adicionais suficientes para que os Debenturistas recebem tais pagamentos como se os referidos valores não fossem incidentes, sendo certo que tais pagamentos ocorrerão</w:t>
      </w:r>
      <w:r w:rsidRPr="001E6E9D">
        <w:rPr>
          <w:rFonts w:asciiTheme="minorHAnsi" w:hAnsiTheme="minorHAnsi" w:cstheme="minorHAnsi"/>
          <w:sz w:val="17"/>
          <w:szCs w:val="17"/>
        </w:rPr>
        <w:t xml:space="preserve"> </w:t>
      </w:r>
      <w:r w:rsidRPr="001E6E9D">
        <w:rPr>
          <w:rFonts w:asciiTheme="minorHAnsi" w:eastAsia="Times New Roman" w:hAnsiTheme="minorHAnsi" w:cstheme="minorHAnsi"/>
          <w:sz w:val="17"/>
          <w:szCs w:val="17"/>
          <w:lang w:eastAsia="pt-BR"/>
        </w:rPr>
        <w:t>fora do âmbito da B3</w:t>
      </w:r>
      <w:r w:rsidR="0053704D" w:rsidRPr="001E6E9D">
        <w:rPr>
          <w:rFonts w:asciiTheme="minorHAnsi" w:eastAsia="Times New Roman" w:hAnsiTheme="minorHAnsi" w:cstheme="minorHAnsi"/>
          <w:bCs/>
          <w:sz w:val="17"/>
          <w:szCs w:val="17"/>
          <w:lang w:eastAsia="pt-BR"/>
        </w:rPr>
        <w:t>.</w:t>
      </w:r>
    </w:p>
    <w:p w14:paraId="58796A07" w14:textId="731CC2C8" w:rsidR="0053704D" w:rsidRPr="001E6E9D" w:rsidRDefault="0053704D" w:rsidP="00DC7081">
      <w:pPr>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i.3)</w:t>
      </w:r>
      <w:r w:rsidRPr="001E6E9D">
        <w:rPr>
          <w:rFonts w:asciiTheme="minorHAnsi" w:eastAsia="Times New Roman" w:hAnsiTheme="minorHAnsi" w:cstheme="minorHAnsi"/>
          <w:b/>
          <w:bCs/>
          <w:sz w:val="17"/>
          <w:szCs w:val="17"/>
          <w:lang w:eastAsia="pt-BR"/>
        </w:rPr>
        <w:tab/>
        <w:t>Encargos moratórios</w:t>
      </w:r>
      <w:r w:rsidRPr="001E6E9D">
        <w:rPr>
          <w:rFonts w:asciiTheme="minorHAnsi" w:eastAsia="Times New Roman" w:hAnsiTheme="minorHAnsi" w:cstheme="minorHAnsi"/>
          <w:b/>
          <w:sz w:val="17"/>
          <w:szCs w:val="17"/>
          <w:lang w:eastAsia="pt-BR"/>
        </w:rPr>
        <w:t>:</w:t>
      </w:r>
      <w:r w:rsidRPr="001E6E9D">
        <w:rPr>
          <w:rFonts w:asciiTheme="minorHAnsi" w:eastAsia="Times New Roman" w:hAnsiTheme="minorHAnsi" w:cstheme="minorHAnsi"/>
          <w:sz w:val="17"/>
          <w:szCs w:val="17"/>
          <w:lang w:eastAsia="pt-BR"/>
        </w:rPr>
        <w:t xml:space="preserve"> sem </w:t>
      </w:r>
      <w:r w:rsidR="00C26405" w:rsidRPr="001E6E9D">
        <w:rPr>
          <w:rFonts w:asciiTheme="minorHAnsi" w:hAnsiTheme="minorHAnsi" w:cstheme="minorHAnsi"/>
          <w:sz w:val="17"/>
          <w:szCs w:val="17"/>
        </w:rPr>
        <w:t xml:space="preserve">prejuízo da Atualização Monetária e dos Juros Remuneratórios, </w:t>
      </w:r>
      <w:bookmarkStart w:id="62" w:name="_DV_M194"/>
      <w:bookmarkEnd w:id="62"/>
      <w:r w:rsidR="00C26405" w:rsidRPr="001E6E9D">
        <w:rPr>
          <w:rFonts w:asciiTheme="minorHAnsi" w:hAnsiTheme="minorHAnsi" w:cstheme="minorHAnsi"/>
          <w:sz w:val="17"/>
          <w:szCs w:val="17"/>
        </w:rPr>
        <w:t xml:space="preserve">ocorrendo impontualidade no pagamento pela Emissora e/ou Fiadoras, de qualquer quantia devida aos Debenturistas, os débitos em atraso vencidos e não pagos pela Emissora e/ou Fiadoras, ficarão sujeitos a, independentemente de aviso, notificação ou interpelação judicial ou extrajudicial (i) multa convencional, irredutível e de natureza não compensatória, de 2% (dois por cento); e (ii) juros moratórios à razão de 1% (um por cento) ao mês, desde a data da inadimplência até a data do efetivo pagamento; ambos calculados sobre o montante devido e não pago </w:t>
      </w:r>
      <w:r w:rsidRPr="001E6E9D">
        <w:rPr>
          <w:rFonts w:asciiTheme="minorHAnsi" w:eastAsia="Times New Roman" w:hAnsiTheme="minorHAnsi" w:cstheme="minorHAnsi"/>
          <w:sz w:val="17"/>
          <w:szCs w:val="17"/>
          <w:lang w:eastAsia="pt-BR"/>
        </w:rPr>
        <w:t>(</w:t>
      </w:r>
      <w:r w:rsidR="000D5E35" w:rsidRPr="001E6E9D">
        <w:rPr>
          <w:rFonts w:asciiTheme="minorHAnsi" w:eastAsia="Times New Roman" w:hAnsiTheme="minorHAnsi" w:cstheme="minorHAnsi"/>
          <w:sz w:val="17"/>
          <w:szCs w:val="17"/>
          <w:lang w:eastAsia="pt-BR"/>
        </w:rPr>
        <w:t>“</w:t>
      </w:r>
      <w:r w:rsidRPr="001E6E9D">
        <w:rPr>
          <w:rFonts w:asciiTheme="minorHAnsi" w:eastAsia="Times New Roman" w:hAnsiTheme="minorHAnsi" w:cstheme="minorHAnsi"/>
          <w:b/>
          <w:bCs/>
          <w:sz w:val="17"/>
          <w:szCs w:val="17"/>
          <w:lang w:eastAsia="pt-BR"/>
        </w:rPr>
        <w:t>Encargos Moratórios</w:t>
      </w:r>
      <w:r w:rsidRPr="001E6E9D">
        <w:rPr>
          <w:rFonts w:asciiTheme="minorHAnsi" w:eastAsia="Times New Roman" w:hAnsiTheme="minorHAnsi" w:cstheme="minorHAnsi"/>
          <w:sz w:val="17"/>
          <w:szCs w:val="17"/>
          <w:lang w:eastAsia="pt-BR"/>
        </w:rPr>
        <w:t>”).</w:t>
      </w:r>
    </w:p>
    <w:p w14:paraId="44E57AD0" w14:textId="1F472E0B" w:rsidR="0053704D" w:rsidRPr="001E6E9D" w:rsidRDefault="0053704D" w:rsidP="00DC7081">
      <w:pPr>
        <w:keepNext/>
        <w:keepLines/>
        <w:spacing w:after="140"/>
        <w:ind w:left="567"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lastRenderedPageBreak/>
        <w:t>j)</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Pagamento dos Juros Remuneratórios</w:t>
      </w:r>
      <w:r w:rsidRPr="001E6E9D">
        <w:rPr>
          <w:rFonts w:asciiTheme="minorHAnsi" w:eastAsia="Times New Roman" w:hAnsiTheme="minorHAnsi" w:cstheme="minorHAnsi"/>
          <w:b/>
          <w:bCs/>
          <w:sz w:val="17"/>
          <w:szCs w:val="17"/>
          <w:lang w:eastAsia="pt-BR"/>
        </w:rPr>
        <w:t>:</w:t>
      </w:r>
      <w:r w:rsidRPr="001E6E9D">
        <w:rPr>
          <w:rFonts w:asciiTheme="minorHAnsi" w:eastAsia="Times New Roman" w:hAnsiTheme="minorHAnsi" w:cstheme="minorHAnsi"/>
          <w:bCs/>
          <w:sz w:val="17"/>
          <w:szCs w:val="17"/>
          <w:lang w:eastAsia="pt-BR"/>
        </w:rPr>
        <w:t xml:space="preserve"> </w:t>
      </w:r>
      <w:r w:rsidR="00C26405" w:rsidRPr="001E6E9D">
        <w:rPr>
          <w:rStyle w:val="DeltaViewInsertion"/>
          <w:rFonts w:asciiTheme="minorHAnsi" w:hAnsiTheme="minorHAnsi" w:cstheme="minorHAnsi"/>
          <w:color w:val="auto"/>
          <w:sz w:val="17"/>
          <w:szCs w:val="17"/>
          <w:u w:val="none"/>
        </w:rPr>
        <w:t>Ressalvadas as hipóteses de resgate antecipado total das Debêntures em decorrência de Oferta de Resgate Antecipado (conforme definido abaixo), Resgate Antecipado Facultativo Total (conforme definido abaixo), de aquisição facultativa da totalidade das Debêntures (conforme definido abaixo) e/ou de liquidação antecipada em razão do vencimento antecipado das obrigações decorrentes das Debêntures</w:t>
      </w:r>
      <w:r w:rsidR="00C26405" w:rsidRPr="001E6E9D">
        <w:rPr>
          <w:rFonts w:asciiTheme="minorHAnsi" w:hAnsiTheme="minorHAnsi" w:cstheme="minorHAnsi"/>
          <w:sz w:val="17"/>
          <w:szCs w:val="17"/>
        </w:rPr>
        <w:t xml:space="preserve">, os Juros Remuneratórios serão pagos semestralmente, sempre no dia 15 (quinze) dos meses de </w:t>
      </w:r>
      <w:r w:rsidR="00E02A6F" w:rsidRPr="001E6E9D">
        <w:rPr>
          <w:rFonts w:asciiTheme="minorHAnsi" w:hAnsiTheme="minorHAnsi" w:cstheme="minorHAnsi"/>
          <w:sz w:val="17"/>
          <w:szCs w:val="17"/>
        </w:rPr>
        <w:t xml:space="preserve">janeiro </w:t>
      </w:r>
      <w:r w:rsidR="00C26405" w:rsidRPr="001E6E9D">
        <w:rPr>
          <w:rFonts w:asciiTheme="minorHAnsi" w:hAnsiTheme="minorHAnsi" w:cstheme="minorHAnsi"/>
          <w:sz w:val="17"/>
          <w:szCs w:val="17"/>
        </w:rPr>
        <w:t xml:space="preserve">e </w:t>
      </w:r>
      <w:r w:rsidR="00E02A6F" w:rsidRPr="001E6E9D">
        <w:rPr>
          <w:rFonts w:asciiTheme="minorHAnsi" w:hAnsiTheme="minorHAnsi" w:cstheme="minorHAnsi"/>
          <w:sz w:val="17"/>
          <w:szCs w:val="17"/>
        </w:rPr>
        <w:t xml:space="preserve">julho </w:t>
      </w:r>
      <w:r w:rsidR="00C26405" w:rsidRPr="001E6E9D">
        <w:rPr>
          <w:rFonts w:asciiTheme="minorHAnsi" w:hAnsiTheme="minorHAnsi" w:cstheme="minorHAnsi"/>
          <w:sz w:val="17"/>
          <w:szCs w:val="17"/>
        </w:rPr>
        <w:t xml:space="preserve">de cada ano até a Data de Vencimento, a partir do </w:t>
      </w:r>
      <w:r w:rsidR="00DE1300" w:rsidRPr="001E6E9D">
        <w:rPr>
          <w:rFonts w:asciiTheme="minorHAnsi" w:hAnsiTheme="minorHAnsi" w:cstheme="minorHAnsi"/>
          <w:sz w:val="17"/>
          <w:szCs w:val="17"/>
        </w:rPr>
        <w:t xml:space="preserve">12º </w:t>
      </w:r>
      <w:r w:rsidR="00C26405" w:rsidRPr="001E6E9D">
        <w:rPr>
          <w:rFonts w:asciiTheme="minorHAnsi" w:hAnsiTheme="minorHAnsi" w:cstheme="minorHAnsi"/>
          <w:sz w:val="17"/>
          <w:szCs w:val="17"/>
        </w:rPr>
        <w:t>(</w:t>
      </w:r>
      <w:r w:rsidR="00DE1300" w:rsidRPr="001E6E9D">
        <w:rPr>
          <w:rFonts w:asciiTheme="minorHAnsi" w:hAnsiTheme="minorHAnsi" w:cstheme="minorHAnsi"/>
          <w:sz w:val="17"/>
          <w:szCs w:val="17"/>
        </w:rPr>
        <w:t>décimo segundo</w:t>
      </w:r>
      <w:r w:rsidR="00C26405" w:rsidRPr="001E6E9D">
        <w:rPr>
          <w:rFonts w:asciiTheme="minorHAnsi" w:hAnsiTheme="minorHAnsi" w:cstheme="minorHAnsi"/>
          <w:sz w:val="17"/>
          <w:szCs w:val="17"/>
        </w:rPr>
        <w:t xml:space="preserve">) mês (inclusive) contado da Data de Emissão, ou seja, a partir de </w:t>
      </w:r>
      <w:r w:rsidR="00E02A6F" w:rsidRPr="001E6E9D">
        <w:rPr>
          <w:rFonts w:asciiTheme="minorHAnsi" w:hAnsiTheme="minorHAnsi" w:cstheme="minorHAnsi"/>
          <w:sz w:val="17"/>
          <w:szCs w:val="17"/>
        </w:rPr>
        <w:t xml:space="preserve">15 </w:t>
      </w:r>
      <w:r w:rsidR="00C26405" w:rsidRPr="001E6E9D">
        <w:rPr>
          <w:rFonts w:asciiTheme="minorHAnsi" w:hAnsiTheme="minorHAnsi" w:cstheme="minorHAnsi"/>
          <w:sz w:val="17"/>
          <w:szCs w:val="17"/>
        </w:rPr>
        <w:t xml:space="preserve">de </w:t>
      </w:r>
      <w:r w:rsidR="00E02A6F" w:rsidRPr="001E6E9D">
        <w:rPr>
          <w:rFonts w:asciiTheme="minorHAnsi" w:hAnsiTheme="minorHAnsi" w:cstheme="minorHAnsi"/>
          <w:sz w:val="17"/>
          <w:szCs w:val="17"/>
        </w:rPr>
        <w:t xml:space="preserve">janeiro </w:t>
      </w:r>
      <w:r w:rsidR="00C26405" w:rsidRPr="001E6E9D">
        <w:rPr>
          <w:rFonts w:asciiTheme="minorHAnsi" w:hAnsiTheme="minorHAnsi" w:cstheme="minorHAnsi"/>
          <w:sz w:val="17"/>
          <w:szCs w:val="17"/>
        </w:rPr>
        <w:t>de 202</w:t>
      </w:r>
      <w:r w:rsidR="00680A4C">
        <w:rPr>
          <w:rFonts w:asciiTheme="minorHAnsi" w:hAnsiTheme="minorHAnsi" w:cstheme="minorHAnsi"/>
          <w:sz w:val="17"/>
          <w:szCs w:val="17"/>
        </w:rPr>
        <w:t>6</w:t>
      </w:r>
      <w:r w:rsidR="00C26405" w:rsidRPr="001E6E9D">
        <w:rPr>
          <w:rFonts w:asciiTheme="minorHAnsi" w:hAnsiTheme="minorHAnsi" w:cstheme="minorHAnsi"/>
          <w:sz w:val="17"/>
          <w:szCs w:val="17"/>
        </w:rPr>
        <w:t xml:space="preserve">, até Data de Vencimento (cada uma dessas datas, uma </w:t>
      </w:r>
      <w:r w:rsidR="000D5E35" w:rsidRPr="001E6E9D">
        <w:rPr>
          <w:rFonts w:asciiTheme="minorHAnsi" w:hAnsiTheme="minorHAnsi" w:cstheme="minorHAnsi"/>
          <w:sz w:val="17"/>
          <w:szCs w:val="17"/>
        </w:rPr>
        <w:t>“</w:t>
      </w:r>
      <w:r w:rsidR="00C26405" w:rsidRPr="001E6E9D">
        <w:rPr>
          <w:rFonts w:asciiTheme="minorHAnsi" w:hAnsiTheme="minorHAnsi" w:cstheme="minorHAnsi"/>
          <w:sz w:val="17"/>
          <w:szCs w:val="17"/>
          <w:u w:val="single"/>
        </w:rPr>
        <w:t>Data de Pagamento dos Juros Remuneratórios</w:t>
      </w:r>
      <w:r w:rsidR="00C26405" w:rsidRPr="001E6E9D">
        <w:rPr>
          <w:rFonts w:asciiTheme="minorHAnsi" w:hAnsiTheme="minorHAnsi" w:cstheme="minorHAnsi"/>
          <w:sz w:val="17"/>
          <w:szCs w:val="17"/>
        </w:rPr>
        <w:t>”)</w:t>
      </w:r>
      <w:r w:rsidR="00C26405" w:rsidRPr="001E6E9D">
        <w:rPr>
          <w:rFonts w:asciiTheme="minorHAnsi" w:eastAsia="Times New Roman" w:hAnsiTheme="minorHAnsi" w:cstheme="minorHAnsi"/>
          <w:sz w:val="17"/>
          <w:szCs w:val="17"/>
          <w:lang w:eastAsia="pt-BR"/>
        </w:rPr>
        <w:t>.</w:t>
      </w:r>
    </w:p>
    <w:p w14:paraId="187A8CC5" w14:textId="77777777" w:rsidR="0053704D" w:rsidRPr="001E6E9D" w:rsidRDefault="0053704D" w:rsidP="00DC7081">
      <w:pPr>
        <w:spacing w:after="140"/>
        <w:ind w:left="567" w:hanging="567"/>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bCs/>
          <w:sz w:val="17"/>
          <w:szCs w:val="17"/>
          <w:lang w:eastAsia="pt-BR"/>
        </w:rPr>
        <w:t>k)</w:t>
      </w:r>
      <w:r w:rsidRPr="001E6E9D">
        <w:rPr>
          <w:rFonts w:asciiTheme="minorHAnsi" w:eastAsia="Times New Roman" w:hAnsiTheme="minorHAnsi" w:cstheme="minorHAnsi"/>
          <w:b/>
          <w:bCs/>
          <w:sz w:val="17"/>
          <w:szCs w:val="17"/>
          <w:lang w:eastAsia="pt-BR"/>
        </w:rPr>
        <w:tab/>
        <w:t>Repactuação programada</w:t>
      </w:r>
      <w:r w:rsidRPr="001E6E9D">
        <w:rPr>
          <w:rFonts w:asciiTheme="minorHAnsi" w:eastAsia="Times New Roman" w:hAnsiTheme="minorHAnsi" w:cstheme="minorHAnsi"/>
          <w:b/>
          <w:sz w:val="17"/>
          <w:szCs w:val="17"/>
          <w:lang w:eastAsia="pt-BR"/>
        </w:rPr>
        <w:t>:</w:t>
      </w:r>
      <w:r w:rsidRPr="001E6E9D">
        <w:rPr>
          <w:rFonts w:asciiTheme="minorHAnsi" w:eastAsia="Times New Roman" w:hAnsiTheme="minorHAnsi" w:cstheme="minorHAnsi"/>
          <w:sz w:val="17"/>
          <w:szCs w:val="17"/>
          <w:lang w:eastAsia="pt-BR"/>
        </w:rPr>
        <w:t xml:space="preserve"> as Debêntures não serão objeto de repactuação programada.</w:t>
      </w:r>
    </w:p>
    <w:p w14:paraId="307726BA" w14:textId="77777777" w:rsidR="0053704D" w:rsidRPr="001E6E9D" w:rsidRDefault="0053704D" w:rsidP="00DC7081">
      <w:pPr>
        <w:spacing w:after="140"/>
        <w:ind w:left="567" w:hanging="567"/>
        <w:rPr>
          <w:rFonts w:asciiTheme="minorHAnsi" w:eastAsia="Times New Roman" w:hAnsiTheme="minorHAnsi" w:cstheme="minorHAnsi"/>
          <w:b/>
          <w:bCs/>
          <w:sz w:val="17"/>
          <w:szCs w:val="17"/>
          <w:lang w:eastAsia="pt-BR"/>
        </w:rPr>
      </w:pPr>
      <w:r w:rsidRPr="001E6E9D">
        <w:rPr>
          <w:rFonts w:asciiTheme="minorHAnsi" w:eastAsia="Times New Roman" w:hAnsiTheme="minorHAnsi" w:cstheme="minorHAnsi"/>
          <w:b/>
          <w:bCs/>
          <w:sz w:val="17"/>
          <w:szCs w:val="17"/>
          <w:lang w:eastAsia="pt-BR"/>
        </w:rPr>
        <w:t>l)</w:t>
      </w:r>
      <w:r w:rsidRPr="001E6E9D">
        <w:rPr>
          <w:rFonts w:asciiTheme="minorHAnsi" w:eastAsia="Times New Roman" w:hAnsiTheme="minorHAnsi" w:cstheme="minorHAnsi"/>
          <w:b/>
          <w:bCs/>
          <w:sz w:val="17"/>
          <w:szCs w:val="17"/>
          <w:lang w:eastAsia="pt-BR"/>
        </w:rPr>
        <w:tab/>
        <w:t>Amortização e hipóteses de resgate antecipado</w:t>
      </w:r>
      <w:r w:rsidRPr="001E6E9D">
        <w:rPr>
          <w:rFonts w:asciiTheme="minorHAnsi" w:eastAsia="Times New Roman" w:hAnsiTheme="minorHAnsi" w:cstheme="minorHAnsi"/>
          <w:b/>
          <w:sz w:val="17"/>
          <w:szCs w:val="17"/>
          <w:lang w:eastAsia="pt-BR"/>
        </w:rPr>
        <w:t xml:space="preserve">: </w:t>
      </w:r>
    </w:p>
    <w:p w14:paraId="66157A25" w14:textId="311B9DB5" w:rsidR="0053704D" w:rsidRPr="001E6E9D" w:rsidRDefault="0053704D" w:rsidP="00DC7081">
      <w:pPr>
        <w:spacing w:after="140"/>
        <w:ind w:left="1134"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 xml:space="preserve">l.1) </w:t>
      </w:r>
      <w:r w:rsidRPr="001E6E9D">
        <w:rPr>
          <w:rFonts w:asciiTheme="minorHAnsi" w:eastAsia="Times New Roman" w:hAnsiTheme="minorHAnsi" w:cstheme="minorHAnsi"/>
          <w:b/>
          <w:bCs/>
          <w:sz w:val="17"/>
          <w:szCs w:val="17"/>
          <w:lang w:eastAsia="pt-BR"/>
        </w:rPr>
        <w:tab/>
        <w:t>Amortização</w:t>
      </w:r>
      <w:r w:rsidRPr="001E6E9D">
        <w:rPr>
          <w:rFonts w:asciiTheme="minorHAnsi" w:eastAsia="Times New Roman" w:hAnsiTheme="minorHAnsi" w:cstheme="minorHAnsi"/>
          <w:sz w:val="17"/>
          <w:szCs w:val="17"/>
          <w:lang w:eastAsia="pt-BR"/>
        </w:rPr>
        <w:t xml:space="preserve">: </w:t>
      </w:r>
      <w:r w:rsidR="00E32957" w:rsidRPr="001E6E9D">
        <w:rPr>
          <w:rFonts w:asciiTheme="minorHAnsi" w:hAnsiTheme="minorHAnsi" w:cstheme="minorHAnsi"/>
          <w:sz w:val="17"/>
          <w:szCs w:val="17"/>
        </w:rPr>
        <w:t xml:space="preserve">o Valor Nominal Atualizado das Debêntures será amortizado em parcelas semestrais consecutivas, devidas sempre no dia 15 (quinze) dos meses de </w:t>
      </w:r>
      <w:r w:rsidR="00E02A6F" w:rsidRPr="001E6E9D">
        <w:rPr>
          <w:rFonts w:asciiTheme="minorHAnsi" w:hAnsiTheme="minorHAnsi" w:cstheme="minorHAnsi"/>
          <w:sz w:val="17"/>
          <w:szCs w:val="17"/>
        </w:rPr>
        <w:t xml:space="preserve">janeiro </w:t>
      </w:r>
      <w:r w:rsidR="00E32957" w:rsidRPr="001E6E9D">
        <w:rPr>
          <w:rFonts w:asciiTheme="minorHAnsi" w:hAnsiTheme="minorHAnsi" w:cstheme="minorHAnsi"/>
          <w:sz w:val="17"/>
          <w:szCs w:val="17"/>
        </w:rPr>
        <w:t xml:space="preserve">e </w:t>
      </w:r>
      <w:r w:rsidR="00E02A6F" w:rsidRPr="001E6E9D">
        <w:rPr>
          <w:rFonts w:asciiTheme="minorHAnsi" w:hAnsiTheme="minorHAnsi" w:cstheme="minorHAnsi"/>
          <w:sz w:val="17"/>
          <w:szCs w:val="17"/>
        </w:rPr>
        <w:t xml:space="preserve">julho </w:t>
      </w:r>
      <w:r w:rsidR="00E32957" w:rsidRPr="001E6E9D">
        <w:rPr>
          <w:rFonts w:asciiTheme="minorHAnsi" w:hAnsiTheme="minorHAnsi" w:cstheme="minorHAnsi"/>
          <w:sz w:val="17"/>
          <w:szCs w:val="17"/>
        </w:rPr>
        <w:t xml:space="preserve">de cada ano, a partir do 18º (décimo oitavo) mês (inclusive) contado da Data de Emissão, ou seja, a partir de </w:t>
      </w:r>
      <w:r w:rsidR="00BA1894" w:rsidRPr="001E6E9D">
        <w:rPr>
          <w:rFonts w:asciiTheme="minorHAnsi" w:hAnsiTheme="minorHAnsi" w:cstheme="minorHAnsi"/>
          <w:sz w:val="17"/>
          <w:szCs w:val="17"/>
        </w:rPr>
        <w:t xml:space="preserve">15 </w:t>
      </w:r>
      <w:r w:rsidR="00E32957" w:rsidRPr="001E6E9D">
        <w:rPr>
          <w:rFonts w:asciiTheme="minorHAnsi" w:hAnsiTheme="minorHAnsi" w:cstheme="minorHAnsi"/>
          <w:sz w:val="17"/>
          <w:szCs w:val="17"/>
        </w:rPr>
        <w:t xml:space="preserve">de </w:t>
      </w:r>
      <w:r w:rsidR="00BA1894" w:rsidRPr="001E6E9D">
        <w:rPr>
          <w:rFonts w:asciiTheme="minorHAnsi" w:hAnsiTheme="minorHAnsi" w:cstheme="minorHAnsi"/>
          <w:sz w:val="17"/>
          <w:szCs w:val="17"/>
        </w:rPr>
        <w:t xml:space="preserve">julho </w:t>
      </w:r>
      <w:r w:rsidR="00E32957" w:rsidRPr="001E6E9D">
        <w:rPr>
          <w:rFonts w:asciiTheme="minorHAnsi" w:hAnsiTheme="minorHAnsi" w:cstheme="minorHAnsi"/>
          <w:sz w:val="17"/>
          <w:szCs w:val="17"/>
        </w:rPr>
        <w:t xml:space="preserve">de 2026, até Data de Vencimento, de acordo com as datas indicadas na 2ª coluna da tabela abaixo (cada uma, uma </w:t>
      </w:r>
      <w:r w:rsidR="000D5E35" w:rsidRPr="001E6E9D">
        <w:rPr>
          <w:rFonts w:asciiTheme="minorHAnsi" w:hAnsiTheme="minorHAnsi" w:cstheme="minorHAnsi"/>
          <w:sz w:val="17"/>
          <w:szCs w:val="17"/>
        </w:rPr>
        <w:t>“</w:t>
      </w:r>
      <w:r w:rsidR="00E32957" w:rsidRPr="001E6E9D">
        <w:rPr>
          <w:rFonts w:asciiTheme="minorHAnsi" w:hAnsiTheme="minorHAnsi" w:cstheme="minorHAnsi"/>
          <w:sz w:val="17"/>
          <w:szCs w:val="17"/>
          <w:u w:val="single"/>
        </w:rPr>
        <w:t>Data de Amortização das Debêntures</w:t>
      </w:r>
      <w:r w:rsidR="00E32957" w:rsidRPr="001E6E9D">
        <w:rPr>
          <w:rFonts w:asciiTheme="minorHAnsi" w:hAnsiTheme="minorHAnsi" w:cstheme="minorHAnsi"/>
          <w:sz w:val="17"/>
          <w:szCs w:val="17"/>
        </w:rPr>
        <w:t>”) e percentuais previstos na 3ª (terceira) coluna da tabela a seguir</w:t>
      </w:r>
    </w:p>
    <w:tbl>
      <w:tblPr>
        <w:tblW w:w="4380" w:type="pct"/>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1841"/>
        <w:gridCol w:w="2553"/>
        <w:gridCol w:w="3543"/>
      </w:tblGrid>
      <w:tr w:rsidR="006D55CC" w:rsidRPr="001E6E9D" w14:paraId="05CE321D" w14:textId="77777777" w:rsidTr="009A41F9">
        <w:trPr>
          <w:trHeight w:val="20"/>
          <w:tblHeader/>
        </w:trPr>
        <w:tc>
          <w:tcPr>
            <w:tcW w:w="1160" w:type="pct"/>
            <w:shd w:val="clear" w:color="auto" w:fill="0082CB"/>
            <w:vAlign w:val="center"/>
          </w:tcPr>
          <w:p w14:paraId="60FBCFB5" w14:textId="333BCA99" w:rsidR="00E32957" w:rsidRPr="001E6E9D" w:rsidRDefault="00E32957" w:rsidP="003E09A8">
            <w:pPr>
              <w:tabs>
                <w:tab w:val="left" w:pos="709"/>
              </w:tabs>
              <w:spacing w:before="40" w:after="40"/>
              <w:jc w:val="center"/>
              <w:outlineLvl w:val="2"/>
              <w:rPr>
                <w:rFonts w:asciiTheme="minorHAnsi" w:eastAsia="TT108t00" w:hAnsiTheme="minorHAnsi" w:cstheme="minorHAnsi"/>
                <w:b/>
                <w:color w:val="FFFFFF" w:themeColor="background1"/>
                <w:sz w:val="17"/>
                <w:szCs w:val="17"/>
                <w:lang w:eastAsia="pt-BR"/>
              </w:rPr>
            </w:pPr>
            <w:r w:rsidRPr="001E6E9D">
              <w:rPr>
                <w:rFonts w:asciiTheme="minorHAnsi" w:eastAsia="TT108t00" w:hAnsiTheme="minorHAnsi" w:cstheme="minorHAnsi"/>
                <w:b/>
                <w:color w:val="FFFFFF" w:themeColor="background1"/>
                <w:sz w:val="17"/>
                <w:szCs w:val="17"/>
              </w:rPr>
              <w:t>Parcela</w:t>
            </w:r>
          </w:p>
        </w:tc>
        <w:tc>
          <w:tcPr>
            <w:tcW w:w="1608" w:type="pct"/>
            <w:shd w:val="clear" w:color="auto" w:fill="0082CB"/>
            <w:vAlign w:val="center"/>
          </w:tcPr>
          <w:p w14:paraId="375C2CAB" w14:textId="17D82E12" w:rsidR="00E32957" w:rsidRPr="001E6E9D" w:rsidRDefault="00E32957" w:rsidP="003E09A8">
            <w:pPr>
              <w:tabs>
                <w:tab w:val="left" w:pos="709"/>
              </w:tabs>
              <w:spacing w:before="40" w:after="40"/>
              <w:jc w:val="center"/>
              <w:outlineLvl w:val="2"/>
              <w:rPr>
                <w:rFonts w:asciiTheme="minorHAnsi" w:eastAsia="TT108t00" w:hAnsiTheme="minorHAnsi" w:cstheme="minorHAnsi"/>
                <w:b/>
                <w:color w:val="FFFFFF" w:themeColor="background1"/>
                <w:sz w:val="17"/>
                <w:szCs w:val="17"/>
                <w:lang w:eastAsia="pt-BR"/>
              </w:rPr>
            </w:pPr>
            <w:r w:rsidRPr="001E6E9D">
              <w:rPr>
                <w:rFonts w:asciiTheme="minorHAnsi" w:eastAsia="TT108t00" w:hAnsiTheme="minorHAnsi" w:cstheme="minorHAnsi"/>
                <w:b/>
                <w:color w:val="FFFFFF" w:themeColor="background1"/>
                <w:sz w:val="17"/>
                <w:szCs w:val="17"/>
              </w:rPr>
              <w:t>Data da Amortização</w:t>
            </w:r>
          </w:p>
        </w:tc>
        <w:tc>
          <w:tcPr>
            <w:tcW w:w="2232" w:type="pct"/>
            <w:shd w:val="clear" w:color="auto" w:fill="0082CB"/>
            <w:vAlign w:val="center"/>
          </w:tcPr>
          <w:p w14:paraId="662A74C2" w14:textId="702AFFAF" w:rsidR="00E32957" w:rsidRPr="001E6E9D" w:rsidRDefault="00E32957" w:rsidP="003E09A8">
            <w:pPr>
              <w:tabs>
                <w:tab w:val="left" w:pos="709"/>
              </w:tabs>
              <w:spacing w:before="40" w:after="40"/>
              <w:jc w:val="center"/>
              <w:outlineLvl w:val="2"/>
              <w:rPr>
                <w:rFonts w:asciiTheme="minorHAnsi" w:eastAsia="TT108t00" w:hAnsiTheme="minorHAnsi" w:cstheme="minorHAnsi"/>
                <w:b/>
                <w:color w:val="FFFFFF" w:themeColor="background1"/>
                <w:sz w:val="17"/>
                <w:szCs w:val="17"/>
                <w:lang w:eastAsia="pt-BR"/>
              </w:rPr>
            </w:pPr>
            <w:r w:rsidRPr="001E6E9D">
              <w:rPr>
                <w:rFonts w:asciiTheme="minorHAnsi" w:eastAsia="TT108t00" w:hAnsiTheme="minorHAnsi" w:cstheme="minorHAnsi"/>
                <w:b/>
                <w:color w:val="FFFFFF" w:themeColor="background1"/>
                <w:sz w:val="17"/>
                <w:szCs w:val="17"/>
              </w:rPr>
              <w:t xml:space="preserve">Percentual do Saldo do Valor Nominal </w:t>
            </w:r>
            <w:r w:rsidR="00EF58CD" w:rsidRPr="001E6E9D">
              <w:rPr>
                <w:rFonts w:asciiTheme="minorHAnsi" w:eastAsia="TT108t00" w:hAnsiTheme="minorHAnsi" w:cstheme="minorHAnsi"/>
                <w:b/>
                <w:color w:val="FFFFFF" w:themeColor="background1"/>
                <w:sz w:val="17"/>
                <w:szCs w:val="17"/>
              </w:rPr>
              <w:br/>
            </w:r>
            <w:r w:rsidRPr="001E6E9D">
              <w:rPr>
                <w:rFonts w:asciiTheme="minorHAnsi" w:eastAsia="TT108t00" w:hAnsiTheme="minorHAnsi" w:cstheme="minorHAnsi"/>
                <w:b/>
                <w:color w:val="FFFFFF" w:themeColor="background1"/>
                <w:sz w:val="17"/>
                <w:szCs w:val="17"/>
              </w:rPr>
              <w:t>Atualizado amortizado</w:t>
            </w:r>
          </w:p>
        </w:tc>
      </w:tr>
      <w:tr w:rsidR="00BA1894" w:rsidRPr="001E6E9D" w14:paraId="3E1BA33F" w14:textId="77777777" w:rsidTr="003E09A8">
        <w:trPr>
          <w:trHeight w:val="20"/>
        </w:trPr>
        <w:tc>
          <w:tcPr>
            <w:tcW w:w="1160" w:type="pct"/>
            <w:shd w:val="clear" w:color="auto" w:fill="auto"/>
            <w:vAlign w:val="center"/>
          </w:tcPr>
          <w:p w14:paraId="52652AC5" w14:textId="2EECBCC0"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1ª</w:t>
            </w:r>
          </w:p>
        </w:tc>
        <w:tc>
          <w:tcPr>
            <w:tcW w:w="1608" w:type="pct"/>
            <w:shd w:val="clear" w:color="auto" w:fill="auto"/>
          </w:tcPr>
          <w:p w14:paraId="0E26B62A" w14:textId="608EE008"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2026</w:t>
            </w:r>
          </w:p>
        </w:tc>
        <w:tc>
          <w:tcPr>
            <w:tcW w:w="2232" w:type="pct"/>
            <w:shd w:val="clear" w:color="auto" w:fill="auto"/>
            <w:vAlign w:val="center"/>
          </w:tcPr>
          <w:p w14:paraId="7E2720A0" w14:textId="6986B3DF"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1,7000%</w:t>
            </w:r>
          </w:p>
        </w:tc>
      </w:tr>
      <w:tr w:rsidR="00BA1894" w:rsidRPr="001E6E9D" w14:paraId="5FD1D697" w14:textId="77777777" w:rsidTr="003E09A8">
        <w:trPr>
          <w:trHeight w:val="20"/>
        </w:trPr>
        <w:tc>
          <w:tcPr>
            <w:tcW w:w="1160" w:type="pct"/>
            <w:shd w:val="clear" w:color="auto" w:fill="auto"/>
            <w:vAlign w:val="center"/>
          </w:tcPr>
          <w:p w14:paraId="45526AF3" w14:textId="333FC880"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2ª</w:t>
            </w:r>
          </w:p>
        </w:tc>
        <w:tc>
          <w:tcPr>
            <w:tcW w:w="1608" w:type="pct"/>
            <w:shd w:val="clear" w:color="auto" w:fill="auto"/>
          </w:tcPr>
          <w:p w14:paraId="05DDB590" w14:textId="3D1842B1"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2027</w:t>
            </w:r>
          </w:p>
        </w:tc>
        <w:tc>
          <w:tcPr>
            <w:tcW w:w="2232" w:type="pct"/>
            <w:shd w:val="clear" w:color="auto" w:fill="auto"/>
            <w:vAlign w:val="center"/>
          </w:tcPr>
          <w:p w14:paraId="258AFB27" w14:textId="19630196"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2,9502%</w:t>
            </w:r>
          </w:p>
        </w:tc>
      </w:tr>
      <w:tr w:rsidR="00BA1894" w:rsidRPr="001E6E9D" w14:paraId="041FDF0B" w14:textId="77777777" w:rsidTr="003E09A8">
        <w:trPr>
          <w:trHeight w:val="20"/>
        </w:trPr>
        <w:tc>
          <w:tcPr>
            <w:tcW w:w="1160" w:type="pct"/>
            <w:shd w:val="clear" w:color="auto" w:fill="auto"/>
            <w:vAlign w:val="center"/>
          </w:tcPr>
          <w:p w14:paraId="10224D61" w14:textId="1E2D5A84"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3ª</w:t>
            </w:r>
          </w:p>
        </w:tc>
        <w:tc>
          <w:tcPr>
            <w:tcW w:w="1608" w:type="pct"/>
            <w:shd w:val="clear" w:color="auto" w:fill="auto"/>
          </w:tcPr>
          <w:p w14:paraId="0EFF32A5" w14:textId="60C31E39"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2027</w:t>
            </w:r>
          </w:p>
        </w:tc>
        <w:tc>
          <w:tcPr>
            <w:tcW w:w="2232" w:type="pct"/>
            <w:shd w:val="clear" w:color="auto" w:fill="auto"/>
            <w:vAlign w:val="center"/>
          </w:tcPr>
          <w:p w14:paraId="6F46A474" w14:textId="514C4214"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3,8260%</w:t>
            </w:r>
          </w:p>
        </w:tc>
      </w:tr>
      <w:tr w:rsidR="00BA1894" w:rsidRPr="001E6E9D" w14:paraId="042430CA" w14:textId="77777777" w:rsidTr="003E09A8">
        <w:trPr>
          <w:trHeight w:val="20"/>
        </w:trPr>
        <w:tc>
          <w:tcPr>
            <w:tcW w:w="1160" w:type="pct"/>
            <w:shd w:val="clear" w:color="auto" w:fill="auto"/>
            <w:vAlign w:val="center"/>
          </w:tcPr>
          <w:p w14:paraId="55BC67DC" w14:textId="309208ED"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4ª</w:t>
            </w:r>
          </w:p>
        </w:tc>
        <w:tc>
          <w:tcPr>
            <w:tcW w:w="1608" w:type="pct"/>
            <w:shd w:val="clear" w:color="auto" w:fill="auto"/>
          </w:tcPr>
          <w:p w14:paraId="37E94BF9" w14:textId="399A9B59"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2028</w:t>
            </w:r>
          </w:p>
        </w:tc>
        <w:tc>
          <w:tcPr>
            <w:tcW w:w="2232" w:type="pct"/>
            <w:shd w:val="clear" w:color="auto" w:fill="auto"/>
            <w:vAlign w:val="center"/>
          </w:tcPr>
          <w:p w14:paraId="0C145C43" w14:textId="0C4F562F"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3,4332%</w:t>
            </w:r>
          </w:p>
        </w:tc>
      </w:tr>
      <w:tr w:rsidR="00BA1894" w:rsidRPr="001E6E9D" w14:paraId="31C18663" w14:textId="77777777" w:rsidTr="003E09A8">
        <w:trPr>
          <w:trHeight w:val="20"/>
        </w:trPr>
        <w:tc>
          <w:tcPr>
            <w:tcW w:w="1160" w:type="pct"/>
            <w:shd w:val="clear" w:color="auto" w:fill="auto"/>
            <w:vAlign w:val="center"/>
          </w:tcPr>
          <w:p w14:paraId="7B705C91" w14:textId="0E6B36C6"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5ª</w:t>
            </w:r>
          </w:p>
        </w:tc>
        <w:tc>
          <w:tcPr>
            <w:tcW w:w="1608" w:type="pct"/>
            <w:shd w:val="clear" w:color="auto" w:fill="auto"/>
          </w:tcPr>
          <w:p w14:paraId="209C26CE" w14:textId="650C76E6"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2028</w:t>
            </w:r>
          </w:p>
        </w:tc>
        <w:tc>
          <w:tcPr>
            <w:tcW w:w="2232" w:type="pct"/>
            <w:shd w:val="clear" w:color="auto" w:fill="auto"/>
            <w:vAlign w:val="center"/>
          </w:tcPr>
          <w:p w14:paraId="218977B1" w14:textId="62165A77"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4,3454%</w:t>
            </w:r>
          </w:p>
        </w:tc>
      </w:tr>
      <w:tr w:rsidR="00BA1894" w:rsidRPr="001E6E9D" w14:paraId="4F4669F3" w14:textId="77777777" w:rsidTr="003E09A8">
        <w:trPr>
          <w:trHeight w:val="20"/>
        </w:trPr>
        <w:tc>
          <w:tcPr>
            <w:tcW w:w="1160" w:type="pct"/>
            <w:shd w:val="clear" w:color="auto" w:fill="auto"/>
            <w:vAlign w:val="center"/>
          </w:tcPr>
          <w:p w14:paraId="684D4992" w14:textId="6C3EB7B5"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6ª</w:t>
            </w:r>
          </w:p>
        </w:tc>
        <w:tc>
          <w:tcPr>
            <w:tcW w:w="1608" w:type="pct"/>
            <w:shd w:val="clear" w:color="auto" w:fill="auto"/>
          </w:tcPr>
          <w:p w14:paraId="780C5C6C" w14:textId="14F334BE"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2029</w:t>
            </w:r>
          </w:p>
        </w:tc>
        <w:tc>
          <w:tcPr>
            <w:tcW w:w="2232" w:type="pct"/>
            <w:shd w:val="clear" w:color="auto" w:fill="auto"/>
            <w:vAlign w:val="center"/>
          </w:tcPr>
          <w:p w14:paraId="0D429B24" w14:textId="18001BC3"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3,7758%</w:t>
            </w:r>
          </w:p>
        </w:tc>
      </w:tr>
      <w:tr w:rsidR="00BA1894" w:rsidRPr="001E6E9D" w14:paraId="0953E770" w14:textId="77777777" w:rsidTr="003E09A8">
        <w:trPr>
          <w:trHeight w:val="20"/>
        </w:trPr>
        <w:tc>
          <w:tcPr>
            <w:tcW w:w="1160" w:type="pct"/>
            <w:shd w:val="clear" w:color="auto" w:fill="auto"/>
            <w:vAlign w:val="center"/>
          </w:tcPr>
          <w:p w14:paraId="5B5B801E" w14:textId="0DCE67E9"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7ª</w:t>
            </w:r>
          </w:p>
        </w:tc>
        <w:tc>
          <w:tcPr>
            <w:tcW w:w="1608" w:type="pct"/>
            <w:shd w:val="clear" w:color="auto" w:fill="auto"/>
          </w:tcPr>
          <w:p w14:paraId="604EEDDE" w14:textId="21B672B1"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2029</w:t>
            </w:r>
          </w:p>
        </w:tc>
        <w:tc>
          <w:tcPr>
            <w:tcW w:w="2232" w:type="pct"/>
            <w:shd w:val="clear" w:color="auto" w:fill="auto"/>
            <w:vAlign w:val="center"/>
          </w:tcPr>
          <w:p w14:paraId="4F0837DD" w14:textId="21BD66BD"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4,7210%</w:t>
            </w:r>
          </w:p>
        </w:tc>
      </w:tr>
      <w:tr w:rsidR="00BA1894" w:rsidRPr="001E6E9D" w14:paraId="6EAF4E34" w14:textId="77777777" w:rsidTr="003E09A8">
        <w:trPr>
          <w:trHeight w:val="20"/>
        </w:trPr>
        <w:tc>
          <w:tcPr>
            <w:tcW w:w="1160" w:type="pct"/>
            <w:shd w:val="clear" w:color="auto" w:fill="auto"/>
            <w:vAlign w:val="center"/>
          </w:tcPr>
          <w:p w14:paraId="72E27878" w14:textId="15890B40"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8ª</w:t>
            </w:r>
          </w:p>
        </w:tc>
        <w:tc>
          <w:tcPr>
            <w:tcW w:w="1608" w:type="pct"/>
            <w:shd w:val="clear" w:color="auto" w:fill="auto"/>
          </w:tcPr>
          <w:p w14:paraId="75348A0D" w14:textId="70A2B178"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2030</w:t>
            </w:r>
          </w:p>
        </w:tc>
        <w:tc>
          <w:tcPr>
            <w:tcW w:w="2232" w:type="pct"/>
            <w:shd w:val="clear" w:color="auto" w:fill="auto"/>
            <w:vAlign w:val="center"/>
          </w:tcPr>
          <w:p w14:paraId="7BA11BAA" w14:textId="2B6A8E42"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3,9897%</w:t>
            </w:r>
          </w:p>
        </w:tc>
      </w:tr>
      <w:tr w:rsidR="00BA1894" w:rsidRPr="001E6E9D" w14:paraId="6F177774" w14:textId="77777777" w:rsidTr="003E09A8">
        <w:trPr>
          <w:trHeight w:val="20"/>
        </w:trPr>
        <w:tc>
          <w:tcPr>
            <w:tcW w:w="1160" w:type="pct"/>
            <w:shd w:val="clear" w:color="auto" w:fill="auto"/>
            <w:vAlign w:val="center"/>
          </w:tcPr>
          <w:p w14:paraId="56580E0F" w14:textId="7FAADF04"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9ª</w:t>
            </w:r>
          </w:p>
        </w:tc>
        <w:tc>
          <w:tcPr>
            <w:tcW w:w="1608" w:type="pct"/>
            <w:shd w:val="clear" w:color="auto" w:fill="auto"/>
          </w:tcPr>
          <w:p w14:paraId="0B204851" w14:textId="206F8784"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2030</w:t>
            </w:r>
          </w:p>
        </w:tc>
        <w:tc>
          <w:tcPr>
            <w:tcW w:w="2232" w:type="pct"/>
            <w:shd w:val="clear" w:color="auto" w:fill="auto"/>
            <w:vAlign w:val="center"/>
          </w:tcPr>
          <w:p w14:paraId="7083105B" w14:textId="4F7506A5"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5,1609%</w:t>
            </w:r>
          </w:p>
        </w:tc>
      </w:tr>
      <w:tr w:rsidR="00BA1894" w:rsidRPr="001E6E9D" w14:paraId="787E1406" w14:textId="77777777" w:rsidTr="003E09A8">
        <w:trPr>
          <w:trHeight w:val="20"/>
        </w:trPr>
        <w:tc>
          <w:tcPr>
            <w:tcW w:w="1160" w:type="pct"/>
            <w:shd w:val="clear" w:color="auto" w:fill="auto"/>
            <w:vAlign w:val="center"/>
          </w:tcPr>
          <w:p w14:paraId="724E9BD7" w14:textId="1CA9B128"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10ª</w:t>
            </w:r>
          </w:p>
        </w:tc>
        <w:tc>
          <w:tcPr>
            <w:tcW w:w="1608" w:type="pct"/>
            <w:shd w:val="clear" w:color="auto" w:fill="auto"/>
          </w:tcPr>
          <w:p w14:paraId="4CBD8D4D" w14:textId="1E1C2C41"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2031</w:t>
            </w:r>
          </w:p>
        </w:tc>
        <w:tc>
          <w:tcPr>
            <w:tcW w:w="2232" w:type="pct"/>
            <w:shd w:val="clear" w:color="auto" w:fill="auto"/>
            <w:vAlign w:val="center"/>
          </w:tcPr>
          <w:p w14:paraId="1EE2A91A" w14:textId="53B2982B"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4,6643%</w:t>
            </w:r>
          </w:p>
        </w:tc>
      </w:tr>
      <w:tr w:rsidR="00BA1894" w:rsidRPr="001E6E9D" w14:paraId="1579281E" w14:textId="77777777" w:rsidTr="003E09A8">
        <w:trPr>
          <w:trHeight w:val="20"/>
        </w:trPr>
        <w:tc>
          <w:tcPr>
            <w:tcW w:w="1160" w:type="pct"/>
            <w:shd w:val="clear" w:color="auto" w:fill="auto"/>
            <w:vAlign w:val="center"/>
          </w:tcPr>
          <w:p w14:paraId="17D31242" w14:textId="394390E9"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11ª</w:t>
            </w:r>
          </w:p>
        </w:tc>
        <w:tc>
          <w:tcPr>
            <w:tcW w:w="1608" w:type="pct"/>
            <w:shd w:val="clear" w:color="auto" w:fill="auto"/>
          </w:tcPr>
          <w:p w14:paraId="17702CFE" w14:textId="45BC5D16"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2031</w:t>
            </w:r>
          </w:p>
        </w:tc>
        <w:tc>
          <w:tcPr>
            <w:tcW w:w="2232" w:type="pct"/>
            <w:shd w:val="clear" w:color="auto" w:fill="auto"/>
            <w:vAlign w:val="center"/>
          </w:tcPr>
          <w:p w14:paraId="457ADCE5" w14:textId="664BE7DC"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5,5597%</w:t>
            </w:r>
          </w:p>
        </w:tc>
      </w:tr>
      <w:tr w:rsidR="00BA1894" w:rsidRPr="001E6E9D" w14:paraId="6CB4245C" w14:textId="77777777" w:rsidTr="003E09A8">
        <w:trPr>
          <w:trHeight w:val="20"/>
        </w:trPr>
        <w:tc>
          <w:tcPr>
            <w:tcW w:w="1160" w:type="pct"/>
            <w:shd w:val="clear" w:color="auto" w:fill="auto"/>
            <w:vAlign w:val="center"/>
          </w:tcPr>
          <w:p w14:paraId="6404C217" w14:textId="41D1E797"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12ª</w:t>
            </w:r>
          </w:p>
        </w:tc>
        <w:tc>
          <w:tcPr>
            <w:tcW w:w="1608" w:type="pct"/>
            <w:shd w:val="clear" w:color="auto" w:fill="auto"/>
          </w:tcPr>
          <w:p w14:paraId="2596D93A" w14:textId="57C1F760"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2032</w:t>
            </w:r>
          </w:p>
        </w:tc>
        <w:tc>
          <w:tcPr>
            <w:tcW w:w="2232" w:type="pct"/>
            <w:shd w:val="clear" w:color="auto" w:fill="auto"/>
            <w:vAlign w:val="center"/>
          </w:tcPr>
          <w:p w14:paraId="27185CFD" w14:textId="473C0427"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5,8085%</w:t>
            </w:r>
          </w:p>
        </w:tc>
      </w:tr>
      <w:tr w:rsidR="00BA1894" w:rsidRPr="001E6E9D" w14:paraId="23B27E25" w14:textId="77777777" w:rsidTr="003E09A8">
        <w:trPr>
          <w:trHeight w:val="20"/>
        </w:trPr>
        <w:tc>
          <w:tcPr>
            <w:tcW w:w="1160" w:type="pct"/>
            <w:shd w:val="clear" w:color="auto" w:fill="auto"/>
            <w:vAlign w:val="center"/>
          </w:tcPr>
          <w:p w14:paraId="55E3BE14" w14:textId="0BD5F041"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13ª</w:t>
            </w:r>
          </w:p>
        </w:tc>
        <w:tc>
          <w:tcPr>
            <w:tcW w:w="1608" w:type="pct"/>
            <w:shd w:val="clear" w:color="auto" w:fill="auto"/>
          </w:tcPr>
          <w:p w14:paraId="1CFFEB65" w14:textId="0C0A3669"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2032</w:t>
            </w:r>
          </w:p>
        </w:tc>
        <w:tc>
          <w:tcPr>
            <w:tcW w:w="2232" w:type="pct"/>
            <w:shd w:val="clear" w:color="auto" w:fill="auto"/>
            <w:vAlign w:val="center"/>
          </w:tcPr>
          <w:p w14:paraId="20F64B46" w14:textId="7ED623F2"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6,0833%</w:t>
            </w:r>
          </w:p>
        </w:tc>
      </w:tr>
      <w:tr w:rsidR="00BA1894" w:rsidRPr="001E6E9D" w14:paraId="2C67DB5D" w14:textId="77777777" w:rsidTr="003E09A8">
        <w:trPr>
          <w:trHeight w:val="20"/>
        </w:trPr>
        <w:tc>
          <w:tcPr>
            <w:tcW w:w="1160" w:type="pct"/>
            <w:shd w:val="clear" w:color="auto" w:fill="auto"/>
            <w:vAlign w:val="center"/>
          </w:tcPr>
          <w:p w14:paraId="119E1062" w14:textId="21C31904"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14ª</w:t>
            </w:r>
          </w:p>
        </w:tc>
        <w:tc>
          <w:tcPr>
            <w:tcW w:w="1608" w:type="pct"/>
            <w:shd w:val="clear" w:color="auto" w:fill="auto"/>
          </w:tcPr>
          <w:p w14:paraId="77E74941" w14:textId="7D165EC5"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2033</w:t>
            </w:r>
          </w:p>
        </w:tc>
        <w:tc>
          <w:tcPr>
            <w:tcW w:w="2232" w:type="pct"/>
            <w:shd w:val="clear" w:color="auto" w:fill="auto"/>
            <w:vAlign w:val="center"/>
          </w:tcPr>
          <w:p w14:paraId="7EF231A7" w14:textId="5E3EA9F8"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6,4774%</w:t>
            </w:r>
          </w:p>
        </w:tc>
      </w:tr>
      <w:tr w:rsidR="00BA1894" w:rsidRPr="001E6E9D" w14:paraId="14D771DD" w14:textId="77777777" w:rsidTr="003E09A8">
        <w:trPr>
          <w:trHeight w:val="20"/>
        </w:trPr>
        <w:tc>
          <w:tcPr>
            <w:tcW w:w="1160" w:type="pct"/>
            <w:shd w:val="clear" w:color="auto" w:fill="auto"/>
            <w:vAlign w:val="center"/>
          </w:tcPr>
          <w:p w14:paraId="275756D4" w14:textId="1F40781A"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15ª</w:t>
            </w:r>
          </w:p>
        </w:tc>
        <w:tc>
          <w:tcPr>
            <w:tcW w:w="1608" w:type="pct"/>
            <w:shd w:val="clear" w:color="auto" w:fill="auto"/>
          </w:tcPr>
          <w:p w14:paraId="5CAAC6E6" w14:textId="434F1DC2"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2033</w:t>
            </w:r>
          </w:p>
        </w:tc>
        <w:tc>
          <w:tcPr>
            <w:tcW w:w="2232" w:type="pct"/>
            <w:shd w:val="clear" w:color="auto" w:fill="auto"/>
            <w:vAlign w:val="center"/>
          </w:tcPr>
          <w:p w14:paraId="1E9D5520" w14:textId="4D357970"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7,3055%</w:t>
            </w:r>
          </w:p>
        </w:tc>
      </w:tr>
      <w:tr w:rsidR="00BA1894" w:rsidRPr="001E6E9D" w14:paraId="6EFB9C60" w14:textId="77777777" w:rsidTr="003E09A8">
        <w:trPr>
          <w:trHeight w:val="20"/>
        </w:trPr>
        <w:tc>
          <w:tcPr>
            <w:tcW w:w="1160" w:type="pct"/>
            <w:shd w:val="clear" w:color="auto" w:fill="auto"/>
            <w:vAlign w:val="center"/>
          </w:tcPr>
          <w:p w14:paraId="2837D878" w14:textId="7E1653D9"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16ª</w:t>
            </w:r>
          </w:p>
        </w:tc>
        <w:tc>
          <w:tcPr>
            <w:tcW w:w="1608" w:type="pct"/>
            <w:shd w:val="clear" w:color="auto" w:fill="auto"/>
          </w:tcPr>
          <w:p w14:paraId="01783B61" w14:textId="706509E5"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2034</w:t>
            </w:r>
          </w:p>
        </w:tc>
        <w:tc>
          <w:tcPr>
            <w:tcW w:w="2232" w:type="pct"/>
            <w:shd w:val="clear" w:color="auto" w:fill="auto"/>
            <w:vAlign w:val="center"/>
          </w:tcPr>
          <w:p w14:paraId="7C8AAC29" w14:textId="6F399B69"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7,8813%</w:t>
            </w:r>
          </w:p>
        </w:tc>
      </w:tr>
      <w:tr w:rsidR="00BA1894" w:rsidRPr="001E6E9D" w14:paraId="49CD8BFA" w14:textId="77777777" w:rsidTr="003E09A8">
        <w:trPr>
          <w:trHeight w:val="20"/>
        </w:trPr>
        <w:tc>
          <w:tcPr>
            <w:tcW w:w="1160" w:type="pct"/>
            <w:shd w:val="clear" w:color="auto" w:fill="auto"/>
            <w:vAlign w:val="center"/>
          </w:tcPr>
          <w:p w14:paraId="45AB0171" w14:textId="7EB32020"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17ª</w:t>
            </w:r>
          </w:p>
        </w:tc>
        <w:tc>
          <w:tcPr>
            <w:tcW w:w="1608" w:type="pct"/>
            <w:shd w:val="clear" w:color="auto" w:fill="auto"/>
          </w:tcPr>
          <w:p w14:paraId="4C631B8D" w14:textId="3EF96FA4"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2034</w:t>
            </w:r>
          </w:p>
        </w:tc>
        <w:tc>
          <w:tcPr>
            <w:tcW w:w="2232" w:type="pct"/>
            <w:shd w:val="clear" w:color="auto" w:fill="auto"/>
            <w:vAlign w:val="center"/>
          </w:tcPr>
          <w:p w14:paraId="1124BF5A" w14:textId="023CB3C2"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8,7778%</w:t>
            </w:r>
          </w:p>
        </w:tc>
      </w:tr>
      <w:tr w:rsidR="00BA1894" w:rsidRPr="001E6E9D" w14:paraId="36924611" w14:textId="77777777" w:rsidTr="003E09A8">
        <w:trPr>
          <w:trHeight w:val="20"/>
        </w:trPr>
        <w:tc>
          <w:tcPr>
            <w:tcW w:w="1160" w:type="pct"/>
            <w:shd w:val="clear" w:color="auto" w:fill="auto"/>
            <w:vAlign w:val="center"/>
          </w:tcPr>
          <w:p w14:paraId="6D7FDD12" w14:textId="10E8DDBA"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18ª</w:t>
            </w:r>
          </w:p>
        </w:tc>
        <w:tc>
          <w:tcPr>
            <w:tcW w:w="1608" w:type="pct"/>
            <w:shd w:val="clear" w:color="auto" w:fill="auto"/>
          </w:tcPr>
          <w:p w14:paraId="5D50E0EA" w14:textId="15BCF118"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2035</w:t>
            </w:r>
          </w:p>
        </w:tc>
        <w:tc>
          <w:tcPr>
            <w:tcW w:w="2232" w:type="pct"/>
            <w:shd w:val="clear" w:color="auto" w:fill="auto"/>
            <w:vAlign w:val="center"/>
          </w:tcPr>
          <w:p w14:paraId="02D16813" w14:textId="0C79F17A"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9,7442%</w:t>
            </w:r>
          </w:p>
        </w:tc>
      </w:tr>
      <w:tr w:rsidR="00BA1894" w:rsidRPr="001E6E9D" w14:paraId="2ECE85D9" w14:textId="77777777" w:rsidTr="003E09A8">
        <w:trPr>
          <w:trHeight w:val="20"/>
        </w:trPr>
        <w:tc>
          <w:tcPr>
            <w:tcW w:w="1160" w:type="pct"/>
            <w:shd w:val="clear" w:color="auto" w:fill="auto"/>
            <w:vAlign w:val="center"/>
          </w:tcPr>
          <w:p w14:paraId="2496D79E" w14:textId="440332ED"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19ª</w:t>
            </w:r>
          </w:p>
        </w:tc>
        <w:tc>
          <w:tcPr>
            <w:tcW w:w="1608" w:type="pct"/>
            <w:shd w:val="clear" w:color="auto" w:fill="auto"/>
          </w:tcPr>
          <w:p w14:paraId="49DA7FEC" w14:textId="596F102C"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2035</w:t>
            </w:r>
          </w:p>
        </w:tc>
        <w:tc>
          <w:tcPr>
            <w:tcW w:w="2232" w:type="pct"/>
            <w:shd w:val="clear" w:color="auto" w:fill="auto"/>
            <w:vAlign w:val="center"/>
          </w:tcPr>
          <w:p w14:paraId="5E6A4B10" w14:textId="14CC4799"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9,3117%</w:t>
            </w:r>
          </w:p>
        </w:tc>
      </w:tr>
      <w:tr w:rsidR="00BA1894" w:rsidRPr="001E6E9D" w14:paraId="388FA976" w14:textId="77777777" w:rsidTr="003E09A8">
        <w:trPr>
          <w:trHeight w:val="20"/>
        </w:trPr>
        <w:tc>
          <w:tcPr>
            <w:tcW w:w="1160" w:type="pct"/>
            <w:shd w:val="clear" w:color="auto" w:fill="auto"/>
            <w:vAlign w:val="center"/>
          </w:tcPr>
          <w:p w14:paraId="43F191ED" w14:textId="60E9AA62"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20ª</w:t>
            </w:r>
          </w:p>
        </w:tc>
        <w:tc>
          <w:tcPr>
            <w:tcW w:w="1608" w:type="pct"/>
            <w:shd w:val="clear" w:color="auto" w:fill="auto"/>
          </w:tcPr>
          <w:p w14:paraId="2577FE80" w14:textId="49073650"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2036</w:t>
            </w:r>
          </w:p>
        </w:tc>
        <w:tc>
          <w:tcPr>
            <w:tcW w:w="2232" w:type="pct"/>
            <w:shd w:val="clear" w:color="auto" w:fill="auto"/>
            <w:vAlign w:val="center"/>
          </w:tcPr>
          <w:p w14:paraId="076B4055" w14:textId="34BB76C7"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10,8631%</w:t>
            </w:r>
          </w:p>
        </w:tc>
      </w:tr>
      <w:tr w:rsidR="00BA1894" w:rsidRPr="001E6E9D" w14:paraId="7CAD5FE9" w14:textId="77777777" w:rsidTr="003E09A8">
        <w:trPr>
          <w:trHeight w:val="20"/>
        </w:trPr>
        <w:tc>
          <w:tcPr>
            <w:tcW w:w="1160" w:type="pct"/>
            <w:shd w:val="clear" w:color="auto" w:fill="auto"/>
            <w:vAlign w:val="center"/>
          </w:tcPr>
          <w:p w14:paraId="7A64F0A0" w14:textId="7B76A2F1"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21ª</w:t>
            </w:r>
          </w:p>
        </w:tc>
        <w:tc>
          <w:tcPr>
            <w:tcW w:w="1608" w:type="pct"/>
            <w:shd w:val="clear" w:color="auto" w:fill="auto"/>
          </w:tcPr>
          <w:p w14:paraId="0D702563" w14:textId="7626E6BD"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2036</w:t>
            </w:r>
          </w:p>
        </w:tc>
        <w:tc>
          <w:tcPr>
            <w:tcW w:w="2232" w:type="pct"/>
            <w:shd w:val="clear" w:color="auto" w:fill="auto"/>
            <w:vAlign w:val="center"/>
          </w:tcPr>
          <w:p w14:paraId="2256F2CD" w14:textId="4D6ED04E"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9,8497%</w:t>
            </w:r>
          </w:p>
        </w:tc>
      </w:tr>
      <w:tr w:rsidR="00BA1894" w:rsidRPr="001E6E9D" w14:paraId="07228D0E" w14:textId="77777777" w:rsidTr="003E09A8">
        <w:trPr>
          <w:trHeight w:val="20"/>
        </w:trPr>
        <w:tc>
          <w:tcPr>
            <w:tcW w:w="1160" w:type="pct"/>
            <w:shd w:val="clear" w:color="auto" w:fill="auto"/>
            <w:vAlign w:val="center"/>
          </w:tcPr>
          <w:p w14:paraId="22456BC0" w14:textId="415917D8"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22ª</w:t>
            </w:r>
          </w:p>
        </w:tc>
        <w:tc>
          <w:tcPr>
            <w:tcW w:w="1608" w:type="pct"/>
            <w:shd w:val="clear" w:color="auto" w:fill="auto"/>
          </w:tcPr>
          <w:p w14:paraId="5C437333" w14:textId="688E0AFC"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2037</w:t>
            </w:r>
          </w:p>
        </w:tc>
        <w:tc>
          <w:tcPr>
            <w:tcW w:w="2232" w:type="pct"/>
            <w:shd w:val="clear" w:color="auto" w:fill="auto"/>
            <w:vAlign w:val="center"/>
          </w:tcPr>
          <w:p w14:paraId="22A74C30" w14:textId="2C485FAE"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13,7037%</w:t>
            </w:r>
          </w:p>
        </w:tc>
      </w:tr>
      <w:tr w:rsidR="00BA1894" w:rsidRPr="001E6E9D" w14:paraId="0965FDAB" w14:textId="77777777" w:rsidTr="003E09A8">
        <w:trPr>
          <w:trHeight w:val="20"/>
        </w:trPr>
        <w:tc>
          <w:tcPr>
            <w:tcW w:w="1160" w:type="pct"/>
            <w:shd w:val="clear" w:color="auto" w:fill="auto"/>
            <w:vAlign w:val="center"/>
          </w:tcPr>
          <w:p w14:paraId="538A0DBA" w14:textId="1A4BF1AE"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23ª</w:t>
            </w:r>
          </w:p>
        </w:tc>
        <w:tc>
          <w:tcPr>
            <w:tcW w:w="1608" w:type="pct"/>
            <w:shd w:val="clear" w:color="auto" w:fill="auto"/>
          </w:tcPr>
          <w:p w14:paraId="723D88E3" w14:textId="3CC02B7C"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2037</w:t>
            </w:r>
          </w:p>
        </w:tc>
        <w:tc>
          <w:tcPr>
            <w:tcW w:w="2232" w:type="pct"/>
            <w:shd w:val="clear" w:color="auto" w:fill="auto"/>
            <w:vAlign w:val="center"/>
          </w:tcPr>
          <w:p w14:paraId="3DB95105" w14:textId="33510F63"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13,7339%</w:t>
            </w:r>
          </w:p>
        </w:tc>
      </w:tr>
      <w:tr w:rsidR="00BA1894" w:rsidRPr="001E6E9D" w14:paraId="26E86194" w14:textId="77777777" w:rsidTr="003E09A8">
        <w:trPr>
          <w:trHeight w:val="20"/>
        </w:trPr>
        <w:tc>
          <w:tcPr>
            <w:tcW w:w="1160" w:type="pct"/>
            <w:shd w:val="clear" w:color="auto" w:fill="auto"/>
            <w:vAlign w:val="center"/>
          </w:tcPr>
          <w:p w14:paraId="28C13C39" w14:textId="7A091AF4"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24ª</w:t>
            </w:r>
          </w:p>
        </w:tc>
        <w:tc>
          <w:tcPr>
            <w:tcW w:w="1608" w:type="pct"/>
            <w:shd w:val="clear" w:color="auto" w:fill="auto"/>
          </w:tcPr>
          <w:p w14:paraId="18302BE7" w14:textId="400B58C9"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2038</w:t>
            </w:r>
          </w:p>
        </w:tc>
        <w:tc>
          <w:tcPr>
            <w:tcW w:w="2232" w:type="pct"/>
            <w:shd w:val="clear" w:color="auto" w:fill="auto"/>
            <w:vAlign w:val="center"/>
          </w:tcPr>
          <w:p w14:paraId="0B11048E" w14:textId="0E59F894"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19,9005%</w:t>
            </w:r>
          </w:p>
        </w:tc>
      </w:tr>
      <w:tr w:rsidR="00BA1894" w:rsidRPr="001E6E9D" w14:paraId="29AEFC58" w14:textId="77777777" w:rsidTr="003E09A8">
        <w:trPr>
          <w:trHeight w:val="20"/>
        </w:trPr>
        <w:tc>
          <w:tcPr>
            <w:tcW w:w="1160" w:type="pct"/>
            <w:shd w:val="clear" w:color="auto" w:fill="auto"/>
            <w:vAlign w:val="center"/>
          </w:tcPr>
          <w:p w14:paraId="3BF421C3" w14:textId="16AF2694"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25ª</w:t>
            </w:r>
          </w:p>
        </w:tc>
        <w:tc>
          <w:tcPr>
            <w:tcW w:w="1608" w:type="pct"/>
            <w:shd w:val="clear" w:color="auto" w:fill="auto"/>
          </w:tcPr>
          <w:p w14:paraId="1FC01C1F" w14:textId="1DF39DA4"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2038</w:t>
            </w:r>
          </w:p>
        </w:tc>
        <w:tc>
          <w:tcPr>
            <w:tcW w:w="2232" w:type="pct"/>
            <w:shd w:val="clear" w:color="auto" w:fill="auto"/>
            <w:vAlign w:val="center"/>
          </w:tcPr>
          <w:p w14:paraId="2803826B" w14:textId="25F36689"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20,8075%</w:t>
            </w:r>
          </w:p>
        </w:tc>
      </w:tr>
      <w:tr w:rsidR="00BA1894" w:rsidRPr="001E6E9D" w14:paraId="6F2C89E0" w14:textId="77777777" w:rsidTr="003E09A8">
        <w:trPr>
          <w:trHeight w:val="20"/>
        </w:trPr>
        <w:tc>
          <w:tcPr>
            <w:tcW w:w="1160" w:type="pct"/>
            <w:shd w:val="clear" w:color="auto" w:fill="auto"/>
            <w:vAlign w:val="center"/>
          </w:tcPr>
          <w:p w14:paraId="39137BA9" w14:textId="0BD24556"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26ª</w:t>
            </w:r>
          </w:p>
        </w:tc>
        <w:tc>
          <w:tcPr>
            <w:tcW w:w="1608" w:type="pct"/>
            <w:shd w:val="clear" w:color="auto" w:fill="auto"/>
          </w:tcPr>
          <w:p w14:paraId="3B7BC502" w14:textId="47F8B58F"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janeiro de 2039</w:t>
            </w:r>
          </w:p>
        </w:tc>
        <w:tc>
          <w:tcPr>
            <w:tcW w:w="2232" w:type="pct"/>
            <w:shd w:val="clear" w:color="auto" w:fill="auto"/>
            <w:vAlign w:val="center"/>
          </w:tcPr>
          <w:p w14:paraId="1641A390" w14:textId="2B5A1873"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33,7255%</w:t>
            </w:r>
          </w:p>
        </w:tc>
      </w:tr>
      <w:tr w:rsidR="00BA1894" w:rsidRPr="001E6E9D" w14:paraId="2A746E02" w14:textId="77777777" w:rsidTr="003E09A8">
        <w:trPr>
          <w:trHeight w:val="20"/>
        </w:trPr>
        <w:tc>
          <w:tcPr>
            <w:tcW w:w="1160" w:type="pct"/>
            <w:shd w:val="clear" w:color="auto" w:fill="auto"/>
            <w:vAlign w:val="center"/>
          </w:tcPr>
          <w:p w14:paraId="1AB249EB" w14:textId="2B6A8535" w:rsidR="00BA1894" w:rsidRPr="001E6E9D" w:rsidRDefault="00BA1894" w:rsidP="003E09A8">
            <w:pPr>
              <w:tabs>
                <w:tab w:val="left" w:pos="709"/>
              </w:tabs>
              <w:spacing w:before="40" w:after="40"/>
              <w:jc w:val="center"/>
              <w:outlineLvl w:val="2"/>
              <w:rPr>
                <w:rFonts w:asciiTheme="minorHAnsi" w:eastAsia="Times New Roman" w:hAnsiTheme="minorHAnsi" w:cstheme="minorHAnsi"/>
                <w:b/>
                <w:sz w:val="17"/>
                <w:szCs w:val="17"/>
                <w:lang w:eastAsia="pt-BR"/>
              </w:rPr>
            </w:pPr>
            <w:r w:rsidRPr="001E6E9D">
              <w:rPr>
                <w:rFonts w:asciiTheme="minorHAnsi" w:hAnsiTheme="minorHAnsi" w:cstheme="minorHAnsi"/>
                <w:b/>
                <w:sz w:val="17"/>
                <w:szCs w:val="17"/>
              </w:rPr>
              <w:t>27ª</w:t>
            </w:r>
          </w:p>
        </w:tc>
        <w:tc>
          <w:tcPr>
            <w:tcW w:w="1608" w:type="pct"/>
            <w:shd w:val="clear" w:color="auto" w:fill="auto"/>
          </w:tcPr>
          <w:p w14:paraId="44CA7372" w14:textId="13A4E442" w:rsidR="00BA1894" w:rsidRPr="001E6E9D" w:rsidRDefault="00BA1894" w:rsidP="003E09A8">
            <w:pPr>
              <w:tabs>
                <w:tab w:val="left" w:pos="709"/>
              </w:tabs>
              <w:spacing w:before="40" w:after="40"/>
              <w:jc w:val="center"/>
              <w:outlineLvl w:val="2"/>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15 de julho de 2039</w:t>
            </w:r>
          </w:p>
        </w:tc>
        <w:tc>
          <w:tcPr>
            <w:tcW w:w="2232" w:type="pct"/>
            <w:shd w:val="clear" w:color="auto" w:fill="auto"/>
            <w:vAlign w:val="center"/>
          </w:tcPr>
          <w:p w14:paraId="25BBA34C" w14:textId="37D5690E" w:rsidR="00BA1894" w:rsidRPr="001E6E9D" w:rsidRDefault="00BA1894" w:rsidP="003E09A8">
            <w:pPr>
              <w:spacing w:before="40" w:after="40"/>
              <w:jc w:val="center"/>
              <w:rPr>
                <w:rFonts w:asciiTheme="minorHAnsi" w:eastAsia="Times New Roman" w:hAnsiTheme="minorHAnsi" w:cstheme="minorHAnsi"/>
                <w:color w:val="000000"/>
                <w:sz w:val="17"/>
                <w:szCs w:val="17"/>
                <w:lang w:eastAsia="pt-BR"/>
              </w:rPr>
            </w:pPr>
            <w:r w:rsidRPr="001E6E9D">
              <w:rPr>
                <w:rFonts w:asciiTheme="minorHAnsi" w:hAnsiTheme="minorHAnsi" w:cstheme="minorHAnsi"/>
                <w:sz w:val="17"/>
                <w:szCs w:val="17"/>
              </w:rPr>
              <w:t>37,2781%</w:t>
            </w:r>
          </w:p>
        </w:tc>
      </w:tr>
      <w:tr w:rsidR="00E32957" w:rsidRPr="001E6E9D" w14:paraId="7A194BD9" w14:textId="77777777" w:rsidTr="009A41F9">
        <w:trPr>
          <w:trHeight w:val="20"/>
        </w:trPr>
        <w:tc>
          <w:tcPr>
            <w:tcW w:w="1160" w:type="pct"/>
            <w:shd w:val="clear" w:color="auto" w:fill="auto"/>
            <w:vAlign w:val="center"/>
          </w:tcPr>
          <w:p w14:paraId="4FACFC92" w14:textId="0B2AA2F4" w:rsidR="00E32957" w:rsidRPr="001E6E9D" w:rsidRDefault="00E32957" w:rsidP="003E09A8">
            <w:pPr>
              <w:tabs>
                <w:tab w:val="left" w:pos="709"/>
              </w:tabs>
              <w:spacing w:before="40" w:after="40"/>
              <w:jc w:val="center"/>
              <w:outlineLvl w:val="2"/>
              <w:rPr>
                <w:rFonts w:asciiTheme="minorHAnsi" w:eastAsia="Times New Roman" w:hAnsiTheme="minorHAnsi" w:cstheme="minorHAnsi"/>
                <w:b/>
                <w:bCs/>
                <w:sz w:val="17"/>
                <w:szCs w:val="17"/>
                <w:lang w:eastAsia="pt-BR"/>
              </w:rPr>
            </w:pPr>
            <w:r w:rsidRPr="001E6E9D">
              <w:rPr>
                <w:rFonts w:asciiTheme="minorHAnsi" w:hAnsiTheme="minorHAnsi" w:cstheme="minorHAnsi"/>
                <w:b/>
                <w:bCs/>
                <w:sz w:val="17"/>
                <w:szCs w:val="17"/>
              </w:rPr>
              <w:t>28ª</w:t>
            </w:r>
          </w:p>
        </w:tc>
        <w:tc>
          <w:tcPr>
            <w:tcW w:w="1608" w:type="pct"/>
            <w:shd w:val="clear" w:color="auto" w:fill="auto"/>
            <w:vAlign w:val="center"/>
          </w:tcPr>
          <w:p w14:paraId="3A624F92" w14:textId="7DBA308C" w:rsidR="00E32957" w:rsidRPr="001E6E9D" w:rsidRDefault="00E32957" w:rsidP="003E09A8">
            <w:pPr>
              <w:tabs>
                <w:tab w:val="left" w:pos="709"/>
              </w:tabs>
              <w:spacing w:before="40" w:after="40"/>
              <w:jc w:val="center"/>
              <w:outlineLvl w:val="2"/>
              <w:rPr>
                <w:rFonts w:asciiTheme="minorHAnsi" w:eastAsia="Times New Roman" w:hAnsiTheme="minorHAnsi" w:cstheme="minorHAnsi"/>
                <w:b/>
                <w:bCs/>
                <w:sz w:val="17"/>
                <w:szCs w:val="17"/>
                <w:lang w:eastAsia="pt-BR"/>
              </w:rPr>
            </w:pPr>
            <w:r w:rsidRPr="001E6E9D">
              <w:rPr>
                <w:rFonts w:asciiTheme="minorHAnsi" w:hAnsiTheme="minorHAnsi" w:cstheme="minorHAnsi"/>
                <w:b/>
                <w:bCs/>
                <w:sz w:val="17"/>
                <w:szCs w:val="17"/>
              </w:rPr>
              <w:t>Data de Vencimento</w:t>
            </w:r>
          </w:p>
        </w:tc>
        <w:tc>
          <w:tcPr>
            <w:tcW w:w="2232" w:type="pct"/>
            <w:shd w:val="clear" w:color="auto" w:fill="auto"/>
            <w:vAlign w:val="center"/>
          </w:tcPr>
          <w:p w14:paraId="68936868" w14:textId="6AE556C1" w:rsidR="00E32957" w:rsidRPr="001E6E9D" w:rsidRDefault="00E32957" w:rsidP="003E09A8">
            <w:pPr>
              <w:spacing w:before="40" w:after="40"/>
              <w:jc w:val="center"/>
              <w:rPr>
                <w:rFonts w:asciiTheme="minorHAnsi" w:eastAsia="Times New Roman" w:hAnsiTheme="minorHAnsi" w:cstheme="minorHAnsi"/>
                <w:b/>
                <w:bCs/>
                <w:color w:val="000000"/>
                <w:sz w:val="17"/>
                <w:szCs w:val="17"/>
                <w:lang w:eastAsia="pt-BR"/>
              </w:rPr>
            </w:pPr>
            <w:r w:rsidRPr="001E6E9D">
              <w:rPr>
                <w:rFonts w:asciiTheme="minorHAnsi" w:hAnsiTheme="minorHAnsi" w:cstheme="minorHAnsi"/>
                <w:b/>
                <w:bCs/>
                <w:sz w:val="17"/>
                <w:szCs w:val="17"/>
              </w:rPr>
              <w:t>100,0000%</w:t>
            </w:r>
          </w:p>
        </w:tc>
      </w:tr>
    </w:tbl>
    <w:p w14:paraId="32153CC1" w14:textId="0F45B3C4" w:rsidR="007D23FE" w:rsidRPr="001E6E9D" w:rsidRDefault="0053704D" w:rsidP="00DC7081">
      <w:pPr>
        <w:spacing w:before="140" w:after="140"/>
        <w:ind w:left="1701" w:hanging="567"/>
        <w:rPr>
          <w:rFonts w:asciiTheme="minorHAnsi" w:eastAsia="Arial Unicode MS" w:hAnsiTheme="minorHAnsi" w:cstheme="minorHAnsi"/>
          <w:b/>
          <w:bCs/>
          <w:sz w:val="17"/>
          <w:szCs w:val="17"/>
          <w:lang w:eastAsia="pt-BR"/>
        </w:rPr>
      </w:pPr>
      <w:r w:rsidRPr="001E6E9D">
        <w:rPr>
          <w:rFonts w:asciiTheme="minorHAnsi" w:eastAsia="Times New Roman" w:hAnsiTheme="minorHAnsi" w:cstheme="minorHAnsi"/>
          <w:b/>
          <w:bCs/>
          <w:sz w:val="17"/>
          <w:szCs w:val="17"/>
          <w:lang w:eastAsia="pt-BR"/>
        </w:rPr>
        <w:lastRenderedPageBreak/>
        <w:t>l.2)</w:t>
      </w:r>
      <w:r w:rsidRPr="001E6E9D">
        <w:rPr>
          <w:rFonts w:asciiTheme="minorHAnsi" w:eastAsia="Arial Unicode MS" w:hAnsiTheme="minorHAnsi" w:cstheme="minorHAnsi"/>
          <w:b/>
          <w:bCs/>
          <w:sz w:val="17"/>
          <w:szCs w:val="17"/>
          <w:lang w:eastAsia="pt-BR"/>
        </w:rPr>
        <w:t xml:space="preserve"> </w:t>
      </w:r>
      <w:r w:rsidRPr="001E6E9D">
        <w:rPr>
          <w:rFonts w:asciiTheme="minorHAnsi" w:eastAsia="Arial Unicode MS" w:hAnsiTheme="minorHAnsi" w:cstheme="minorHAnsi"/>
          <w:b/>
          <w:bCs/>
          <w:sz w:val="17"/>
          <w:szCs w:val="17"/>
          <w:lang w:eastAsia="pt-BR"/>
        </w:rPr>
        <w:tab/>
      </w:r>
      <w:r w:rsidR="00C75E87" w:rsidRPr="001E6E9D">
        <w:rPr>
          <w:rFonts w:asciiTheme="minorHAnsi" w:eastAsia="Arial Unicode MS" w:hAnsiTheme="minorHAnsi" w:cstheme="minorHAnsi"/>
          <w:b/>
          <w:bCs/>
          <w:sz w:val="17"/>
          <w:szCs w:val="17"/>
          <w:lang w:eastAsia="pt-BR"/>
        </w:rPr>
        <w:t>Resgate Antecipado Facultativo Total</w:t>
      </w:r>
      <w:r w:rsidR="00C75E87" w:rsidRPr="001E6E9D">
        <w:rPr>
          <w:rFonts w:asciiTheme="minorHAnsi" w:eastAsia="Arial Unicode MS" w:hAnsiTheme="minorHAnsi" w:cstheme="minorHAnsi"/>
          <w:b/>
          <w:sz w:val="17"/>
          <w:szCs w:val="17"/>
          <w:lang w:eastAsia="pt-BR"/>
        </w:rPr>
        <w:t>:</w:t>
      </w:r>
      <w:r w:rsidR="00C75E87" w:rsidRPr="001E6E9D">
        <w:rPr>
          <w:rFonts w:asciiTheme="minorHAnsi" w:eastAsia="Arial Unicode MS" w:hAnsiTheme="minorHAnsi" w:cstheme="minorHAnsi"/>
          <w:b/>
          <w:bCs/>
          <w:sz w:val="17"/>
          <w:szCs w:val="17"/>
          <w:lang w:eastAsia="pt-BR"/>
        </w:rPr>
        <w:t xml:space="preserve"> </w:t>
      </w:r>
      <w:r w:rsidR="00C75E87" w:rsidRPr="001E6E9D">
        <w:rPr>
          <w:rFonts w:asciiTheme="minorHAnsi" w:eastAsia="Arial Unicode MS" w:hAnsiTheme="minorHAnsi" w:cstheme="minorHAnsi"/>
          <w:sz w:val="17"/>
          <w:szCs w:val="17"/>
        </w:rPr>
        <w:t>Observado o disposto no artigo 1º, parágrafo 1º, inciso II, da Lei 12.431, na Resolução CMN 4.751 e/ou nas demais disposições legais e regulamentares aplicáveis, ou de outra forma, desde que venha a ser legalmente permitido e devidamente regulamentado pelo CMN, a Emissora poderá realizar, a seu exclusivo critério e independentemente da vontade dos Debenturistas, o resgate antecipado facultativo</w:t>
      </w:r>
      <w:r w:rsidR="00C75E87" w:rsidRPr="001E6E9D">
        <w:rPr>
          <w:rFonts w:asciiTheme="minorHAnsi" w:eastAsia="Arial Unicode MS" w:hAnsiTheme="minorHAnsi" w:cstheme="minorHAnsi"/>
          <w:i/>
          <w:sz w:val="17"/>
          <w:szCs w:val="17"/>
        </w:rPr>
        <w:t xml:space="preserve"> </w:t>
      </w:r>
      <w:r w:rsidR="00C75E87" w:rsidRPr="001E6E9D">
        <w:rPr>
          <w:rFonts w:asciiTheme="minorHAnsi" w:eastAsia="Arial Unicode MS" w:hAnsiTheme="minorHAnsi" w:cstheme="minorHAnsi"/>
          <w:sz w:val="17"/>
          <w:szCs w:val="17"/>
        </w:rPr>
        <w:t>total das Debêntures, com o consequente cancelamento de tais Debêntures, desde que: (i) o prazo médio ponderado dos pagamentos transcorrido entre a Data de Emissão e a data do efetivo Resgate Antecipado Facultativo Total (conforme definido abaixo) seja superior a 4 (quatro) anos ou outro que venha a ser autorizado pela legislação ou regulamentação aplicáveis; e (ii) a Emissora esteja adimplente com suas obrigações nos termos da Escritura de Emissão (“</w:t>
      </w:r>
      <w:r w:rsidR="00C75E87" w:rsidRPr="001E6E9D">
        <w:rPr>
          <w:rFonts w:asciiTheme="minorHAnsi" w:eastAsia="Arial Unicode MS" w:hAnsiTheme="minorHAnsi" w:cstheme="minorHAnsi"/>
          <w:b/>
          <w:bCs/>
          <w:sz w:val="17"/>
          <w:szCs w:val="17"/>
        </w:rPr>
        <w:t>Resgate Antecipado Facultativo Total</w:t>
      </w:r>
      <w:r w:rsidR="00C75E87" w:rsidRPr="001E6E9D">
        <w:rPr>
          <w:rFonts w:asciiTheme="minorHAnsi" w:eastAsia="Arial Unicode MS" w:hAnsiTheme="minorHAnsi" w:cstheme="minorHAnsi"/>
          <w:sz w:val="17"/>
          <w:szCs w:val="17"/>
        </w:rPr>
        <w:t>”). O prazo médio ponderado mencionado acima será calculado quando da realização do Resgate Antecipado Facultativo Total, nos termos da Resolução CMN 5.034, ou de outra forma, desde que venha a ser legalmente permitido e devidamente regulamentado pelo CMN, nos termos da Lei 12.431.</w:t>
      </w:r>
    </w:p>
    <w:p w14:paraId="07A4D770" w14:textId="58B3E49F" w:rsidR="0053704D" w:rsidRPr="001E6E9D" w:rsidRDefault="00C75E87" w:rsidP="00DC7081">
      <w:pPr>
        <w:spacing w:before="140" w:after="140"/>
        <w:ind w:left="1701" w:hanging="567"/>
        <w:rPr>
          <w:rFonts w:asciiTheme="minorHAnsi" w:hAnsiTheme="minorHAnsi" w:cstheme="minorHAnsi"/>
          <w:sz w:val="17"/>
          <w:szCs w:val="17"/>
        </w:rPr>
      </w:pPr>
      <w:r w:rsidRPr="001E6E9D">
        <w:rPr>
          <w:rFonts w:asciiTheme="minorHAnsi" w:eastAsia="Arial Unicode MS" w:hAnsiTheme="minorHAnsi" w:cstheme="minorHAnsi"/>
          <w:b/>
          <w:sz w:val="17"/>
          <w:szCs w:val="17"/>
          <w:lang w:eastAsia="pt-BR"/>
        </w:rPr>
        <w:t>l.3)</w:t>
      </w:r>
      <w:r w:rsidRPr="001E6E9D">
        <w:rPr>
          <w:rFonts w:asciiTheme="minorHAnsi" w:eastAsia="Arial Unicode MS" w:hAnsiTheme="minorHAnsi" w:cstheme="minorHAnsi"/>
          <w:b/>
          <w:sz w:val="17"/>
          <w:szCs w:val="17"/>
          <w:lang w:eastAsia="pt-BR"/>
        </w:rPr>
        <w:tab/>
      </w:r>
      <w:r w:rsidR="0053704D" w:rsidRPr="001E6E9D">
        <w:rPr>
          <w:rFonts w:asciiTheme="minorHAnsi" w:eastAsia="Arial Unicode MS" w:hAnsiTheme="minorHAnsi" w:cstheme="minorHAnsi"/>
          <w:b/>
          <w:sz w:val="17"/>
          <w:szCs w:val="17"/>
          <w:lang w:eastAsia="pt-BR"/>
        </w:rPr>
        <w:t>Amortização extraordinária facultativa</w:t>
      </w:r>
      <w:r w:rsidR="0053704D" w:rsidRPr="001E6E9D">
        <w:rPr>
          <w:rFonts w:asciiTheme="minorHAnsi" w:eastAsia="Arial Unicode MS" w:hAnsiTheme="minorHAnsi" w:cstheme="minorHAnsi"/>
          <w:b/>
          <w:bCs/>
          <w:sz w:val="17"/>
          <w:szCs w:val="17"/>
          <w:lang w:eastAsia="pt-BR"/>
        </w:rPr>
        <w:t>:</w:t>
      </w:r>
      <w:r w:rsidR="0053704D" w:rsidRPr="001E6E9D">
        <w:rPr>
          <w:rFonts w:asciiTheme="minorHAnsi" w:eastAsia="Times New Roman" w:hAnsiTheme="minorHAnsi" w:cstheme="minorHAnsi"/>
          <w:sz w:val="17"/>
          <w:szCs w:val="17"/>
          <w:lang w:eastAsia="pt-BR"/>
        </w:rPr>
        <w:t xml:space="preserve"> </w:t>
      </w:r>
      <w:r w:rsidR="00E32957" w:rsidRPr="001E6E9D">
        <w:rPr>
          <w:rFonts w:asciiTheme="minorHAnsi" w:hAnsiTheme="minorHAnsi" w:cstheme="minorHAnsi"/>
          <w:sz w:val="17"/>
          <w:szCs w:val="17"/>
        </w:rPr>
        <w:t>observado o disposto no artigo 1º, parágrafo 1º, inciso II, da Lei 12.431, na Resolução CMN 4.751 e/ou nas demais disposições legais e regulamentares aplicáveis, ou de outra forma, desde que venha a ser legalmente permitido e devidamente regulamentado pelo CMN, a Emissora poderá realizar, a seu exclusivo critério e independentemente da vontade dos Debenturistas, a amortização extraordinária facultativa das Debêntures, limitada a 98% (noventa e oito por cento) do Valor Nominal Unitário Atualizado ou do saldo do Valor Nominal Unitário Atualizado das Debêntures (</w:t>
      </w:r>
      <w:r w:rsidR="000D5E35" w:rsidRPr="001E6E9D">
        <w:rPr>
          <w:rFonts w:asciiTheme="minorHAnsi" w:hAnsiTheme="minorHAnsi" w:cstheme="minorHAnsi"/>
          <w:sz w:val="17"/>
          <w:szCs w:val="17"/>
        </w:rPr>
        <w:t>“</w:t>
      </w:r>
      <w:r w:rsidR="00E32957" w:rsidRPr="001E6E9D">
        <w:rPr>
          <w:rFonts w:asciiTheme="minorHAnsi" w:hAnsiTheme="minorHAnsi" w:cstheme="minorHAnsi"/>
          <w:b/>
          <w:bCs/>
          <w:sz w:val="17"/>
          <w:szCs w:val="17"/>
        </w:rPr>
        <w:t>Amortização Extraordinária Facultativa</w:t>
      </w:r>
      <w:r w:rsidR="00E32957" w:rsidRPr="001E6E9D">
        <w:rPr>
          <w:rFonts w:asciiTheme="minorHAnsi" w:hAnsiTheme="minorHAnsi" w:cstheme="minorHAnsi"/>
          <w:sz w:val="17"/>
          <w:szCs w:val="17"/>
        </w:rPr>
        <w:t>”).</w:t>
      </w:r>
    </w:p>
    <w:p w14:paraId="505CC10B" w14:textId="7FCAAC3E" w:rsidR="00E32957" w:rsidRPr="001E6E9D" w:rsidRDefault="00E32957" w:rsidP="00DC7081">
      <w:pPr>
        <w:spacing w:after="140"/>
        <w:ind w:left="1701"/>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 xml:space="preserve">A Emissora realizará a </w:t>
      </w:r>
      <w:r w:rsidRPr="001E6E9D">
        <w:rPr>
          <w:rFonts w:asciiTheme="minorHAnsi" w:hAnsiTheme="minorHAnsi" w:cstheme="minorHAnsi"/>
          <w:sz w:val="17"/>
          <w:szCs w:val="17"/>
        </w:rPr>
        <w:t>Amortização Extraordinária Facultativa</w:t>
      </w:r>
      <w:r w:rsidRPr="001E6E9D">
        <w:rPr>
          <w:rFonts w:asciiTheme="minorHAnsi" w:eastAsia="Arial Unicode MS" w:hAnsiTheme="minorHAnsi" w:cstheme="minorHAnsi"/>
          <w:sz w:val="17"/>
          <w:szCs w:val="17"/>
        </w:rPr>
        <w:t xml:space="preserve"> das Debêntures por meio de comunicação individual enviada aos Debenturistas, ou publicação de anúncio, nos termos da Cláusula 4.19 acima, em os ambos casos com cópia ao Agente Fiduciário, à B3 e à ANBIMA, com, no mínimo, 3 (três) Dias Úteis de antecedência da data prevista para a realização da </w:t>
      </w:r>
      <w:r w:rsidRPr="001E6E9D">
        <w:rPr>
          <w:rFonts w:asciiTheme="minorHAnsi" w:hAnsiTheme="minorHAnsi" w:cstheme="minorHAnsi"/>
          <w:sz w:val="17"/>
          <w:szCs w:val="17"/>
        </w:rPr>
        <w:t>Amortização Extraordinária Facultativa</w:t>
      </w:r>
      <w:r w:rsidRPr="001E6E9D">
        <w:rPr>
          <w:rFonts w:asciiTheme="minorHAnsi" w:eastAsia="Arial Unicode MS" w:hAnsiTheme="minorHAnsi" w:cstheme="minorHAnsi"/>
          <w:sz w:val="17"/>
          <w:szCs w:val="17"/>
        </w:rPr>
        <w:t xml:space="preserve">, a qual deverá conter as seguintes informações: (i) a data pretendida para a realização da </w:t>
      </w:r>
      <w:r w:rsidRPr="001E6E9D">
        <w:rPr>
          <w:rFonts w:asciiTheme="minorHAnsi" w:hAnsiTheme="minorHAnsi" w:cstheme="minorHAnsi"/>
          <w:sz w:val="17"/>
          <w:szCs w:val="17"/>
        </w:rPr>
        <w:t>Amortização Extraordinária Facultativa</w:t>
      </w:r>
      <w:r w:rsidRPr="001E6E9D">
        <w:rPr>
          <w:rFonts w:asciiTheme="minorHAnsi" w:eastAsia="Arial Unicode MS" w:hAnsiTheme="minorHAnsi" w:cstheme="minorHAnsi"/>
          <w:sz w:val="17"/>
          <w:szCs w:val="17"/>
        </w:rPr>
        <w:t>, que deverá ser um Dia Útil; (ii) o Valor do Resgate Antecipado Facultativo Total (conforme definido abaixo); e (iii) quaisquer outras informações consideradas relevantes pela Emissora para conhecimento dos Debenturistas e eventualmente necessárias à operacionalização do Resgate Antecipado Facultativo Total.</w:t>
      </w:r>
    </w:p>
    <w:p w14:paraId="285A2788" w14:textId="03603AAE" w:rsidR="00065DBC" w:rsidRPr="001E6E9D" w:rsidRDefault="00E32957" w:rsidP="00DC7081">
      <w:pPr>
        <w:spacing w:after="140"/>
        <w:ind w:left="1701"/>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 xml:space="preserve">O valor a ser pago por ocasião da </w:t>
      </w:r>
      <w:r w:rsidRPr="001E6E9D">
        <w:rPr>
          <w:rFonts w:asciiTheme="minorHAnsi" w:hAnsiTheme="minorHAnsi" w:cstheme="minorHAnsi"/>
          <w:sz w:val="17"/>
          <w:szCs w:val="17"/>
        </w:rPr>
        <w:t>Amortização Extraordinária Facultativa</w:t>
      </w:r>
      <w:r w:rsidRPr="001E6E9D">
        <w:rPr>
          <w:rFonts w:asciiTheme="minorHAnsi" w:eastAsia="Arial Unicode MS" w:hAnsiTheme="minorHAnsi" w:cstheme="minorHAnsi"/>
          <w:sz w:val="17"/>
          <w:szCs w:val="17"/>
        </w:rPr>
        <w:t xml:space="preserve"> será o equivalente ao maior valor entre (A) e (B) abaixo (</w:t>
      </w:r>
      <w:r w:rsidR="000D5E35" w:rsidRPr="001E6E9D">
        <w:rPr>
          <w:rFonts w:asciiTheme="minorHAnsi" w:eastAsia="Arial Unicode MS" w:hAnsiTheme="minorHAnsi" w:cstheme="minorHAnsi"/>
          <w:sz w:val="17"/>
          <w:szCs w:val="17"/>
        </w:rPr>
        <w:t>“</w:t>
      </w:r>
      <w:r w:rsidRPr="001E6E9D">
        <w:rPr>
          <w:rFonts w:asciiTheme="minorHAnsi" w:eastAsia="Arial Unicode MS" w:hAnsiTheme="minorHAnsi" w:cstheme="minorHAnsi"/>
          <w:b/>
          <w:bCs/>
          <w:sz w:val="17"/>
          <w:szCs w:val="17"/>
        </w:rPr>
        <w:t xml:space="preserve">Valor da </w:t>
      </w:r>
      <w:r w:rsidRPr="001E6E9D">
        <w:rPr>
          <w:rFonts w:asciiTheme="minorHAnsi" w:hAnsiTheme="minorHAnsi" w:cstheme="minorHAnsi"/>
          <w:b/>
          <w:bCs/>
          <w:sz w:val="17"/>
          <w:szCs w:val="17"/>
        </w:rPr>
        <w:t>Amortização Extraordinária Facultativa</w:t>
      </w:r>
      <w:r w:rsidRPr="001E6E9D">
        <w:rPr>
          <w:rFonts w:asciiTheme="minorHAnsi" w:eastAsia="Arial Unicode MS" w:hAnsiTheme="minorHAnsi" w:cstheme="minorHAnsi"/>
          <w:sz w:val="17"/>
          <w:szCs w:val="17"/>
        </w:rPr>
        <w:t>”):</w:t>
      </w:r>
    </w:p>
    <w:p w14:paraId="39B5451F" w14:textId="1FCB9491" w:rsidR="00065DBC" w:rsidRPr="001E6E9D" w:rsidRDefault="00065DBC" w:rsidP="00DC7081">
      <w:pPr>
        <w:tabs>
          <w:tab w:val="left" w:pos="142"/>
          <w:tab w:val="left" w:pos="709"/>
        </w:tabs>
        <w:autoSpaceDE w:val="0"/>
        <w:autoSpaceDN w:val="0"/>
        <w:adjustRightInd w:val="0"/>
        <w:spacing w:after="140"/>
        <w:ind w:left="2268" w:hanging="567"/>
        <w:rPr>
          <w:rFonts w:asciiTheme="minorHAnsi" w:hAnsiTheme="minorHAnsi" w:cstheme="minorHAnsi"/>
          <w:sz w:val="17"/>
          <w:szCs w:val="17"/>
        </w:rPr>
      </w:pPr>
      <w:r w:rsidRPr="001E6E9D">
        <w:rPr>
          <w:rFonts w:asciiTheme="minorHAnsi" w:hAnsiTheme="minorHAnsi" w:cstheme="minorHAnsi"/>
          <w:sz w:val="17"/>
          <w:szCs w:val="17"/>
        </w:rPr>
        <w:t>(A)</w:t>
      </w:r>
      <w:r w:rsidRPr="001E6E9D">
        <w:rPr>
          <w:rFonts w:asciiTheme="minorHAnsi" w:hAnsiTheme="minorHAnsi" w:cstheme="minorHAnsi"/>
          <w:sz w:val="17"/>
          <w:szCs w:val="17"/>
        </w:rPr>
        <w:tab/>
      </w:r>
      <w:r w:rsidR="00E32957" w:rsidRPr="001E6E9D">
        <w:rPr>
          <w:rFonts w:asciiTheme="minorHAnsi" w:hAnsiTheme="minorHAnsi" w:cstheme="minorHAnsi"/>
          <w:sz w:val="17"/>
          <w:szCs w:val="17"/>
        </w:rPr>
        <w:t xml:space="preserve">Percentual do Valor Nominal Atualizado ou do saldo do Valor Nominal Unitário Atualizado das Debêntures a ser amortizado extraordinariamente, acrescido (i) dos Juros Remuneratórios, calculado </w:t>
      </w:r>
      <w:r w:rsidR="00E32957" w:rsidRPr="001E6E9D">
        <w:rPr>
          <w:rFonts w:asciiTheme="minorHAnsi" w:hAnsiTheme="minorHAnsi" w:cstheme="minorHAnsi"/>
          <w:i/>
          <w:iCs/>
          <w:sz w:val="17"/>
          <w:szCs w:val="17"/>
        </w:rPr>
        <w:t>pro rata temporis</w:t>
      </w:r>
      <w:r w:rsidR="00E32957" w:rsidRPr="001E6E9D">
        <w:rPr>
          <w:rFonts w:asciiTheme="minorHAnsi" w:hAnsiTheme="minorHAnsi" w:cstheme="minorHAnsi"/>
          <w:sz w:val="17"/>
          <w:szCs w:val="17"/>
        </w:rPr>
        <w:t xml:space="preserve"> desde a Data de Início da Rentabilidade ou da Data de Pagamento dos Juros Remuneratórios imediatamente anterior, conforme o caso (inclusive), até a data da efetiva Amortização Extraordinária Facultativa (exclusive); (ii) dos Encargos Moratórios, se houver; e (iii) de quaisquer obrigações pecuniárias e outros acréscimos referentes às Debêntures; ou </w:t>
      </w:r>
    </w:p>
    <w:p w14:paraId="27EEA298" w14:textId="3B208717" w:rsidR="00065DBC" w:rsidRPr="001E6E9D" w:rsidRDefault="00065DBC" w:rsidP="00DC7081">
      <w:pPr>
        <w:tabs>
          <w:tab w:val="left" w:pos="142"/>
          <w:tab w:val="left" w:pos="709"/>
        </w:tabs>
        <w:autoSpaceDE w:val="0"/>
        <w:autoSpaceDN w:val="0"/>
        <w:adjustRightInd w:val="0"/>
        <w:spacing w:after="140"/>
        <w:ind w:left="2268" w:hanging="567"/>
        <w:rPr>
          <w:rFonts w:asciiTheme="minorHAnsi" w:hAnsiTheme="minorHAnsi" w:cstheme="minorHAnsi"/>
          <w:sz w:val="17"/>
          <w:szCs w:val="17"/>
        </w:rPr>
      </w:pPr>
      <w:r w:rsidRPr="001E6E9D">
        <w:rPr>
          <w:rFonts w:asciiTheme="minorHAnsi" w:hAnsiTheme="minorHAnsi" w:cstheme="minorHAnsi"/>
          <w:sz w:val="17"/>
          <w:szCs w:val="17"/>
        </w:rPr>
        <w:t>(B)</w:t>
      </w:r>
      <w:r w:rsidRPr="001E6E9D">
        <w:rPr>
          <w:rFonts w:asciiTheme="minorHAnsi" w:hAnsiTheme="minorHAnsi" w:cstheme="minorHAnsi"/>
          <w:sz w:val="17"/>
          <w:szCs w:val="17"/>
        </w:rPr>
        <w:tab/>
      </w:r>
      <w:r w:rsidR="00E32957" w:rsidRPr="001E6E9D">
        <w:rPr>
          <w:rFonts w:asciiTheme="minorHAnsi" w:hAnsiTheme="minorHAnsi" w:cstheme="minorHAnsi"/>
          <w:sz w:val="17"/>
          <w:szCs w:val="17"/>
        </w:rPr>
        <w:t xml:space="preserve">Valor presente de cada parcela remanescente de amortização do Valor Nominal Atualizado e dos Juros Remuneratórios calculados </w:t>
      </w:r>
      <w:r w:rsidR="00E32957" w:rsidRPr="001E6E9D">
        <w:rPr>
          <w:rFonts w:asciiTheme="minorHAnsi" w:hAnsiTheme="minorHAnsi" w:cstheme="minorHAnsi"/>
          <w:i/>
          <w:iCs/>
          <w:sz w:val="17"/>
          <w:szCs w:val="17"/>
        </w:rPr>
        <w:t>pro rata temporis</w:t>
      </w:r>
      <w:r w:rsidR="00E32957" w:rsidRPr="001E6E9D">
        <w:rPr>
          <w:rFonts w:asciiTheme="minorHAnsi" w:hAnsiTheme="minorHAnsi" w:cstheme="minorHAnsi"/>
          <w:sz w:val="17"/>
          <w:szCs w:val="17"/>
        </w:rPr>
        <w:t xml:space="preserve"> desde a data da Amortização Extraordinária Facultativa até a Data de Vencimento, sendo esta soma trazida a valor presente até a data do Resgate Antecipado Facultativo Total das Debêntures, utilizando como taxa de desconto a taxa interna de retorno do título público Tesouro IPCA+ com juros semestrais (NTN-B), com duration mais próxima a duration remanescente das Debêntures, conforme o caso, na data da Amortização Extraordinária Facultativa, utilizando-se a cotação indicativa divulgada pela ANBIMA em sua página na rede mundial de computadores (http://www.anbima.com.br) apurada no segundo Dia Útil imediatamente anterior à data da Amortização Extraordinária Facultativa calculado conforme fórmula abaixo; (ii) dos Encargos Moratórios, se houver; e (iii) de quaisquer obrigações pecuniárias e outros acréscimos referentes às Debêntures:</w:t>
      </w:r>
    </w:p>
    <w:p w14:paraId="6788BF69" w14:textId="77777777" w:rsidR="009E7E8F" w:rsidRPr="009E7E8F" w:rsidRDefault="009E7E8F" w:rsidP="009E7E8F">
      <w:pPr>
        <w:pStyle w:val="Body"/>
        <w:widowControl w:val="0"/>
        <w:spacing w:after="0" w:line="360" w:lineRule="auto"/>
        <w:ind w:left="1361"/>
        <w:rPr>
          <w:rFonts w:asciiTheme="minorHAnsi" w:hAnsiTheme="minorHAnsi" w:cstheme="minorHAnsi"/>
          <w:i/>
          <w:sz w:val="16"/>
          <w:szCs w:val="16"/>
        </w:rPr>
      </w:pPr>
      <m:oMathPara>
        <m:oMathParaPr>
          <m:jc m:val="center"/>
        </m:oMathParaPr>
        <m:oMath>
          <m:r>
            <w:rPr>
              <w:rFonts w:ascii="Cambria Math" w:hAnsi="Cambria Math" w:cstheme="minorHAnsi"/>
              <w:sz w:val="16"/>
              <w:szCs w:val="16"/>
            </w:rPr>
            <m:t>VP=</m:t>
          </m:r>
          <m:d>
            <m:dPr>
              <m:begChr m:val="["/>
              <m:endChr m:val="]"/>
              <m:ctrlPr>
                <w:rPr>
                  <w:rFonts w:ascii="Cambria Math" w:hAnsi="Cambria Math" w:cstheme="minorHAnsi"/>
                  <w:i/>
                  <w:sz w:val="16"/>
                  <w:szCs w:val="16"/>
                </w:rPr>
              </m:ctrlPr>
            </m:dPr>
            <m:e>
              <m:nary>
                <m:naryPr>
                  <m:chr m:val="∑"/>
                  <m:limLoc m:val="undOvr"/>
                  <m:ctrlPr>
                    <w:rPr>
                      <w:rFonts w:ascii="Cambria Math" w:hAnsi="Cambria Math" w:cstheme="minorHAnsi"/>
                      <w:i/>
                      <w:sz w:val="16"/>
                      <w:szCs w:val="16"/>
                    </w:rPr>
                  </m:ctrlPr>
                </m:naryPr>
                <m:sub>
                  <m:r>
                    <w:rPr>
                      <w:rFonts w:ascii="Cambria Math" w:hAnsi="Cambria Math" w:cstheme="minorHAnsi"/>
                      <w:sz w:val="16"/>
                      <w:szCs w:val="16"/>
                    </w:rPr>
                    <m:t>k=1</m:t>
                  </m:r>
                </m:sub>
                <m:sup>
                  <m:r>
                    <w:rPr>
                      <w:rFonts w:ascii="Cambria Math" w:hAnsi="Cambria Math" w:cstheme="minorHAnsi"/>
                      <w:sz w:val="16"/>
                      <w:szCs w:val="16"/>
                    </w:rPr>
                    <m:t>n</m:t>
                  </m:r>
                </m:sup>
                <m:e>
                  <m:d>
                    <m:dPr>
                      <m:ctrlPr>
                        <w:rPr>
                          <w:rFonts w:ascii="Cambria Math" w:hAnsi="Cambria Math" w:cstheme="minorHAnsi"/>
                          <w:i/>
                          <w:sz w:val="16"/>
                          <w:szCs w:val="16"/>
                        </w:rPr>
                      </m:ctrlPr>
                    </m:dPr>
                    <m:e>
                      <m:f>
                        <m:fPr>
                          <m:ctrlPr>
                            <w:rPr>
                              <w:rFonts w:ascii="Cambria Math" w:hAnsi="Cambria Math" w:cstheme="minorHAnsi"/>
                              <w:i/>
                              <w:sz w:val="16"/>
                              <w:szCs w:val="16"/>
                            </w:rPr>
                          </m:ctrlPr>
                        </m:fPr>
                        <m:num>
                          <m:r>
                            <w:rPr>
                              <w:rFonts w:ascii="Cambria Math" w:hAnsi="Cambria Math" w:cstheme="minorHAnsi"/>
                              <w:sz w:val="16"/>
                              <w:szCs w:val="16"/>
                            </w:rPr>
                            <m:t>VNEk</m:t>
                          </m:r>
                        </m:num>
                        <m:den>
                          <m:r>
                            <w:rPr>
                              <w:rFonts w:ascii="Cambria Math" w:hAnsi="Cambria Math" w:cstheme="minorHAnsi"/>
                              <w:sz w:val="16"/>
                              <w:szCs w:val="16"/>
                            </w:rPr>
                            <m:t>FVPk</m:t>
                          </m:r>
                        </m:den>
                      </m:f>
                      <m:r>
                        <w:rPr>
                          <w:rFonts w:ascii="Cambria Math" w:hAnsi="Cambria Math" w:cstheme="minorHAnsi"/>
                          <w:sz w:val="16"/>
                          <w:szCs w:val="16"/>
                        </w:rPr>
                        <m:t xml:space="preserve"> </m:t>
                      </m:r>
                    </m:e>
                  </m:d>
                </m:e>
              </m:nary>
            </m:e>
          </m:d>
        </m:oMath>
      </m:oMathPara>
    </w:p>
    <w:p w14:paraId="22713314" w14:textId="77777777"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onde:</w:t>
      </w:r>
    </w:p>
    <w:p w14:paraId="709CEB00" w14:textId="77777777"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VP = somatório do valor presente das parcelas de pagamento das Debêntures;</w:t>
      </w:r>
    </w:p>
    <w:p w14:paraId="7561AC91" w14:textId="77777777"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C = Fator da variação acumulada do IPCA, apurado e divulgado pelo IBGE calculado com 8 (oito) casas decimais, sem arredondamento, apurado desde a Data de Início da Rentabilidade até a data do Resgate Antecipado Facultativo;</w:t>
      </w:r>
    </w:p>
    <w:p w14:paraId="3792CD61" w14:textId="16C1E2BF"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 xml:space="preserve">VNEk = valor unitário de cada um dos </w:t>
      </w:r>
      <w:r w:rsidR="000D5E35" w:rsidRPr="001E6E9D">
        <w:rPr>
          <w:rFonts w:asciiTheme="minorHAnsi" w:hAnsiTheme="minorHAnsi" w:cstheme="minorHAnsi"/>
          <w:sz w:val="17"/>
          <w:szCs w:val="17"/>
        </w:rPr>
        <w:t>“</w:t>
      </w:r>
      <w:r w:rsidRPr="001E6E9D">
        <w:rPr>
          <w:rFonts w:asciiTheme="minorHAnsi" w:hAnsiTheme="minorHAnsi" w:cstheme="minorHAnsi"/>
          <w:sz w:val="17"/>
          <w:szCs w:val="17"/>
        </w:rPr>
        <w:t xml:space="preserve">k” valores futuros devidos das Debêntures, sendo o valor de cada parcela </w:t>
      </w:r>
      <w:r w:rsidR="000D5E35" w:rsidRPr="001E6E9D">
        <w:rPr>
          <w:rFonts w:asciiTheme="minorHAnsi" w:hAnsiTheme="minorHAnsi" w:cstheme="minorHAnsi"/>
          <w:sz w:val="17"/>
          <w:szCs w:val="17"/>
        </w:rPr>
        <w:t>“</w:t>
      </w:r>
      <w:r w:rsidRPr="001E6E9D">
        <w:rPr>
          <w:rFonts w:asciiTheme="minorHAnsi" w:hAnsiTheme="minorHAnsi" w:cstheme="minorHAnsi"/>
          <w:sz w:val="17"/>
          <w:szCs w:val="17"/>
        </w:rPr>
        <w:t>k” equivalente ao pagamento dos Juros Remuneratórios das Debêntures e/ou da amortização do saldo do Valor Nominal Unitário das Debêntures, conforme o caso;</w:t>
      </w:r>
    </w:p>
    <w:p w14:paraId="7C61D0A6" w14:textId="3BD007B1"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 xml:space="preserve">n = número total de eventos de pagamento a serem realizados das Debêntures, conforme o caso, sendo </w:t>
      </w:r>
      <w:r w:rsidR="000D5E35" w:rsidRPr="001E6E9D">
        <w:rPr>
          <w:rFonts w:asciiTheme="minorHAnsi" w:hAnsiTheme="minorHAnsi" w:cstheme="minorHAnsi"/>
          <w:sz w:val="17"/>
          <w:szCs w:val="17"/>
        </w:rPr>
        <w:t>“</w:t>
      </w:r>
      <w:r w:rsidRPr="001E6E9D">
        <w:rPr>
          <w:rFonts w:asciiTheme="minorHAnsi" w:hAnsiTheme="minorHAnsi" w:cstheme="minorHAnsi"/>
          <w:sz w:val="17"/>
          <w:szCs w:val="17"/>
        </w:rPr>
        <w:t>n” um número inteiro;</w:t>
      </w:r>
    </w:p>
    <w:p w14:paraId="253FEB41" w14:textId="77777777"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FVPk = fator de valor presente, apurado conforme fórmula a seguir, calculado com 9 (nove) casas decimais, com arredondamento:</w:t>
      </w:r>
    </w:p>
    <w:p w14:paraId="10EA37A3" w14:textId="77777777" w:rsidR="00065DBC" w:rsidRPr="001E6E9D" w:rsidRDefault="00E32957" w:rsidP="00DC7081">
      <w:pPr>
        <w:pStyle w:val="PargrafodaLista"/>
        <w:tabs>
          <w:tab w:val="left" w:pos="142"/>
          <w:tab w:val="left" w:pos="1134"/>
        </w:tabs>
        <w:spacing w:after="140"/>
        <w:ind w:left="1701"/>
        <w:contextualSpacing w:val="0"/>
        <w:jc w:val="center"/>
        <w:rPr>
          <w:rFonts w:asciiTheme="minorHAnsi" w:hAnsiTheme="minorHAnsi" w:cstheme="minorHAnsi"/>
          <w:sz w:val="17"/>
          <w:szCs w:val="17"/>
        </w:rPr>
      </w:pPr>
      <w:r w:rsidRPr="001E6E9D">
        <w:rPr>
          <w:rFonts w:asciiTheme="minorHAnsi" w:hAnsiTheme="minorHAnsi" w:cstheme="minorHAnsi"/>
          <w:sz w:val="17"/>
          <w:szCs w:val="17"/>
        </w:rPr>
        <w:t>FVPk=</w:t>
      </w:r>
      <w:r w:rsidRPr="001E6E9D">
        <w:rPr>
          <w:rFonts w:asciiTheme="minorHAnsi" w:eastAsia="Cambria Math" w:hAnsiTheme="minorHAnsi" w:cstheme="minorHAnsi"/>
          <w:sz w:val="17"/>
          <w:szCs w:val="17"/>
        </w:rPr>
        <w:t>〖</w:t>
      </w:r>
      <w:r w:rsidRPr="001E6E9D">
        <w:rPr>
          <w:rFonts w:asciiTheme="minorHAnsi" w:hAnsiTheme="minorHAnsi" w:cstheme="minorHAnsi"/>
          <w:sz w:val="17"/>
          <w:szCs w:val="17"/>
        </w:rPr>
        <w:t>{[(1+TESOUROIPCA)</w:t>
      </w:r>
      <w:r w:rsidRPr="001E6E9D">
        <w:rPr>
          <w:rFonts w:asciiTheme="minorHAnsi" w:eastAsia="Cambria Math" w:hAnsiTheme="minorHAnsi" w:cstheme="minorHAnsi"/>
          <w:sz w:val="17"/>
          <w:szCs w:val="17"/>
        </w:rPr>
        <w:t>〗</w:t>
      </w:r>
      <w:r w:rsidRPr="001E6E9D">
        <w:rPr>
          <w:rFonts w:asciiTheme="minorHAnsi" w:hAnsiTheme="minorHAnsi" w:cstheme="minorHAnsi"/>
          <w:sz w:val="17"/>
          <w:szCs w:val="17"/>
        </w:rPr>
        <w:t>^(nk/252)]}</w:t>
      </w:r>
    </w:p>
    <w:p w14:paraId="34DE92BE" w14:textId="77777777" w:rsidR="00065DBC" w:rsidRPr="001E6E9D" w:rsidRDefault="00E32957" w:rsidP="003E09A8">
      <w:pPr>
        <w:pStyle w:val="PargrafodaLista"/>
        <w:keepNext/>
        <w:keepLines/>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lastRenderedPageBreak/>
        <w:t>onde:</w:t>
      </w:r>
    </w:p>
    <w:p w14:paraId="5C8B8B9B" w14:textId="77777777"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 xml:space="preserve">TESOUROIPCA = taxa interna de retorno da NTN-B, com duration mais próxima a duration remanescente das Debêntures na data do efetivo resgate; </w:t>
      </w:r>
    </w:p>
    <w:p w14:paraId="3640CB62" w14:textId="11ED5A9C"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 xml:space="preserve">nk = número de Dias Úteis entre a data da Amortização Extraordinária Facultativa e a data de vencimento programada de cada parcela </w:t>
      </w:r>
      <w:r w:rsidR="000D5E35" w:rsidRPr="001E6E9D">
        <w:rPr>
          <w:rFonts w:asciiTheme="minorHAnsi" w:hAnsiTheme="minorHAnsi" w:cstheme="minorHAnsi"/>
          <w:sz w:val="17"/>
          <w:szCs w:val="17"/>
        </w:rPr>
        <w:t>“</w:t>
      </w:r>
      <w:r w:rsidRPr="001E6E9D">
        <w:rPr>
          <w:rFonts w:asciiTheme="minorHAnsi" w:hAnsiTheme="minorHAnsi" w:cstheme="minorHAnsi"/>
          <w:sz w:val="17"/>
          <w:szCs w:val="17"/>
        </w:rPr>
        <w:t>k” vincenda.</w:t>
      </w:r>
    </w:p>
    <w:p w14:paraId="6CB779CB" w14:textId="5D1299CF" w:rsidR="00065DBC"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i/>
          <w:iCs/>
          <w:sz w:val="17"/>
          <w:szCs w:val="17"/>
        </w:rPr>
        <w:t xml:space="preserve">Duration </w:t>
      </w:r>
      <w:r w:rsidRPr="001E6E9D">
        <w:rPr>
          <w:rFonts w:asciiTheme="minorHAnsi" w:hAnsiTheme="minorHAnsi" w:cstheme="minorHAnsi"/>
          <w:sz w:val="17"/>
          <w:szCs w:val="17"/>
        </w:rPr>
        <w:t>= equivale à somatória da ponderação dos prazos de vencimento de cada pagamento dos Juros Remuneratórios das Debêntures, pelo seu valor presente, calculada em anos, conforme fórmula abaixo:</w:t>
      </w:r>
    </w:p>
    <w:p w14:paraId="76531AB6" w14:textId="2DA3898B" w:rsidR="009E7E8F" w:rsidRDefault="00B44FA2" w:rsidP="005E7D51">
      <w:pPr>
        <w:pStyle w:val="PargrafodaLista"/>
        <w:tabs>
          <w:tab w:val="left" w:pos="142"/>
          <w:tab w:val="left" w:pos="1134"/>
        </w:tabs>
        <w:spacing w:after="140"/>
        <w:ind w:left="1701"/>
        <w:contextualSpacing w:val="0"/>
        <w:jc w:val="center"/>
        <w:rPr>
          <w:rFonts w:asciiTheme="minorHAnsi" w:hAnsiTheme="minorHAnsi" w:cstheme="minorHAnsi"/>
          <w:sz w:val="17"/>
          <w:szCs w:val="17"/>
        </w:rPr>
      </w:pPr>
      <w:r w:rsidRPr="001E4BA8">
        <w:rPr>
          <w:rFonts w:ascii="Verdana" w:hAnsi="Verdana" w:cs="Segoe UI"/>
          <w:noProof/>
          <w:szCs w:val="20"/>
        </w:rPr>
        <w:drawing>
          <wp:inline distT="0" distB="0" distL="0" distR="0" wp14:anchorId="75E0702F" wp14:editId="2C86E98E">
            <wp:extent cx="1713865" cy="714375"/>
            <wp:effectExtent l="0" t="0" r="635" b="9525"/>
            <wp:docPr id="1653817538" name="Imagem 165381753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45391" name="Imagem 5" descr="Uma imagem contendo Texto&#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1713865" cy="714375"/>
                    </a:xfrm>
                    <a:prstGeom prst="rect">
                      <a:avLst/>
                    </a:prstGeom>
                  </pic:spPr>
                </pic:pic>
              </a:graphicData>
            </a:graphic>
          </wp:inline>
        </w:drawing>
      </w:r>
    </w:p>
    <w:p w14:paraId="7E7952DB" w14:textId="73EFFE7C"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n = número de Datas de Pagamento dos Juros Remuneratórios e/ou Datas de Amortização das Debêntures;</w:t>
      </w:r>
    </w:p>
    <w:p w14:paraId="52FF8C6A" w14:textId="522C4B78"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t = número de Dias Úteis entre a data da Amortização Extraordinária Facultativa e as Datas de Pagamento dos Juros Remuneratórios e/ou Datas de Amortização das Debêntures previstas n</w:t>
      </w:r>
      <w:r w:rsidR="00C75E87" w:rsidRPr="001E6E9D">
        <w:rPr>
          <w:rFonts w:asciiTheme="minorHAnsi" w:hAnsiTheme="minorHAnsi" w:cstheme="minorHAnsi"/>
          <w:sz w:val="17"/>
          <w:szCs w:val="17"/>
        </w:rPr>
        <w:t>a Escritura</w:t>
      </w:r>
      <w:r w:rsidRPr="001E6E9D">
        <w:rPr>
          <w:rFonts w:asciiTheme="minorHAnsi" w:hAnsiTheme="minorHAnsi" w:cstheme="minorHAnsi"/>
          <w:sz w:val="17"/>
          <w:szCs w:val="17"/>
        </w:rPr>
        <w:t xml:space="preserve"> de Emissão;</w:t>
      </w:r>
    </w:p>
    <w:p w14:paraId="010904CB" w14:textId="77777777" w:rsidR="00065DBC"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FCt = valor projetado de pagamento de Juros Remuneratórios e/ou amortização programada no prazo de t dias úteis; e</w:t>
      </w:r>
    </w:p>
    <w:p w14:paraId="52460560" w14:textId="2C8C0279" w:rsidR="00E32957" w:rsidRPr="001E6E9D" w:rsidRDefault="00E32957" w:rsidP="00DC7081">
      <w:pPr>
        <w:pStyle w:val="PargrafodaLista"/>
        <w:tabs>
          <w:tab w:val="left" w:pos="142"/>
          <w:tab w:val="left" w:pos="1134"/>
        </w:tabs>
        <w:spacing w:after="140"/>
        <w:ind w:left="1701"/>
        <w:contextualSpacing w:val="0"/>
        <w:rPr>
          <w:rFonts w:asciiTheme="minorHAnsi" w:hAnsiTheme="minorHAnsi" w:cstheme="minorHAnsi"/>
          <w:sz w:val="17"/>
          <w:szCs w:val="17"/>
        </w:rPr>
      </w:pPr>
      <w:r w:rsidRPr="001E6E9D">
        <w:rPr>
          <w:rFonts w:asciiTheme="minorHAnsi" w:hAnsiTheme="minorHAnsi" w:cstheme="minorHAnsi"/>
          <w:sz w:val="17"/>
          <w:szCs w:val="17"/>
        </w:rPr>
        <w:t xml:space="preserve">i = </w:t>
      </w:r>
      <w:r w:rsidR="00680A4C" w:rsidRPr="009A41F9">
        <w:rPr>
          <w:rFonts w:asciiTheme="minorHAnsi" w:hAnsiTheme="minorHAnsi" w:cstheme="minorHAnsi"/>
          <w:sz w:val="17"/>
          <w:szCs w:val="17"/>
        </w:rPr>
        <w:t>taxa de remuneração até, no máximo, em percentual e ao ano</w:t>
      </w:r>
      <w:r w:rsidR="00680A4C" w:rsidRPr="005F4B19">
        <w:rPr>
          <w:rFonts w:asciiTheme="minorHAnsi" w:hAnsiTheme="minorHAnsi" w:cstheme="minorHAnsi"/>
          <w:sz w:val="17"/>
          <w:szCs w:val="17"/>
        </w:rPr>
        <w:t>, aquela definida na Cláusula 4.11.1 da Escritura de Emissão</w:t>
      </w:r>
      <w:r w:rsidRPr="001E6E9D">
        <w:rPr>
          <w:rFonts w:asciiTheme="minorHAnsi" w:hAnsiTheme="minorHAnsi" w:cstheme="minorHAnsi"/>
          <w:sz w:val="17"/>
          <w:szCs w:val="17"/>
        </w:rPr>
        <w:t>.</w:t>
      </w:r>
    </w:p>
    <w:p w14:paraId="1473B370" w14:textId="77C4D589" w:rsidR="00E32957" w:rsidRPr="001E6E9D" w:rsidRDefault="00E32957" w:rsidP="00DC7081">
      <w:pPr>
        <w:spacing w:after="140"/>
        <w:ind w:left="1701"/>
        <w:rPr>
          <w:rFonts w:asciiTheme="minorHAnsi" w:eastAsia="Times New Roman" w:hAnsiTheme="minorHAnsi" w:cstheme="minorHAnsi"/>
          <w:sz w:val="17"/>
          <w:szCs w:val="17"/>
          <w:lang w:eastAsia="pt-BR"/>
        </w:rPr>
      </w:pPr>
      <w:r w:rsidRPr="001E6E9D">
        <w:rPr>
          <w:rFonts w:asciiTheme="minorHAnsi" w:eastAsia="Arial Unicode MS" w:hAnsiTheme="minorHAnsi" w:cstheme="minorHAnsi"/>
          <w:sz w:val="17"/>
          <w:szCs w:val="17"/>
        </w:rPr>
        <w:t>A Amortização Extraordinária Facultativa ocorrerá, conforme o caso, de acordo com: (i) os procedimentos estabelecidos pela B3, para as Debêntures custodiadas eletronicamente na B3; ou (ii) os procedimentos adotados pelo Agente de Liquidação e Escriturador, para as Debêntures que não estiverem custodiadas eletronicamente na B3.</w:t>
      </w:r>
    </w:p>
    <w:p w14:paraId="59E9A1CD" w14:textId="34E080DC" w:rsidR="003468A1" w:rsidRPr="001E6E9D" w:rsidRDefault="0053704D" w:rsidP="00DC7081">
      <w:pPr>
        <w:spacing w:after="140"/>
        <w:ind w:left="1701"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l.</w:t>
      </w:r>
      <w:r w:rsidR="00C75E87" w:rsidRPr="001E6E9D">
        <w:rPr>
          <w:rFonts w:asciiTheme="minorHAnsi" w:eastAsia="Times New Roman" w:hAnsiTheme="minorHAnsi" w:cstheme="minorHAnsi"/>
          <w:b/>
          <w:bCs/>
          <w:sz w:val="17"/>
          <w:szCs w:val="17"/>
          <w:lang w:eastAsia="pt-BR"/>
        </w:rPr>
        <w:t>4</w:t>
      </w:r>
      <w:r w:rsidRPr="001E6E9D">
        <w:rPr>
          <w:rFonts w:asciiTheme="minorHAnsi" w:eastAsia="Times New Roman" w:hAnsiTheme="minorHAnsi" w:cstheme="minorHAnsi"/>
          <w:b/>
          <w:bCs/>
          <w:sz w:val="17"/>
          <w:szCs w:val="17"/>
          <w:lang w:eastAsia="pt-BR"/>
        </w:rPr>
        <w:t xml:space="preserve">) </w:t>
      </w:r>
      <w:r w:rsidRPr="001E6E9D">
        <w:rPr>
          <w:rFonts w:asciiTheme="minorHAnsi" w:eastAsia="Times New Roman" w:hAnsiTheme="minorHAnsi" w:cstheme="minorHAnsi"/>
          <w:b/>
          <w:bCs/>
          <w:sz w:val="17"/>
          <w:szCs w:val="17"/>
          <w:lang w:eastAsia="pt-BR"/>
        </w:rPr>
        <w:tab/>
      </w:r>
      <w:r w:rsidR="007D23FE" w:rsidRPr="001E6E9D">
        <w:rPr>
          <w:rFonts w:asciiTheme="minorHAnsi" w:eastAsia="Times New Roman" w:hAnsiTheme="minorHAnsi" w:cstheme="minorHAnsi"/>
          <w:b/>
          <w:bCs/>
          <w:sz w:val="17"/>
          <w:szCs w:val="17"/>
          <w:lang w:eastAsia="pt-BR"/>
        </w:rPr>
        <w:t xml:space="preserve">Oferta de </w:t>
      </w:r>
      <w:r w:rsidRPr="001E6E9D">
        <w:rPr>
          <w:rFonts w:asciiTheme="minorHAnsi" w:eastAsia="Times New Roman" w:hAnsiTheme="minorHAnsi" w:cstheme="minorHAnsi"/>
          <w:b/>
          <w:bCs/>
          <w:sz w:val="17"/>
          <w:szCs w:val="17"/>
          <w:lang w:eastAsia="pt-BR"/>
        </w:rPr>
        <w:t xml:space="preserve">Resgate </w:t>
      </w:r>
      <w:r w:rsidR="007D23FE" w:rsidRPr="001E6E9D">
        <w:rPr>
          <w:rFonts w:asciiTheme="minorHAnsi" w:eastAsia="Times New Roman" w:hAnsiTheme="minorHAnsi" w:cstheme="minorHAnsi"/>
          <w:b/>
          <w:bCs/>
          <w:sz w:val="17"/>
          <w:szCs w:val="17"/>
          <w:lang w:eastAsia="pt-BR"/>
        </w:rPr>
        <w:t>A</w:t>
      </w:r>
      <w:r w:rsidRPr="001E6E9D">
        <w:rPr>
          <w:rFonts w:asciiTheme="minorHAnsi" w:eastAsia="Times New Roman" w:hAnsiTheme="minorHAnsi" w:cstheme="minorHAnsi"/>
          <w:b/>
          <w:bCs/>
          <w:sz w:val="17"/>
          <w:szCs w:val="17"/>
          <w:lang w:eastAsia="pt-BR"/>
        </w:rPr>
        <w:t>ntecipado</w:t>
      </w:r>
      <w:r w:rsidRPr="001E6E9D">
        <w:rPr>
          <w:rFonts w:asciiTheme="minorHAnsi" w:eastAsia="Times New Roman" w:hAnsiTheme="minorHAnsi" w:cstheme="minorHAnsi"/>
          <w:b/>
          <w:sz w:val="17"/>
          <w:szCs w:val="17"/>
          <w:lang w:eastAsia="pt-BR"/>
        </w:rPr>
        <w:t>:</w:t>
      </w:r>
      <w:r w:rsidRPr="001E6E9D">
        <w:rPr>
          <w:rFonts w:asciiTheme="minorHAnsi" w:eastAsia="Times New Roman" w:hAnsiTheme="minorHAnsi" w:cstheme="minorHAnsi"/>
          <w:sz w:val="17"/>
          <w:szCs w:val="17"/>
          <w:lang w:eastAsia="pt-BR"/>
        </w:rPr>
        <w:t xml:space="preserve"> </w:t>
      </w:r>
      <w:r w:rsidR="00E32957" w:rsidRPr="001E6E9D">
        <w:rPr>
          <w:rFonts w:asciiTheme="minorHAnsi" w:eastAsia="Arial Unicode MS" w:hAnsiTheme="minorHAnsi" w:cstheme="minorHAnsi"/>
          <w:sz w:val="17"/>
          <w:szCs w:val="17"/>
        </w:rPr>
        <w:t>desde que se observem: (i) o prazo médio ponderado dos pagamentos transcorridos entre a Data de Emissão e a data do efetivo resgate superior a 4 (quatro) anos ou outro que venha a ser autorizado pela legislação ou regulamentação aplicáveis; e (ii) o disposto nas regras expedidas pelo CMN e na legislação e regulamentação aplicáveis, incluindo, bem como no inciso II do parágrafo 1º do artigo 1º da Lei 12.431, a Emissora poderá realizar, a qualquer momento e a seu exclusivo critério</w:t>
      </w:r>
      <w:r w:rsidR="00E32957" w:rsidRPr="001E6E9D">
        <w:rPr>
          <w:rFonts w:asciiTheme="minorHAnsi" w:hAnsiTheme="minorHAnsi" w:cstheme="minorHAnsi"/>
          <w:sz w:val="17"/>
          <w:szCs w:val="17"/>
        </w:rPr>
        <w:t xml:space="preserve">, </w:t>
      </w:r>
      <w:r w:rsidR="00E32957" w:rsidRPr="001E6E9D">
        <w:rPr>
          <w:rFonts w:asciiTheme="minorHAnsi" w:eastAsia="Arial Unicode MS" w:hAnsiTheme="minorHAnsi" w:cstheme="minorHAnsi"/>
          <w:sz w:val="17"/>
          <w:szCs w:val="17"/>
        </w:rPr>
        <w:t>oferta de resgate antecipado da totalidade das Debêntures, com o consequente cancelamento das Debêntures resgatadas (</w:t>
      </w:r>
      <w:r w:rsidR="000D5E35" w:rsidRPr="001E6E9D">
        <w:rPr>
          <w:rFonts w:asciiTheme="minorHAnsi" w:eastAsia="Arial Unicode MS" w:hAnsiTheme="minorHAnsi" w:cstheme="minorHAnsi"/>
          <w:sz w:val="17"/>
          <w:szCs w:val="17"/>
        </w:rPr>
        <w:t>“</w:t>
      </w:r>
      <w:r w:rsidR="00E32957" w:rsidRPr="001E6E9D">
        <w:rPr>
          <w:rFonts w:asciiTheme="minorHAnsi" w:eastAsia="Arial Unicode MS" w:hAnsiTheme="minorHAnsi" w:cstheme="minorHAnsi"/>
          <w:b/>
          <w:bCs/>
          <w:sz w:val="17"/>
          <w:szCs w:val="17"/>
        </w:rPr>
        <w:t>Oferta de Resgate Antecipado</w:t>
      </w:r>
      <w:r w:rsidR="00E32957" w:rsidRPr="001E6E9D">
        <w:rPr>
          <w:rFonts w:asciiTheme="minorHAnsi" w:eastAsia="Arial Unicode MS" w:hAnsiTheme="minorHAnsi" w:cstheme="minorHAnsi"/>
          <w:sz w:val="17"/>
          <w:szCs w:val="17"/>
        </w:rPr>
        <w:t>”). A Oferta de Resgate Antecipado será endereçada a todos os Debenturistas, sem distinção, assegurada a igualdade de condições a todos os Debenturistas para aceitar o resgate antecipado das Debêntures de que forem titulares, de acordo com os termos e condições previstos nas Cláusulas abaixo. O prazo médio ponderado mencionado acima será calculado quando da realização da Oferta de Resgate Antecipado, nos termos da Resolução CMN 5.034, ou de outra forma, desde que venha a ser legalmente permitido e devidamente regulamentado pelo CMN, nos termos da Lei 12.431.</w:t>
      </w:r>
    </w:p>
    <w:p w14:paraId="72F12590" w14:textId="4E0A98FF" w:rsidR="003468A1" w:rsidRPr="001E6E9D" w:rsidRDefault="00E32957" w:rsidP="00DC7081">
      <w:pPr>
        <w:spacing w:after="140"/>
        <w:ind w:left="1701"/>
        <w:rPr>
          <w:rFonts w:asciiTheme="minorHAnsi" w:hAnsiTheme="minorHAnsi" w:cstheme="minorHAnsi"/>
          <w:sz w:val="17"/>
          <w:szCs w:val="17"/>
        </w:rPr>
      </w:pPr>
      <w:r w:rsidRPr="001E6E9D">
        <w:rPr>
          <w:rFonts w:asciiTheme="minorHAnsi" w:hAnsiTheme="minorHAnsi" w:cstheme="minorHAnsi"/>
          <w:sz w:val="17"/>
          <w:szCs w:val="17"/>
        </w:rPr>
        <w:t>A Emissora realizará a Oferta de Resgate Antecipado por meio de comunicação enviada aos Debenturistas, ou publicação de anúncio, em ambos casos com cópia ao Agente Fiduciário e à B3, devendo, com antecedência mínima de 20 (vinte) Dias Úteis para a data prevista para realização do resgate antecipado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Comunicado de Oferta de Resgate Antecipado</w:t>
      </w:r>
      <w:r w:rsidRPr="001E6E9D">
        <w:rPr>
          <w:rFonts w:asciiTheme="minorHAnsi" w:hAnsiTheme="minorHAnsi" w:cstheme="minorHAnsi"/>
          <w:sz w:val="17"/>
          <w:szCs w:val="17"/>
        </w:rPr>
        <w:t xml:space="preserve">”), sendo que na referida comunicação deverá constar os termos e condições da Oferta de Resgate Antecipado, incluindo: (i) se for o caso, o valor do prêmio de resgate antecipado a ser oferecido pela Emissora, que não poderá ser negativo e deverá observar, ainda, o disposto no inciso III, do artigo 1º, da Resolução CMN 4.751; (ii) a forma e prazo de manifestação à Emissora, com cópia ao Agente Fiduciário, pelos Debenturistas que optarem pela adesão à Oferta de Resgate Antecipado; (iii) a data efetiva para o resgate antecipado das Debêntures e o pagamento das quantias devidas aos Debenturistas, que deverá ser um Dia Útil; e (iv) as demais informações necessárias para a tomada de decisão pelos Debenturistas e para a operacionalização da Oferta de Resgate Antecipado. </w:t>
      </w:r>
    </w:p>
    <w:p w14:paraId="311D65F5" w14:textId="729C22D1" w:rsidR="00E32957" w:rsidRPr="001E6E9D" w:rsidRDefault="00E32957" w:rsidP="00DC7081">
      <w:pPr>
        <w:spacing w:after="140"/>
        <w:ind w:left="1701"/>
        <w:rPr>
          <w:rFonts w:asciiTheme="minorHAnsi" w:hAnsiTheme="minorHAnsi" w:cstheme="minorHAnsi"/>
          <w:sz w:val="17"/>
          <w:szCs w:val="17"/>
        </w:rPr>
      </w:pPr>
      <w:r w:rsidRPr="001E6E9D">
        <w:rPr>
          <w:rFonts w:asciiTheme="minorHAnsi" w:hAnsiTheme="minorHAnsi" w:cstheme="minorHAnsi"/>
          <w:sz w:val="17"/>
          <w:szCs w:val="17"/>
        </w:rPr>
        <w:t>Após a publicação ou comunicação dos termos da Oferta de Resgate Antecipado, os Debenturistas que optarem pela adesão à referida oferta terão que se manifestar à Emissora, no prazo e forma dispostos no Comunicado de Oferta de Resgate Antecipado, findo o qual a Emissora terá o prazo de 10 (dez) Dias Úteis para proceder à liquidação da Oferta de Resgate Antecipado, a qual ocorrerá em uma única data para todas as Debêntures objeto da Oferta de Resgate Antecipado, observado que a Emissora somente poderá resgatar antecipadamente a quantidade de Debêntures que tenha sido indicada por seus respectivos titulares em adesão à Oferta de Resgate Antecipado, com exceção do previsto no item (b) abaixo. Fica desde já aprovado que (a) caso seja legalmente permitido, o resgate antecipado poderá ser efetivado apenas em relação aos Debenturistas que tenham manifestado sua aceitação à Oferta de Resgate Antecipado ou, (b) caso não seja legalmente permitida a realização de resgate parcial, desde que a Oferta de Resgate Antecipado tenha sido aceita por Debenturistas representando, pelo menos, 75% (setenta e cinco por cento) das Debêntures em Circulação, a Oferta de Regate Antecipado será mandatoriamente vinculativa à totalidade das Debêntures.</w:t>
      </w:r>
    </w:p>
    <w:p w14:paraId="5B0FB024" w14:textId="1A8F6110" w:rsidR="00E32957" w:rsidRPr="001E6E9D" w:rsidRDefault="00E32957" w:rsidP="00DC7081">
      <w:pPr>
        <w:spacing w:after="140"/>
        <w:ind w:left="1701"/>
        <w:rPr>
          <w:rFonts w:asciiTheme="minorHAnsi" w:hAnsiTheme="minorHAnsi" w:cstheme="minorHAnsi"/>
          <w:sz w:val="17"/>
          <w:szCs w:val="17"/>
        </w:rPr>
      </w:pPr>
      <w:r w:rsidRPr="001E6E9D">
        <w:rPr>
          <w:rFonts w:asciiTheme="minorHAnsi" w:hAnsiTheme="minorHAnsi" w:cstheme="minorHAnsi"/>
          <w:sz w:val="17"/>
          <w:szCs w:val="17"/>
        </w:rPr>
        <w:t>A Emissora deverá: (i) na data de término do prazo de adesão à Oferta de Resgate Antecipado, confirmar ao Agente Fiduciário se o resgate antecipado das Debêntures será efetivamente realizado; e (ii) com antecedência mínima de 3 (três) Dias Úteis da data do resgate antecipado, comunicar ao Escriturador, ao Agente de Liquidação, à B3 e ao Agente Fiduciário a data do resgate antecipado.</w:t>
      </w:r>
    </w:p>
    <w:p w14:paraId="4551DB7F" w14:textId="6D1093B8" w:rsidR="00E32957" w:rsidRPr="001E6E9D" w:rsidRDefault="00E32957" w:rsidP="00DC7081">
      <w:pPr>
        <w:spacing w:after="140"/>
        <w:ind w:left="1701"/>
        <w:rPr>
          <w:rFonts w:asciiTheme="minorHAnsi" w:hAnsiTheme="minorHAnsi" w:cstheme="minorHAnsi"/>
          <w:sz w:val="17"/>
          <w:szCs w:val="17"/>
        </w:rPr>
      </w:pPr>
      <w:bookmarkStart w:id="63" w:name="_Ref121957628"/>
      <w:r w:rsidRPr="001E6E9D">
        <w:rPr>
          <w:rFonts w:asciiTheme="minorHAnsi" w:hAnsiTheme="minorHAnsi" w:cstheme="minorHAnsi"/>
          <w:sz w:val="17"/>
          <w:szCs w:val="17"/>
        </w:rPr>
        <w:lastRenderedPageBreak/>
        <w:t xml:space="preserve">O valor a ser pago aos Debenturistas, no âmbito do resgate antecipado decorrente da Oferta de Resgate Antecipado, em relação a cada uma das Debêntures será equivalente ao </w:t>
      </w:r>
      <w:r w:rsidRPr="001E6E9D">
        <w:rPr>
          <w:rStyle w:val="DeltaViewInsertion"/>
          <w:rFonts w:asciiTheme="minorHAnsi" w:hAnsiTheme="minorHAnsi" w:cstheme="minorHAnsi"/>
          <w:color w:val="auto"/>
          <w:sz w:val="17"/>
          <w:szCs w:val="17"/>
          <w:u w:val="none"/>
        </w:rPr>
        <w:t xml:space="preserve">Valor Nominal Atualizado das Debêntures, acrescido (i) dos Juros Remuneratórios calculados </w:t>
      </w:r>
      <w:r w:rsidRPr="001E6E9D">
        <w:rPr>
          <w:rStyle w:val="DeltaViewInsertion"/>
          <w:rFonts w:asciiTheme="minorHAnsi" w:hAnsiTheme="minorHAnsi" w:cstheme="minorHAnsi"/>
          <w:i/>
          <w:color w:val="auto"/>
          <w:sz w:val="17"/>
          <w:szCs w:val="17"/>
          <w:u w:val="none"/>
        </w:rPr>
        <w:t>pro rata temporis</w:t>
      </w:r>
      <w:r w:rsidRPr="001E6E9D">
        <w:rPr>
          <w:rStyle w:val="DeltaViewInsertion"/>
          <w:rFonts w:asciiTheme="minorHAnsi" w:hAnsiTheme="minorHAnsi" w:cstheme="minorHAnsi"/>
          <w:color w:val="auto"/>
          <w:sz w:val="17"/>
          <w:szCs w:val="17"/>
          <w:u w:val="none"/>
        </w:rPr>
        <w:t xml:space="preserve">, a partir da </w:t>
      </w:r>
      <w:r w:rsidRPr="001E6E9D">
        <w:rPr>
          <w:rFonts w:asciiTheme="minorHAnsi" w:hAnsiTheme="minorHAnsi" w:cstheme="minorHAnsi"/>
          <w:bCs/>
          <w:iCs/>
          <w:sz w:val="17"/>
          <w:szCs w:val="17"/>
        </w:rPr>
        <w:t>Data de Início da Rentabilidade</w:t>
      </w:r>
      <w:r w:rsidRPr="001E6E9D">
        <w:rPr>
          <w:rStyle w:val="DeltaViewInsertion"/>
          <w:rFonts w:asciiTheme="minorHAnsi" w:hAnsiTheme="minorHAnsi" w:cstheme="minorHAnsi"/>
          <w:color w:val="auto"/>
          <w:sz w:val="17"/>
          <w:szCs w:val="17"/>
          <w:u w:val="none"/>
        </w:rPr>
        <w:t xml:space="preserve"> ou da Data de Pagamento dos Juros Remuneratórios imediatamente anterior, conforme o caso (inclusive), até a data do resgate (exclusive)</w:t>
      </w:r>
      <w:r w:rsidRPr="001E6E9D">
        <w:rPr>
          <w:rFonts w:asciiTheme="minorHAnsi" w:hAnsiTheme="minorHAnsi" w:cstheme="minorHAnsi"/>
          <w:sz w:val="17"/>
          <w:szCs w:val="17"/>
        </w:rPr>
        <w:t>; (ii) dos Encargos Moratórios, se houver; e (iii) se for o caso, do prêmio de resgate indicado no Comunicado de Oferta de Resgate Antecipado.</w:t>
      </w:r>
      <w:bookmarkEnd w:id="63"/>
    </w:p>
    <w:p w14:paraId="411913AC" w14:textId="5463D559" w:rsidR="00CD75B5" w:rsidRPr="001E6E9D" w:rsidRDefault="00CD75B5" w:rsidP="003E09A8">
      <w:pPr>
        <w:keepNext/>
        <w:keepLines/>
        <w:spacing w:after="140"/>
        <w:ind w:left="1701"/>
        <w:rPr>
          <w:rFonts w:asciiTheme="minorHAnsi" w:hAnsiTheme="minorHAnsi" w:cstheme="minorHAnsi"/>
          <w:sz w:val="17"/>
          <w:szCs w:val="17"/>
        </w:rPr>
      </w:pPr>
      <w:r w:rsidRPr="001E6E9D">
        <w:rPr>
          <w:rFonts w:asciiTheme="minorHAnsi" w:hAnsiTheme="minorHAnsi" w:cstheme="minorHAnsi"/>
          <w:sz w:val="17"/>
          <w:szCs w:val="17"/>
        </w:rPr>
        <w:t>As Debêntures resgatadas no âmbito da Oferta de Resgate Antecipado serão obrigatoriamente canceladas.</w:t>
      </w:r>
    </w:p>
    <w:p w14:paraId="76CDD393" w14:textId="022FB61F" w:rsidR="00E32957" w:rsidRPr="001E6E9D" w:rsidRDefault="00CD75B5" w:rsidP="00DC7081">
      <w:pPr>
        <w:spacing w:after="140"/>
        <w:ind w:left="1701"/>
        <w:rPr>
          <w:rFonts w:asciiTheme="minorHAnsi" w:eastAsia="Arial Unicode MS" w:hAnsiTheme="minorHAnsi" w:cstheme="minorHAnsi"/>
          <w:sz w:val="17"/>
          <w:szCs w:val="17"/>
          <w:lang w:eastAsia="pt-BR"/>
        </w:rPr>
      </w:pPr>
      <w:bookmarkStart w:id="64" w:name="_Ref114685429"/>
      <w:r w:rsidRPr="001E6E9D">
        <w:rPr>
          <w:rFonts w:asciiTheme="minorHAnsi" w:hAnsiTheme="minorHAnsi" w:cstheme="minorHAnsi"/>
          <w:sz w:val="17"/>
          <w:szCs w:val="17"/>
        </w:rPr>
        <w:t>O resgate antecipado ocorrerá, conforme o caso, de acordo com: (i) os procedimentos estabelecidos pela B3, para as Debêntures custodiadas eletronicamente na B3; ou (ii) os procedimentos adotados pelo Escriturador, para as Debêntures que não estiverem custodiadas eletronicamente na B3.</w:t>
      </w:r>
      <w:bookmarkEnd w:id="64"/>
    </w:p>
    <w:p w14:paraId="0FE21774" w14:textId="2DF86D0D" w:rsidR="003468A1" w:rsidRPr="001E6E9D" w:rsidRDefault="0053704D" w:rsidP="00DC7081">
      <w:pPr>
        <w:spacing w:after="140"/>
        <w:ind w:left="1701" w:hanging="567"/>
        <w:rPr>
          <w:rFonts w:asciiTheme="minorHAnsi" w:eastAsia="Times New Roman" w:hAnsiTheme="minorHAnsi" w:cstheme="minorHAnsi"/>
          <w:sz w:val="17"/>
          <w:szCs w:val="17"/>
          <w:lang w:eastAsia="pt-BR"/>
        </w:rPr>
      </w:pPr>
      <w:r w:rsidRPr="001E6E9D">
        <w:rPr>
          <w:rFonts w:asciiTheme="minorHAnsi" w:eastAsia="Arial Unicode MS" w:hAnsiTheme="minorHAnsi" w:cstheme="minorHAnsi"/>
          <w:b/>
          <w:sz w:val="17"/>
          <w:szCs w:val="17"/>
          <w:lang w:eastAsia="pt-BR"/>
        </w:rPr>
        <w:t>l.</w:t>
      </w:r>
      <w:r w:rsidR="00C75E87" w:rsidRPr="001E6E9D">
        <w:rPr>
          <w:rFonts w:asciiTheme="minorHAnsi" w:eastAsia="Arial Unicode MS" w:hAnsiTheme="minorHAnsi" w:cstheme="minorHAnsi"/>
          <w:b/>
          <w:sz w:val="17"/>
          <w:szCs w:val="17"/>
          <w:lang w:eastAsia="pt-BR"/>
        </w:rPr>
        <w:t>5</w:t>
      </w:r>
      <w:r w:rsidRPr="001E6E9D">
        <w:rPr>
          <w:rFonts w:asciiTheme="minorHAnsi" w:eastAsia="Arial Unicode MS" w:hAnsiTheme="minorHAnsi" w:cstheme="minorHAnsi"/>
          <w:b/>
          <w:sz w:val="17"/>
          <w:szCs w:val="17"/>
          <w:lang w:eastAsia="pt-BR"/>
        </w:rPr>
        <w:t xml:space="preserve">) </w:t>
      </w:r>
      <w:r w:rsidRPr="001E6E9D">
        <w:rPr>
          <w:rFonts w:asciiTheme="minorHAnsi" w:eastAsia="Arial Unicode MS" w:hAnsiTheme="minorHAnsi" w:cstheme="minorHAnsi"/>
          <w:b/>
          <w:sz w:val="17"/>
          <w:szCs w:val="17"/>
          <w:lang w:eastAsia="pt-BR"/>
        </w:rPr>
        <w:tab/>
      </w:r>
      <w:r w:rsidR="00A355AD" w:rsidRPr="001E6E9D">
        <w:rPr>
          <w:rFonts w:asciiTheme="minorHAnsi" w:eastAsia="Arial Unicode MS" w:hAnsiTheme="minorHAnsi" w:cstheme="minorHAnsi"/>
          <w:b/>
          <w:sz w:val="17"/>
          <w:szCs w:val="17"/>
          <w:lang w:eastAsia="pt-BR"/>
        </w:rPr>
        <w:t>Amortização Extraordinária Facultativa para Cura</w:t>
      </w:r>
      <w:bookmarkStart w:id="65" w:name="_Hlk2085722"/>
      <w:r w:rsidRPr="001E6E9D">
        <w:rPr>
          <w:rFonts w:asciiTheme="minorHAnsi" w:eastAsia="Times New Roman" w:hAnsiTheme="minorHAnsi" w:cstheme="minorHAnsi"/>
          <w:b/>
          <w:sz w:val="17"/>
          <w:szCs w:val="17"/>
          <w:lang w:eastAsia="pt-BR" w:bidi="pt-BR"/>
        </w:rPr>
        <w:t>:</w:t>
      </w:r>
      <w:r w:rsidRPr="001E6E9D">
        <w:rPr>
          <w:rFonts w:asciiTheme="minorHAnsi" w:eastAsia="Times New Roman" w:hAnsiTheme="minorHAnsi" w:cstheme="minorHAnsi"/>
          <w:sz w:val="17"/>
          <w:szCs w:val="17"/>
          <w:lang w:eastAsia="pt-BR" w:bidi="pt-BR"/>
        </w:rPr>
        <w:t xml:space="preserve"> </w:t>
      </w:r>
      <w:r w:rsidR="00A355AD" w:rsidRPr="001E6E9D">
        <w:rPr>
          <w:rFonts w:asciiTheme="minorHAnsi" w:hAnsiTheme="minorHAnsi" w:cstheme="minorHAnsi"/>
          <w:sz w:val="17"/>
          <w:szCs w:val="17"/>
        </w:rPr>
        <w:t>caso seja legalmente permitido nos termos da legislação aplicável, e observados os termos da Lei 12.431 e outros requisitos que porventura venham a ser estabelecidos na legislação aplicável, a Emissora poderá, a seu exclusivo critério e independentemente da vontade dos Debenturistas, após decorridos os prazos fixados na legislação pertinente, nos termos do artigo 1º, parágrafo 1º, inciso II, combinado com o artigo 2º, parágrafo 1º, da Lei 12.431, ou antes de tal data, desde que venha a ser legalmente permitido, nos termos da Lei 12.431, da regulamentação do CMN ou de outra legislação ou regulamentação aplicável, realizar a amortização extraordinária parcial do Valor Nominal Unitário Atualizado, mediante a ocorrência de qualquer dos Eventos de Inadimplemento que admitam a possibilidade de cura por meio de uma amortização extraordinária para cura, em montante equivalente à Proporção do Projeto Afetado (conforme definido) (</w:t>
      </w:r>
      <w:r w:rsidR="000D5E35" w:rsidRPr="001E6E9D">
        <w:rPr>
          <w:rFonts w:asciiTheme="minorHAnsi" w:hAnsiTheme="minorHAnsi" w:cstheme="minorHAnsi"/>
          <w:sz w:val="17"/>
          <w:szCs w:val="17"/>
        </w:rPr>
        <w:t>“</w:t>
      </w:r>
      <w:r w:rsidR="00A355AD" w:rsidRPr="001E6E9D">
        <w:rPr>
          <w:rFonts w:asciiTheme="minorHAnsi" w:hAnsiTheme="minorHAnsi" w:cstheme="minorHAnsi"/>
          <w:b/>
          <w:bCs/>
          <w:sz w:val="17"/>
          <w:szCs w:val="17"/>
        </w:rPr>
        <w:t>Amortização Extraordinária Facultativa para Cura</w:t>
      </w:r>
      <w:r w:rsidR="00A355AD" w:rsidRPr="001E6E9D">
        <w:rPr>
          <w:rFonts w:asciiTheme="minorHAnsi" w:hAnsiTheme="minorHAnsi" w:cstheme="minorHAnsi"/>
          <w:sz w:val="17"/>
          <w:szCs w:val="17"/>
        </w:rPr>
        <w:t xml:space="preserve">”). </w:t>
      </w:r>
      <w:bookmarkEnd w:id="65"/>
    </w:p>
    <w:p w14:paraId="6FAA642D" w14:textId="2BF8BAAF" w:rsidR="003468A1" w:rsidRPr="001E6E9D" w:rsidRDefault="00A355AD" w:rsidP="00DC7081">
      <w:pPr>
        <w:spacing w:after="140"/>
        <w:ind w:left="1701"/>
        <w:rPr>
          <w:rFonts w:asciiTheme="minorHAnsi" w:eastAsia="Times New Roman" w:hAnsiTheme="minorHAnsi" w:cstheme="minorHAnsi"/>
          <w:sz w:val="17"/>
          <w:szCs w:val="17"/>
          <w:lang w:eastAsia="pt-BR"/>
        </w:rPr>
      </w:pPr>
      <w:bookmarkStart w:id="66" w:name="_Ref177323140"/>
      <w:r w:rsidRPr="001E6E9D">
        <w:rPr>
          <w:rFonts w:asciiTheme="minorHAnsi" w:hAnsiTheme="minorHAnsi" w:cstheme="minorHAnsi"/>
          <w:sz w:val="17"/>
          <w:szCs w:val="17"/>
        </w:rPr>
        <w:t xml:space="preserve">Para fins da Escritura de Emissão, </w:t>
      </w:r>
      <w:r w:rsidR="000D5E35" w:rsidRPr="001E6E9D">
        <w:rPr>
          <w:rFonts w:asciiTheme="minorHAnsi" w:hAnsiTheme="minorHAnsi" w:cstheme="minorHAnsi"/>
          <w:sz w:val="17"/>
          <w:szCs w:val="17"/>
        </w:rPr>
        <w:t>“</w:t>
      </w:r>
      <w:r w:rsidRPr="001E6E9D">
        <w:rPr>
          <w:rFonts w:asciiTheme="minorHAnsi" w:hAnsiTheme="minorHAnsi" w:cstheme="minorHAnsi"/>
          <w:sz w:val="17"/>
          <w:szCs w:val="17"/>
          <w:u w:val="single"/>
        </w:rPr>
        <w:t>Proporção do Projeto Afetado</w:t>
      </w:r>
      <w:r w:rsidRPr="001E6E9D">
        <w:rPr>
          <w:rFonts w:asciiTheme="minorHAnsi" w:hAnsiTheme="minorHAnsi" w:cstheme="minorHAnsi"/>
          <w:sz w:val="17"/>
          <w:szCs w:val="17"/>
        </w:rPr>
        <w:t>” significa o resultado (i) do percentual calculado com base na razão da capacidade instalada do Projeto que tenha sido afetado pelo Eventos de Inadimplemento aplicável, em MWp, pela capacidade instalada total do Projeto, também em MWp; multiplicado pela (ii) soma do Valor Nominal Unitário Atualizado da quantidade total de Debêntures.</w:t>
      </w:r>
      <w:bookmarkEnd w:id="66"/>
    </w:p>
    <w:p w14:paraId="76D20489" w14:textId="26835E44" w:rsidR="003468A1" w:rsidRPr="001E6E9D" w:rsidRDefault="00A355AD" w:rsidP="00DC7081">
      <w:pPr>
        <w:spacing w:after="140"/>
        <w:ind w:left="1701"/>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 xml:space="preserve">A Amortização Extraordinária Facultativa para Cura somente será realizada mediante o envio de comunicação individual aos Debenturistas ou publicação de aviso aos Debenturistas, nos termos da Cláusula 4.19 acima, em ambos os casos com cópia para o Agente Fiduciário, a B3 e a ANBIMA (em qualquer caso,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Comunicação de Amortização Extraordinária</w:t>
      </w:r>
      <w:r w:rsidRPr="001E6E9D">
        <w:rPr>
          <w:rFonts w:asciiTheme="minorHAnsi" w:hAnsiTheme="minorHAnsi" w:cstheme="minorHAnsi"/>
          <w:sz w:val="17"/>
          <w:szCs w:val="17"/>
        </w:rPr>
        <w:t>”), com no mínimo 3 (três) Dias Úteis de antecedência da data em que se pretende realizar a efetiva Amortização Extraordinária Facultativa para Cura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Data da Amortização Extraordinária Facultativa para Cura</w:t>
      </w:r>
      <w:r w:rsidRPr="001E6E9D">
        <w:rPr>
          <w:rFonts w:asciiTheme="minorHAnsi" w:hAnsiTheme="minorHAnsi" w:cstheme="minorHAnsi"/>
          <w:sz w:val="17"/>
          <w:szCs w:val="17"/>
        </w:rPr>
        <w:t>”), sendo que em referida Comunicação de Amortização Extraordinária deverá constar (i) a Data da Amortização Extraordinária Facultativa para Cura, que deverá ser um Dia Útil; (ii) a menção do valor a ser pago com relação à Amortização Extraordinária Facultativa para Cura, conforme descrito na Cláusula 5.4.1. acima; (iii) quaisquer outras informações necessárias à operacionalização da Amortização Extraordinária Facultativa para Cura; e (iv) quaisquer outras informações consideradas relevantes pela Emissora para conhecimento dos Debenturistas</w:t>
      </w:r>
      <w:r w:rsidR="0053704D" w:rsidRPr="001E6E9D">
        <w:rPr>
          <w:rFonts w:asciiTheme="minorHAnsi" w:eastAsia="Times New Roman" w:hAnsiTheme="minorHAnsi" w:cstheme="minorHAnsi"/>
          <w:sz w:val="17"/>
          <w:szCs w:val="17"/>
          <w:lang w:eastAsia="pt-BR"/>
        </w:rPr>
        <w:t>.</w:t>
      </w:r>
    </w:p>
    <w:p w14:paraId="7204F513" w14:textId="55263928" w:rsidR="003468A1" w:rsidRPr="001E6E9D" w:rsidRDefault="00A355AD" w:rsidP="00DC7081">
      <w:pPr>
        <w:spacing w:after="140"/>
        <w:ind w:left="1701"/>
        <w:rPr>
          <w:rFonts w:asciiTheme="minorHAnsi" w:eastAsia="Times New Roman" w:hAnsiTheme="minorHAnsi" w:cstheme="minorHAnsi"/>
          <w:sz w:val="17"/>
          <w:szCs w:val="17"/>
          <w:lang w:eastAsia="pt-BR"/>
        </w:rPr>
      </w:pPr>
      <w:bookmarkStart w:id="67" w:name="_Ref177323329"/>
      <w:r w:rsidRPr="001E6E9D">
        <w:rPr>
          <w:rFonts w:asciiTheme="minorHAnsi" w:hAnsiTheme="minorHAnsi" w:cstheme="minorHAnsi"/>
          <w:sz w:val="17"/>
          <w:szCs w:val="17"/>
        </w:rPr>
        <w:t xml:space="preserve">Por ocasião da Amortização Extraordinária Facultativa para Cura, o valor devido pela Emissora </w:t>
      </w:r>
      <w:bookmarkEnd w:id="67"/>
      <w:r w:rsidRPr="001E6E9D">
        <w:rPr>
          <w:rFonts w:asciiTheme="minorHAnsi" w:hAnsiTheme="minorHAnsi" w:cstheme="minorHAnsi"/>
          <w:sz w:val="17"/>
          <w:szCs w:val="17"/>
        </w:rPr>
        <w:t xml:space="preserve">será o percentual do Valor Nominal Atualizado equivalente à </w:t>
      </w:r>
      <w:r w:rsidRPr="001E6E9D">
        <w:rPr>
          <w:rFonts w:asciiTheme="minorHAnsi" w:hAnsiTheme="minorHAnsi" w:cstheme="minorHAnsi"/>
          <w:b/>
          <w:bCs/>
          <w:sz w:val="17"/>
          <w:szCs w:val="17"/>
        </w:rPr>
        <w:t>Proporção do Projeto Afetado</w:t>
      </w:r>
      <w:r w:rsidRPr="001E6E9D">
        <w:rPr>
          <w:rFonts w:asciiTheme="minorHAnsi" w:hAnsiTheme="minorHAnsi" w:cstheme="minorHAnsi"/>
          <w:sz w:val="17"/>
          <w:szCs w:val="17"/>
        </w:rPr>
        <w:t xml:space="preserve">, acrescido (i) dos Juros Remuneratórios, calculado </w:t>
      </w:r>
      <w:r w:rsidRPr="001E6E9D">
        <w:rPr>
          <w:rFonts w:asciiTheme="minorHAnsi" w:hAnsiTheme="minorHAnsi" w:cstheme="minorHAnsi"/>
          <w:i/>
          <w:sz w:val="17"/>
          <w:szCs w:val="17"/>
        </w:rPr>
        <w:t>pro rata temporis</w:t>
      </w:r>
      <w:r w:rsidRPr="001E6E9D">
        <w:rPr>
          <w:rFonts w:asciiTheme="minorHAnsi" w:hAnsiTheme="minorHAnsi" w:cstheme="minorHAnsi"/>
          <w:sz w:val="17"/>
          <w:szCs w:val="17"/>
        </w:rPr>
        <w:t xml:space="preserve"> desde a Data de Início da Rentabilidade ou da Data de Pagamento dos Juros Remuneratórios imediatamente anterior, conforme o caso (inclusive), até a data da efetiva Amortização Extraordinária Facultativa para Cura (exclusive); (ii) dos Encargos Moratórios, se houver; e (iii) de quaisquer obrigações pecuniárias e outros acréscimos referentes às Debêntures</w:t>
      </w:r>
      <w:r w:rsidR="0053704D" w:rsidRPr="001E6E9D">
        <w:rPr>
          <w:rFonts w:asciiTheme="minorHAnsi" w:eastAsia="Times New Roman" w:hAnsiTheme="minorHAnsi" w:cstheme="minorHAnsi"/>
          <w:sz w:val="17"/>
          <w:szCs w:val="17"/>
          <w:lang w:eastAsia="pt-BR"/>
        </w:rPr>
        <w:t xml:space="preserve">. </w:t>
      </w:r>
    </w:p>
    <w:p w14:paraId="433ADD1A" w14:textId="3FF3DD81" w:rsidR="003468A1" w:rsidRPr="001E6E9D" w:rsidRDefault="00A355AD" w:rsidP="00DC7081">
      <w:pPr>
        <w:spacing w:after="140"/>
        <w:ind w:left="1701"/>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A Amortização Extraordinária Facultativa para Cura deverá ser limitada a 98% (noventa e oito por cento) do Valor Nominal Unitário Atualizado das Debêntures</w:t>
      </w:r>
      <w:r w:rsidR="0053704D" w:rsidRPr="001E6E9D">
        <w:rPr>
          <w:rFonts w:asciiTheme="minorHAnsi" w:eastAsia="Times New Roman" w:hAnsiTheme="minorHAnsi" w:cstheme="minorHAnsi"/>
          <w:sz w:val="17"/>
          <w:szCs w:val="17"/>
          <w:lang w:eastAsia="pt-BR"/>
        </w:rPr>
        <w:t xml:space="preserve">. </w:t>
      </w:r>
    </w:p>
    <w:p w14:paraId="44410A62" w14:textId="159274C1" w:rsidR="0053704D" w:rsidRPr="001E6E9D" w:rsidRDefault="00A355AD" w:rsidP="00DC7081">
      <w:pPr>
        <w:spacing w:after="140"/>
        <w:ind w:left="1701"/>
        <w:rPr>
          <w:rFonts w:asciiTheme="minorHAnsi" w:eastAsia="Times New Roman" w:hAnsiTheme="minorHAnsi" w:cstheme="minorHAnsi"/>
          <w:sz w:val="17"/>
          <w:szCs w:val="17"/>
          <w:lang w:eastAsia="pt-BR"/>
        </w:rPr>
      </w:pPr>
      <w:r w:rsidRPr="001E6E9D">
        <w:rPr>
          <w:rFonts w:asciiTheme="minorHAnsi" w:hAnsiTheme="minorHAnsi" w:cstheme="minorHAnsi"/>
          <w:sz w:val="17"/>
          <w:szCs w:val="17"/>
        </w:rPr>
        <w:t xml:space="preserve">Para os fins da Escritura de Emissão, caso tenha sido realizada a Amortização Extraordinária Facultativa para Cura, as Partes reconhecem que o Projeto que tenha ensejado o Evento de Inadimplemento em questão </w:t>
      </w:r>
      <w:r w:rsidR="00DE1300" w:rsidRPr="001E6E9D">
        <w:rPr>
          <w:rFonts w:asciiTheme="minorHAnsi" w:hAnsiTheme="minorHAnsi" w:cstheme="minorHAnsi"/>
          <w:sz w:val="17"/>
          <w:szCs w:val="17"/>
        </w:rPr>
        <w:t xml:space="preserve">deverá </w:t>
      </w:r>
      <w:r w:rsidRPr="001E6E9D">
        <w:rPr>
          <w:rFonts w:asciiTheme="minorHAnsi" w:hAnsiTheme="minorHAnsi" w:cstheme="minorHAnsi"/>
          <w:sz w:val="17"/>
          <w:szCs w:val="17"/>
        </w:rPr>
        <w:t xml:space="preserve">deixar de fazer parte do conceito de </w:t>
      </w:r>
      <w:r w:rsidR="000D5E35" w:rsidRPr="001E6E9D">
        <w:rPr>
          <w:rFonts w:asciiTheme="minorHAnsi" w:hAnsiTheme="minorHAnsi" w:cstheme="minorHAnsi"/>
          <w:sz w:val="17"/>
          <w:szCs w:val="17"/>
        </w:rPr>
        <w:t>“</w:t>
      </w:r>
      <w:r w:rsidRPr="001E6E9D">
        <w:rPr>
          <w:rFonts w:asciiTheme="minorHAnsi" w:hAnsiTheme="minorHAnsi" w:cstheme="minorHAnsi"/>
          <w:sz w:val="17"/>
          <w:szCs w:val="17"/>
        </w:rPr>
        <w:t>Projeto” para todos os fins da Escritura de Emissão</w:t>
      </w:r>
      <w:r w:rsidR="0053704D" w:rsidRPr="001E6E9D">
        <w:rPr>
          <w:rFonts w:asciiTheme="minorHAnsi" w:eastAsia="Times New Roman" w:hAnsiTheme="minorHAnsi" w:cstheme="minorHAnsi"/>
          <w:sz w:val="17"/>
          <w:szCs w:val="17"/>
          <w:lang w:eastAsia="pt-BR"/>
        </w:rPr>
        <w:t>.</w:t>
      </w:r>
    </w:p>
    <w:p w14:paraId="20F7C5CA" w14:textId="03998038" w:rsidR="0053704D" w:rsidRPr="001E6E9D" w:rsidRDefault="0053704D" w:rsidP="00DC7081">
      <w:pPr>
        <w:spacing w:after="140"/>
        <w:ind w:left="851" w:hanging="567"/>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bCs/>
          <w:sz w:val="17"/>
          <w:szCs w:val="17"/>
          <w:lang w:eastAsia="pt-BR"/>
        </w:rPr>
        <w:t>m)</w:t>
      </w:r>
      <w:r w:rsidRPr="001E6E9D">
        <w:rPr>
          <w:rFonts w:asciiTheme="minorHAnsi" w:eastAsia="Times New Roman" w:hAnsiTheme="minorHAnsi" w:cstheme="minorHAnsi"/>
          <w:b/>
          <w:bCs/>
          <w:sz w:val="17"/>
          <w:szCs w:val="17"/>
          <w:lang w:eastAsia="pt-BR"/>
        </w:rPr>
        <w:tab/>
      </w:r>
      <w:r w:rsidRPr="001E6E9D">
        <w:rPr>
          <w:rFonts w:asciiTheme="minorHAnsi" w:eastAsia="Times New Roman" w:hAnsiTheme="minorHAnsi" w:cstheme="minorHAnsi"/>
          <w:b/>
          <w:sz w:val="17"/>
          <w:szCs w:val="17"/>
          <w:lang w:eastAsia="pt-BR"/>
        </w:rPr>
        <w:t>Aquisição facultativa:</w:t>
      </w:r>
      <w:r w:rsidRPr="001E6E9D">
        <w:rPr>
          <w:rFonts w:asciiTheme="minorHAnsi" w:eastAsia="Times New Roman" w:hAnsiTheme="minorHAnsi" w:cstheme="minorHAnsi"/>
          <w:bCs/>
          <w:sz w:val="17"/>
          <w:szCs w:val="17"/>
          <w:lang w:eastAsia="pt-BR"/>
        </w:rPr>
        <w:t xml:space="preserve"> </w:t>
      </w:r>
      <w:r w:rsidRPr="001E6E9D">
        <w:rPr>
          <w:rFonts w:asciiTheme="minorHAnsi" w:eastAsia="Times New Roman" w:hAnsiTheme="minorHAnsi" w:cstheme="minorHAnsi"/>
          <w:sz w:val="17"/>
          <w:szCs w:val="17"/>
          <w:lang w:eastAsia="pt-BR"/>
        </w:rPr>
        <w:t xml:space="preserve">após </w:t>
      </w:r>
      <w:r w:rsidR="00A355AD" w:rsidRPr="001E6E9D">
        <w:rPr>
          <w:rFonts w:asciiTheme="minorHAnsi" w:hAnsiTheme="minorHAnsi" w:cstheme="minorHAnsi"/>
          <w:sz w:val="17"/>
          <w:szCs w:val="17"/>
        </w:rPr>
        <w:t>decorridos 2 (dois) anos contados da Data de Emissão, ou seja, a partir de 15 de janeiro de 202</w:t>
      </w:r>
      <w:r w:rsidR="00680A4C">
        <w:rPr>
          <w:rFonts w:asciiTheme="minorHAnsi" w:hAnsiTheme="minorHAnsi" w:cstheme="minorHAnsi"/>
          <w:sz w:val="17"/>
          <w:szCs w:val="17"/>
        </w:rPr>
        <w:t>7</w:t>
      </w:r>
      <w:r w:rsidR="00A355AD" w:rsidRPr="001E6E9D">
        <w:rPr>
          <w:rFonts w:asciiTheme="minorHAnsi" w:hAnsiTheme="minorHAnsi" w:cstheme="minorHAnsi"/>
          <w:sz w:val="17"/>
          <w:szCs w:val="17"/>
        </w:rPr>
        <w:t xml:space="preserve"> (inclusive), ou prazo inferior que venha a ser autorizado pela legislação e regulamentação aplicáveis e observado disposto no inciso II do parágrafo 1º do artigo 1º da Lei 12.431, bem como no artigo 55, parágrafo 3º da Lei das Sociedades por Ações, na Resolução da CVM nº 77, de 29 de março de 2022, conforme alterada, e demais regulamentações aplicáveis da CVM, as Debêntures poderão ser adquiridas pela Emissora, no mercado secundário, a qualquer momento, condicionado ao aceite do respectivo Debenturista vendedor, por valor igual ou inferior ao Valor Nominal Unitário, devendo o fato constar do relatório da administração e das demonstrações financeiras, ou por valor superior ao Valor Nominal Unitário, desde que observe as regras expedidas pela CVM. As Debêntures que venham a ser adquiridas nos termos desta Cláusula poderão, a critério da Emissora e desde que observada a regulamentação aplicável em vigor: (i) desde que legalmente permitido pela regulamentação aplicável, ser canceladas, observado o disposto no artigo 1°, parágrafo 1°, inciso II, da Lei 12.431, nas regras expedidas pelo CMN e na regulamentação aplicável; (ii) permanecer na tesouraria da Emissora; ou (iii) ser novamente colocadas no mercado. As Debêntures adquiridas pela Emissora para permanência em tesouraria nos termos desta Cláusula, se e quando recolocadas no mercado, farão jus aos mesmos valores de Atualização Monetária e Juros Remuneratórios das demais Debêntures, conforme aplicável</w:t>
      </w:r>
      <w:r w:rsidRPr="001E6E9D">
        <w:rPr>
          <w:rFonts w:asciiTheme="minorHAnsi" w:eastAsia="Times New Roman" w:hAnsiTheme="minorHAnsi" w:cstheme="minorHAnsi"/>
          <w:sz w:val="17"/>
          <w:szCs w:val="17"/>
          <w:lang w:eastAsia="pt-BR"/>
        </w:rPr>
        <w:t>.</w:t>
      </w:r>
    </w:p>
    <w:p w14:paraId="59BEC52C" w14:textId="36090F80" w:rsidR="0053704D" w:rsidRPr="001E6E9D" w:rsidRDefault="00800576" w:rsidP="00DC7081">
      <w:pPr>
        <w:keepNext/>
        <w:keepLines/>
        <w:spacing w:after="140"/>
        <w:ind w:left="567" w:hanging="567"/>
        <w:rPr>
          <w:rFonts w:asciiTheme="minorHAnsi" w:eastAsia="Times New Roman" w:hAnsiTheme="minorHAnsi" w:cstheme="minorHAnsi"/>
          <w:bCs/>
          <w:sz w:val="17"/>
          <w:szCs w:val="17"/>
          <w:u w:val="single"/>
          <w:lang w:eastAsia="pt-BR"/>
        </w:rPr>
      </w:pPr>
      <w:r w:rsidRPr="001E6E9D">
        <w:rPr>
          <w:rFonts w:asciiTheme="minorHAnsi" w:eastAsia="Times New Roman" w:hAnsiTheme="minorHAnsi" w:cstheme="minorHAnsi"/>
          <w:b/>
          <w:bCs/>
          <w:sz w:val="17"/>
          <w:szCs w:val="17"/>
          <w:lang w:eastAsia="pt-BR"/>
        </w:rPr>
        <w:lastRenderedPageBreak/>
        <w:t>n</w:t>
      </w:r>
      <w:r w:rsidR="0053704D" w:rsidRPr="001E6E9D">
        <w:rPr>
          <w:rFonts w:asciiTheme="minorHAnsi" w:eastAsia="Times New Roman" w:hAnsiTheme="minorHAnsi" w:cstheme="minorHAnsi"/>
          <w:b/>
          <w:bCs/>
          <w:sz w:val="17"/>
          <w:szCs w:val="17"/>
          <w:lang w:eastAsia="pt-BR"/>
        </w:rPr>
        <w:t>)</w:t>
      </w:r>
      <w:r w:rsidR="0053704D" w:rsidRPr="001E6E9D">
        <w:rPr>
          <w:rFonts w:asciiTheme="minorHAnsi" w:eastAsia="Times New Roman" w:hAnsiTheme="minorHAnsi" w:cstheme="minorHAnsi"/>
          <w:b/>
          <w:bCs/>
          <w:sz w:val="17"/>
          <w:szCs w:val="17"/>
          <w:lang w:eastAsia="pt-BR"/>
        </w:rPr>
        <w:tab/>
      </w:r>
      <w:r w:rsidR="0053704D" w:rsidRPr="001E6E9D">
        <w:rPr>
          <w:rFonts w:asciiTheme="minorHAnsi" w:eastAsia="Times New Roman" w:hAnsiTheme="minorHAnsi" w:cstheme="minorHAnsi"/>
          <w:b/>
          <w:sz w:val="17"/>
          <w:szCs w:val="17"/>
          <w:lang w:eastAsia="pt-BR"/>
        </w:rPr>
        <w:t>Garantias</w:t>
      </w:r>
      <w:r w:rsidR="0053704D" w:rsidRPr="001E6E9D">
        <w:rPr>
          <w:rFonts w:asciiTheme="minorHAnsi" w:eastAsia="Times New Roman" w:hAnsiTheme="minorHAnsi" w:cstheme="minorHAnsi"/>
          <w:b/>
          <w:bCs/>
          <w:sz w:val="17"/>
          <w:szCs w:val="17"/>
          <w:lang w:eastAsia="pt-BR"/>
        </w:rPr>
        <w:t>:</w:t>
      </w:r>
      <w:r w:rsidRPr="001E6E9D">
        <w:rPr>
          <w:rFonts w:asciiTheme="minorHAnsi" w:eastAsia="Times New Roman" w:hAnsiTheme="minorHAnsi" w:cstheme="minorHAnsi"/>
          <w:b/>
          <w:bCs/>
          <w:sz w:val="17"/>
          <w:szCs w:val="17"/>
          <w:lang w:eastAsia="pt-BR"/>
        </w:rPr>
        <w:t xml:space="preserve"> </w:t>
      </w:r>
    </w:p>
    <w:p w14:paraId="542B25D6" w14:textId="498C4787" w:rsidR="00065DBC" w:rsidRPr="001E6E9D" w:rsidRDefault="00800576" w:rsidP="00DC7081">
      <w:pPr>
        <w:keepNext/>
        <w:keepLines/>
        <w:spacing w:after="140"/>
        <w:ind w:left="1134" w:hanging="567"/>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sz w:val="17"/>
          <w:szCs w:val="17"/>
          <w:lang w:eastAsia="pt-BR"/>
        </w:rPr>
        <w:t>n</w:t>
      </w:r>
      <w:r w:rsidR="0053704D" w:rsidRPr="001E6E9D">
        <w:rPr>
          <w:rFonts w:asciiTheme="minorHAnsi" w:eastAsia="Times New Roman" w:hAnsiTheme="minorHAnsi" w:cstheme="minorHAnsi"/>
          <w:b/>
          <w:sz w:val="17"/>
          <w:szCs w:val="17"/>
          <w:lang w:eastAsia="pt-BR"/>
        </w:rPr>
        <w:t xml:space="preserve">.1) </w:t>
      </w:r>
      <w:r w:rsidR="0053704D" w:rsidRPr="001E6E9D">
        <w:rPr>
          <w:rFonts w:asciiTheme="minorHAnsi" w:eastAsia="Times New Roman" w:hAnsiTheme="minorHAnsi" w:cstheme="minorHAnsi"/>
          <w:b/>
          <w:sz w:val="17"/>
          <w:szCs w:val="17"/>
          <w:lang w:eastAsia="pt-BR"/>
        </w:rPr>
        <w:tab/>
      </w:r>
      <w:r w:rsidRPr="001E6E9D">
        <w:rPr>
          <w:rFonts w:asciiTheme="minorHAnsi" w:eastAsia="Times New Roman" w:hAnsiTheme="minorHAnsi" w:cstheme="minorHAnsi"/>
          <w:b/>
          <w:sz w:val="17"/>
          <w:szCs w:val="17"/>
          <w:lang w:eastAsia="pt-BR"/>
        </w:rPr>
        <w:t>Garantias Reais:</w:t>
      </w:r>
      <w:r w:rsidRPr="001E6E9D">
        <w:rPr>
          <w:rFonts w:asciiTheme="minorHAnsi" w:eastAsia="Arial Unicode MS" w:hAnsiTheme="minorHAnsi" w:cstheme="minorHAnsi"/>
          <w:sz w:val="17"/>
          <w:szCs w:val="17"/>
        </w:rPr>
        <w:t xml:space="preserve"> Para garantir o fiel, pontual e integral cumprimento de todas e quaisquer obrigações principais e acessórias, presentes e futuras, assumidas pela Emissora nos termos d</w:t>
      </w:r>
      <w:r w:rsidR="00C75E87" w:rsidRPr="001E6E9D">
        <w:rPr>
          <w:rFonts w:asciiTheme="minorHAnsi" w:eastAsia="Arial Unicode MS" w:hAnsiTheme="minorHAnsi" w:cstheme="minorHAnsi"/>
          <w:sz w:val="17"/>
          <w:szCs w:val="17"/>
        </w:rPr>
        <w:t>a Escritura</w:t>
      </w:r>
      <w:r w:rsidRPr="001E6E9D">
        <w:rPr>
          <w:rFonts w:asciiTheme="minorHAnsi" w:eastAsia="Arial Unicode MS" w:hAnsiTheme="minorHAnsi" w:cstheme="minorHAnsi"/>
          <w:sz w:val="17"/>
          <w:szCs w:val="17"/>
        </w:rPr>
        <w:t xml:space="preserve"> de Emissão e dos Contratos de Garantia (conforme definido abaixo), incluindo, mas sem limitação, (i) as obrigações relativas ao integral e pontual pagamento do Valor Nominal Atualizado, dos Juros Remuneratórios, dos Encargos Moratórios, quando devidos, seja nas respectivas datas de pagamento, na Data de Vencimento, ou em virtude do vencimento antecipado das obrigações decorrentes das Debêntures, nos termos d</w:t>
      </w:r>
      <w:r w:rsidR="00C75E87" w:rsidRPr="001E6E9D">
        <w:rPr>
          <w:rFonts w:asciiTheme="minorHAnsi" w:eastAsia="Arial Unicode MS" w:hAnsiTheme="minorHAnsi" w:cstheme="minorHAnsi"/>
          <w:sz w:val="17"/>
          <w:szCs w:val="17"/>
        </w:rPr>
        <w:t>a Escritura</w:t>
      </w:r>
      <w:r w:rsidRPr="001E6E9D">
        <w:rPr>
          <w:rFonts w:asciiTheme="minorHAnsi" w:eastAsia="Arial Unicode MS" w:hAnsiTheme="minorHAnsi" w:cstheme="minorHAnsi"/>
          <w:sz w:val="17"/>
          <w:szCs w:val="17"/>
        </w:rPr>
        <w:t xml:space="preserve"> de Emissão; (ii) todos e quaisquer outros pagamentos devidos pela Emissora n</w:t>
      </w:r>
      <w:r w:rsidR="00C75E87" w:rsidRPr="001E6E9D">
        <w:rPr>
          <w:rFonts w:asciiTheme="minorHAnsi" w:eastAsia="Arial Unicode MS" w:hAnsiTheme="minorHAnsi" w:cstheme="minorHAnsi"/>
          <w:sz w:val="17"/>
          <w:szCs w:val="17"/>
        </w:rPr>
        <w:t>a Escritura</w:t>
      </w:r>
      <w:r w:rsidRPr="001E6E9D">
        <w:rPr>
          <w:rFonts w:asciiTheme="minorHAnsi" w:eastAsia="Arial Unicode MS" w:hAnsiTheme="minorHAnsi" w:cstheme="minorHAnsi"/>
          <w:sz w:val="17"/>
          <w:szCs w:val="17"/>
        </w:rPr>
        <w:t xml:space="preserve"> de Emissão, nos Contratos de Garantia, incluindo, mas não se limitando, às obrigações de pagar despesas, custos, encargos, multas e/ou comissões relativas às Debêntures subscritas e integralizadas, à Escritura de Emissão e à totalidade das obrigações acessórias; e (iii) o ressarcimento de toda e qualquer importância que o Agente Fiduciário e/ou os Debenturistas venham a desembolsar no âmbito da Emissão e/ou em virtude da constituição, manutenção das Garantias Reais (conforme definidas abaixo), bem como todos e quaisquer custos e/ou despesas incorridas pelos Debenturistas em decorrência de processos, procedimentos e/ou outras medidas judiciais e/ou extrajudiciais necessárias à salvaguarda dos direitos e prerrogativas dos Debenturistas e da execução das Garantias Reais, nos termos dos respectivos contratos, conforme aplicável (</w:t>
      </w:r>
      <w:r w:rsidR="000D5E35" w:rsidRPr="001E6E9D">
        <w:rPr>
          <w:rFonts w:asciiTheme="minorHAnsi" w:eastAsia="Arial Unicode MS" w:hAnsiTheme="minorHAnsi" w:cstheme="minorHAnsi"/>
          <w:sz w:val="17"/>
          <w:szCs w:val="17"/>
        </w:rPr>
        <w:t>“</w:t>
      </w:r>
      <w:r w:rsidRPr="001E6E9D">
        <w:rPr>
          <w:rFonts w:asciiTheme="minorHAnsi" w:eastAsia="Arial Unicode MS" w:hAnsiTheme="minorHAnsi" w:cstheme="minorHAnsi"/>
          <w:b/>
          <w:bCs/>
          <w:sz w:val="17"/>
          <w:szCs w:val="17"/>
        </w:rPr>
        <w:t>Obrigações Garantidas das Debêntures</w:t>
      </w:r>
      <w:r w:rsidRPr="001E6E9D">
        <w:rPr>
          <w:rFonts w:asciiTheme="minorHAnsi" w:eastAsia="Arial Unicode MS" w:hAnsiTheme="minorHAnsi" w:cstheme="minorHAnsi"/>
          <w:sz w:val="17"/>
          <w:szCs w:val="17"/>
        </w:rPr>
        <w:t>”), a Emissora</w:t>
      </w:r>
      <w:r w:rsidR="00DE1300" w:rsidRPr="001E6E9D">
        <w:rPr>
          <w:rFonts w:asciiTheme="minorHAnsi" w:eastAsia="Arial Unicode MS" w:hAnsiTheme="minorHAnsi" w:cstheme="minorHAnsi"/>
          <w:sz w:val="17"/>
          <w:szCs w:val="17"/>
        </w:rPr>
        <w:t>, as SPEs e as Acionistas</w:t>
      </w:r>
      <w:r w:rsidRPr="001E6E9D">
        <w:rPr>
          <w:rFonts w:asciiTheme="minorHAnsi" w:eastAsia="Arial Unicode MS" w:hAnsiTheme="minorHAnsi" w:cstheme="minorHAnsi"/>
          <w:sz w:val="17"/>
          <w:szCs w:val="17"/>
        </w:rPr>
        <w:t xml:space="preserve"> </w:t>
      </w:r>
      <w:r w:rsidR="00DE1300" w:rsidRPr="001E6E9D">
        <w:rPr>
          <w:rFonts w:asciiTheme="minorHAnsi" w:eastAsia="Arial Unicode MS" w:hAnsiTheme="minorHAnsi" w:cstheme="minorHAnsi"/>
          <w:sz w:val="17"/>
          <w:szCs w:val="17"/>
        </w:rPr>
        <w:t xml:space="preserve">se </w:t>
      </w:r>
      <w:r w:rsidRPr="001E6E9D">
        <w:rPr>
          <w:rFonts w:asciiTheme="minorHAnsi" w:eastAsia="Arial Unicode MS" w:hAnsiTheme="minorHAnsi" w:cstheme="minorHAnsi"/>
          <w:sz w:val="17"/>
          <w:szCs w:val="17"/>
        </w:rPr>
        <w:t>compromete</w:t>
      </w:r>
      <w:r w:rsidR="00DE1300" w:rsidRPr="001E6E9D">
        <w:rPr>
          <w:rFonts w:asciiTheme="minorHAnsi" w:eastAsia="Arial Unicode MS" w:hAnsiTheme="minorHAnsi" w:cstheme="minorHAnsi"/>
          <w:sz w:val="17"/>
          <w:szCs w:val="17"/>
        </w:rPr>
        <w:t>m</w:t>
      </w:r>
      <w:r w:rsidRPr="001E6E9D">
        <w:rPr>
          <w:rFonts w:asciiTheme="minorHAnsi" w:eastAsia="Arial Unicode MS" w:hAnsiTheme="minorHAnsi" w:cstheme="minorHAnsi"/>
          <w:sz w:val="17"/>
          <w:szCs w:val="17"/>
        </w:rPr>
        <w:t xml:space="preserve">, a constituir as seguintes garantias reais (em conjunto, as </w:t>
      </w:r>
      <w:r w:rsidR="000D5E35" w:rsidRPr="001E6E9D">
        <w:rPr>
          <w:rFonts w:asciiTheme="minorHAnsi" w:eastAsia="Arial Unicode MS" w:hAnsiTheme="minorHAnsi" w:cstheme="minorHAnsi"/>
          <w:sz w:val="17"/>
          <w:szCs w:val="17"/>
        </w:rPr>
        <w:t>“</w:t>
      </w:r>
      <w:r w:rsidRPr="001E6E9D">
        <w:rPr>
          <w:rFonts w:asciiTheme="minorHAnsi" w:eastAsia="Arial Unicode MS" w:hAnsiTheme="minorHAnsi" w:cstheme="minorHAnsi"/>
          <w:sz w:val="17"/>
          <w:szCs w:val="17"/>
          <w:u w:val="single"/>
        </w:rPr>
        <w:t>Garantias Reais</w:t>
      </w:r>
      <w:r w:rsidRPr="001E6E9D">
        <w:rPr>
          <w:rFonts w:asciiTheme="minorHAnsi" w:eastAsia="Arial Unicode MS" w:hAnsiTheme="minorHAnsi" w:cstheme="minorHAnsi"/>
          <w:sz w:val="17"/>
          <w:szCs w:val="17"/>
        </w:rPr>
        <w:t>”):</w:t>
      </w:r>
    </w:p>
    <w:p w14:paraId="326A7C13" w14:textId="73302663" w:rsidR="00065DBC" w:rsidRPr="001E6E9D" w:rsidRDefault="00800576"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sz w:val="17"/>
          <w:szCs w:val="17"/>
          <w:lang w:eastAsia="pt-BR"/>
        </w:rPr>
        <w:t>Alienação Fiduciária de Ações e Quotas:</w:t>
      </w:r>
      <w:r w:rsidRPr="001E6E9D">
        <w:rPr>
          <w:rFonts w:asciiTheme="minorHAnsi" w:hAnsiTheme="minorHAnsi" w:cstheme="minorHAnsi"/>
          <w:sz w:val="17"/>
          <w:szCs w:val="17"/>
        </w:rPr>
        <w:t xml:space="preserve"> a alienação fiduciária, observada a Condição Suspensiva, (a) pelas Acionistas, da totalidade das ações, presentes e futuras, de emissão da Emissora (</w:t>
      </w:r>
      <w:r w:rsidR="000D5E35" w:rsidRPr="001E6E9D">
        <w:rPr>
          <w:rFonts w:asciiTheme="minorHAnsi" w:hAnsiTheme="minorHAnsi" w:cstheme="minorHAnsi"/>
          <w:sz w:val="17"/>
          <w:szCs w:val="17"/>
        </w:rPr>
        <w:t>“</w:t>
      </w:r>
      <w:r w:rsidRPr="001E6E9D">
        <w:rPr>
          <w:rFonts w:asciiTheme="minorHAnsi" w:hAnsiTheme="minorHAnsi" w:cstheme="minorHAnsi"/>
          <w:sz w:val="17"/>
          <w:szCs w:val="17"/>
          <w:u w:val="single"/>
        </w:rPr>
        <w:t>Alienação Fiduciária de Ações da Emissora</w:t>
      </w:r>
      <w:r w:rsidRPr="001E6E9D">
        <w:rPr>
          <w:rFonts w:asciiTheme="minorHAnsi" w:hAnsiTheme="minorHAnsi" w:cstheme="minorHAnsi"/>
          <w:sz w:val="17"/>
          <w:szCs w:val="17"/>
        </w:rPr>
        <w:t>”); (b) pela Emissora e pela FED, na qualidade de quotistas das SPEs da totalidade das quotas, presentes e futuras, de emissão das SPEs (</w:t>
      </w:r>
      <w:r w:rsidR="000D5E35" w:rsidRPr="001E6E9D">
        <w:rPr>
          <w:rFonts w:asciiTheme="minorHAnsi" w:hAnsiTheme="minorHAnsi" w:cstheme="minorHAnsi"/>
          <w:sz w:val="17"/>
          <w:szCs w:val="17"/>
        </w:rPr>
        <w:t>“</w:t>
      </w:r>
      <w:r w:rsidRPr="001E6E9D">
        <w:rPr>
          <w:rFonts w:asciiTheme="minorHAnsi" w:hAnsiTheme="minorHAnsi" w:cstheme="minorHAnsi"/>
          <w:sz w:val="17"/>
          <w:szCs w:val="17"/>
          <w:u w:val="single"/>
        </w:rPr>
        <w:t>Alienação Fiduciária de Quotas das SPEs</w:t>
      </w:r>
      <w:r w:rsidRPr="001E6E9D">
        <w:rPr>
          <w:rFonts w:asciiTheme="minorHAnsi" w:hAnsiTheme="minorHAnsi" w:cstheme="minorHAnsi"/>
          <w:sz w:val="17"/>
          <w:szCs w:val="17"/>
        </w:rPr>
        <w:t xml:space="preserve">”); e (c) todas as vantagens e direitos relacionados ou atribuídos às ações e quotas alienadas fiduciariamente, conforme aplicável, presentes e futuras, incluindo lucros, frutos, dividendos, juros sobre capital próprio, rendimentos, rendas, proventos, bonificações, direitos, resgates, reembolsos, distribuições, bônus e demais valores ou quaisquer outros bens e valores creditados, pagos, distribuídos ou de qualquer forma entregues, ou a serem creditados, pagos, distribuídos ou de qualquer forma entregues, a qualquer título e por qualquer razão, às Acionistas e à Emissora, conforme aplicável, em relação às ações e quotas alienadas fiduciariamente, inclusive mediante a permuta, venda ou qualquer outra forma de disposição ou alienação das ações e quotas alienadas fiduciariamente, e quaisquer bens, valores mobiliários ou títulos nos quais as ações e quotas alienadas fiduciariamente sejam convertidas ou que venham a substituí-las (incluindo quaisquer depósitos, títulos ou valores mobiliários), incluindo como resultado de incorporação, incorporação de ações, quotas, fusão, cisão ou qualquer outra forma de reorganização societária, bem como todos os direitos a quaisquer pagamentos relacionados às ações e quotas alienadas fiduciariamente que possam ser considerados frutos, rendimentos, remuneração ou reembolso de capital, sejam estes em dinheiro ou qualquer outra forma, pagas nos termos da legislação aplicável, sejam eles atualmente ou no futuro detidos pelas Acionistas e pela Emissora, conforme aplicável, nos termos do </w:t>
      </w:r>
      <w:bookmarkStart w:id="68" w:name="_Hlk11607822"/>
      <w:r w:rsidR="000D5E35" w:rsidRPr="001E6E9D">
        <w:rPr>
          <w:rFonts w:asciiTheme="minorHAnsi" w:hAnsiTheme="minorHAnsi" w:cstheme="minorHAnsi"/>
          <w:sz w:val="17"/>
          <w:szCs w:val="17"/>
        </w:rPr>
        <w:t>“</w:t>
      </w:r>
      <w:r w:rsidRPr="001E6E9D">
        <w:rPr>
          <w:rFonts w:asciiTheme="minorHAnsi" w:hAnsiTheme="minorHAnsi" w:cstheme="minorHAnsi"/>
          <w:i/>
          <w:iCs/>
          <w:sz w:val="17"/>
          <w:szCs w:val="17"/>
        </w:rPr>
        <w:t xml:space="preserve">Instrumento Particular de Alienação Fiduciária de </w:t>
      </w:r>
      <w:r w:rsidRPr="001E6E9D">
        <w:rPr>
          <w:rFonts w:asciiTheme="minorHAnsi" w:hAnsiTheme="minorHAnsi" w:cstheme="minorHAnsi"/>
          <w:i/>
          <w:sz w:val="17"/>
          <w:szCs w:val="17"/>
        </w:rPr>
        <w:t>Ações</w:t>
      </w:r>
      <w:r w:rsidRPr="001E6E9D">
        <w:rPr>
          <w:rFonts w:asciiTheme="minorHAnsi" w:hAnsiTheme="minorHAnsi" w:cstheme="minorHAnsi"/>
          <w:i/>
          <w:iCs/>
          <w:sz w:val="17"/>
          <w:szCs w:val="17"/>
        </w:rPr>
        <w:t xml:space="preserve"> e </w:t>
      </w:r>
      <w:r w:rsidRPr="001E6E9D">
        <w:rPr>
          <w:rFonts w:asciiTheme="minorHAnsi" w:hAnsiTheme="minorHAnsi" w:cstheme="minorHAnsi"/>
          <w:i/>
          <w:sz w:val="17"/>
          <w:szCs w:val="17"/>
        </w:rPr>
        <w:t>Quotas</w:t>
      </w:r>
      <w:r w:rsidRPr="001E6E9D">
        <w:rPr>
          <w:rFonts w:asciiTheme="minorHAnsi" w:hAnsiTheme="minorHAnsi" w:cstheme="minorHAnsi"/>
          <w:i/>
          <w:iCs/>
          <w:sz w:val="17"/>
          <w:szCs w:val="17"/>
        </w:rPr>
        <w:t xml:space="preserve"> em Garantia e Outras Avenças, sob Condição Suspensiva</w:t>
      </w:r>
      <w:r w:rsidRPr="001E6E9D">
        <w:rPr>
          <w:rFonts w:asciiTheme="minorHAnsi" w:hAnsiTheme="minorHAnsi" w:cstheme="minorHAnsi"/>
          <w:sz w:val="17"/>
          <w:szCs w:val="17"/>
        </w:rPr>
        <w:t>”</w:t>
      </w:r>
      <w:bookmarkEnd w:id="68"/>
      <w:r w:rsidRPr="001E6E9D">
        <w:rPr>
          <w:rFonts w:asciiTheme="minorHAnsi" w:hAnsiTheme="minorHAnsi" w:cstheme="minorHAnsi"/>
          <w:sz w:val="17"/>
          <w:szCs w:val="17"/>
        </w:rPr>
        <w:t>, a ser celebrado entre as Acionistas, a Emissora, as SPEs, e o Agente Fiduciário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Contrato de Alienação Fiduciária de Ações e Quotas</w:t>
      </w:r>
      <w:r w:rsidRPr="001E6E9D">
        <w:rPr>
          <w:rFonts w:asciiTheme="minorHAnsi" w:hAnsiTheme="minorHAnsi" w:cstheme="minorHAnsi"/>
          <w:sz w:val="17"/>
          <w:szCs w:val="17"/>
        </w:rPr>
        <w:t>”)</w:t>
      </w:r>
      <w:r w:rsidR="0053704D" w:rsidRPr="001E6E9D">
        <w:rPr>
          <w:rFonts w:asciiTheme="minorHAnsi" w:eastAsia="Times New Roman" w:hAnsiTheme="minorHAnsi" w:cstheme="minorHAnsi"/>
          <w:sz w:val="17"/>
          <w:szCs w:val="17"/>
          <w:lang w:eastAsia="pt-BR"/>
        </w:rPr>
        <w:t xml:space="preserve">. </w:t>
      </w:r>
    </w:p>
    <w:p w14:paraId="7B1A1492" w14:textId="620FAE6E" w:rsidR="00065DBC" w:rsidRPr="001E6E9D" w:rsidRDefault="00800576" w:rsidP="00DC7081">
      <w:pPr>
        <w:spacing w:after="140"/>
        <w:ind w:left="1134"/>
        <w:rPr>
          <w:rFonts w:asciiTheme="minorHAnsi" w:hAnsiTheme="minorHAnsi" w:cstheme="minorHAnsi"/>
          <w:sz w:val="17"/>
          <w:szCs w:val="17"/>
        </w:rPr>
      </w:pPr>
      <w:r w:rsidRPr="001E6E9D">
        <w:rPr>
          <w:rFonts w:asciiTheme="minorHAnsi" w:eastAsia="Times New Roman" w:hAnsiTheme="minorHAnsi" w:cstheme="minorHAnsi"/>
          <w:b/>
          <w:sz w:val="17"/>
          <w:szCs w:val="17"/>
          <w:lang w:eastAsia="pt-BR"/>
        </w:rPr>
        <w:t>Alienação Fiduciária de Equipamentos:</w:t>
      </w:r>
      <w:r w:rsidRPr="001E6E9D">
        <w:rPr>
          <w:rFonts w:asciiTheme="minorHAnsi" w:hAnsiTheme="minorHAnsi" w:cstheme="minorHAnsi"/>
          <w:sz w:val="17"/>
          <w:szCs w:val="17"/>
        </w:rPr>
        <w:t xml:space="preserve"> alienação fiduciária, observada a Condição Suspensiva, pelas SPEs, da totalidade dos equipamentos de sua titularidade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Alienação Fiduciária de Equipamentos</w:t>
      </w:r>
      <w:r w:rsidRPr="001E6E9D">
        <w:rPr>
          <w:rFonts w:asciiTheme="minorHAnsi" w:hAnsiTheme="minorHAnsi" w:cstheme="minorHAnsi"/>
          <w:sz w:val="17"/>
          <w:szCs w:val="17"/>
        </w:rPr>
        <w:t xml:space="preserve">”), nos termos do </w:t>
      </w:r>
      <w:r w:rsidR="000D5E35" w:rsidRPr="001E6E9D">
        <w:rPr>
          <w:rFonts w:asciiTheme="minorHAnsi" w:hAnsiTheme="minorHAnsi" w:cstheme="minorHAnsi"/>
          <w:sz w:val="17"/>
          <w:szCs w:val="17"/>
        </w:rPr>
        <w:t>“</w:t>
      </w:r>
      <w:r w:rsidRPr="001E6E9D">
        <w:rPr>
          <w:rFonts w:asciiTheme="minorHAnsi" w:hAnsiTheme="minorHAnsi" w:cstheme="minorHAnsi"/>
          <w:i/>
          <w:iCs/>
          <w:sz w:val="17"/>
          <w:szCs w:val="17"/>
        </w:rPr>
        <w:t>Instrumento Particular de Alienação Fiduciária de Equipamentos e Outras Avenças, sob Condição Suspensiva</w:t>
      </w:r>
      <w:r w:rsidRPr="001E6E9D">
        <w:rPr>
          <w:rFonts w:asciiTheme="minorHAnsi" w:hAnsiTheme="minorHAnsi" w:cstheme="minorHAnsi"/>
          <w:sz w:val="17"/>
          <w:szCs w:val="17"/>
        </w:rPr>
        <w:t>”, a ser celebrado entre as SPEs, o Agente Fiduciário e a Emissora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Contrato de Alienação Fiduciária de Equipamentos</w:t>
      </w:r>
      <w:r w:rsidRPr="001E6E9D">
        <w:rPr>
          <w:rFonts w:asciiTheme="minorHAnsi" w:hAnsiTheme="minorHAnsi" w:cstheme="minorHAnsi"/>
          <w:sz w:val="17"/>
          <w:szCs w:val="17"/>
        </w:rPr>
        <w:t>”).</w:t>
      </w:r>
    </w:p>
    <w:p w14:paraId="799BFF4D" w14:textId="1309E214" w:rsidR="00065DBC" w:rsidRPr="001E6E9D" w:rsidRDefault="00800576"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sz w:val="17"/>
          <w:szCs w:val="17"/>
          <w:lang w:eastAsia="pt-BR"/>
        </w:rPr>
        <w:t>Cessão Fiduciária:</w:t>
      </w:r>
      <w:r w:rsidRPr="001E6E9D">
        <w:rPr>
          <w:rFonts w:asciiTheme="minorHAnsi" w:hAnsiTheme="minorHAnsi" w:cstheme="minorHAnsi"/>
          <w:sz w:val="17"/>
          <w:szCs w:val="17"/>
        </w:rPr>
        <w:t xml:space="preserve"> cessão fiduciária, observada a Condição Suspensiva, de direitos creditórios da Emissora, da FED e das SPEs</w:t>
      </w:r>
      <w:r w:rsidR="00065DBC" w:rsidRPr="001E6E9D">
        <w:rPr>
          <w:rFonts w:asciiTheme="minorHAnsi" w:hAnsiTheme="minorHAnsi" w:cstheme="minorHAnsi"/>
          <w:sz w:val="17"/>
          <w:szCs w:val="17"/>
        </w:rPr>
        <w:t xml:space="preserve"> </w:t>
      </w:r>
      <w:r w:rsidRPr="001E6E9D">
        <w:rPr>
          <w:rFonts w:asciiTheme="minorHAnsi" w:hAnsiTheme="minorHAnsi" w:cstheme="minorHAnsi"/>
          <w:sz w:val="17"/>
          <w:szCs w:val="17"/>
        </w:rPr>
        <w:t>(</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Cessão Fiduciária</w:t>
      </w:r>
      <w:r w:rsidRPr="001E6E9D">
        <w:rPr>
          <w:rFonts w:asciiTheme="minorHAnsi" w:hAnsiTheme="minorHAnsi" w:cstheme="minorHAnsi"/>
          <w:sz w:val="17"/>
          <w:szCs w:val="17"/>
        </w:rPr>
        <w:t xml:space="preserve">”), nos termos do </w:t>
      </w:r>
      <w:r w:rsidR="000D5E35" w:rsidRPr="001E6E9D">
        <w:rPr>
          <w:rFonts w:asciiTheme="minorHAnsi" w:hAnsiTheme="minorHAnsi" w:cstheme="minorHAnsi"/>
          <w:sz w:val="17"/>
          <w:szCs w:val="17"/>
        </w:rPr>
        <w:t>“</w:t>
      </w:r>
      <w:r w:rsidRPr="001E6E9D">
        <w:rPr>
          <w:rFonts w:asciiTheme="minorHAnsi" w:hAnsiTheme="minorHAnsi" w:cstheme="minorHAnsi"/>
          <w:i/>
          <w:sz w:val="17"/>
          <w:szCs w:val="17"/>
        </w:rPr>
        <w:t>Instrumento Particular de Cessão Fiduciária de Direitos Creditórios em Garantia e Outras Avenças</w:t>
      </w:r>
      <w:r w:rsidRPr="001E6E9D">
        <w:rPr>
          <w:rFonts w:asciiTheme="minorHAnsi" w:hAnsiTheme="minorHAnsi" w:cstheme="minorHAnsi"/>
          <w:sz w:val="17"/>
          <w:szCs w:val="17"/>
        </w:rPr>
        <w:t>” a ser celebrado entre a Emissora, a FED, as SPEs e o Agente Fiduciário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Contrato de Cessão Fiduciária</w:t>
      </w:r>
      <w:r w:rsidRPr="001E6E9D">
        <w:rPr>
          <w:rFonts w:asciiTheme="minorHAnsi" w:hAnsiTheme="minorHAnsi" w:cstheme="minorHAnsi"/>
          <w:sz w:val="17"/>
          <w:szCs w:val="17"/>
        </w:rPr>
        <w:t xml:space="preserve">” e em conjunto com o Contrato de Alienação Fiduciária de Ações e Quotas, o Contrato de Alienação Fiduciária de Equipamentos,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Contratos de Garantia</w:t>
      </w:r>
      <w:r w:rsidRPr="001E6E9D">
        <w:rPr>
          <w:rFonts w:asciiTheme="minorHAnsi" w:hAnsiTheme="minorHAnsi" w:cstheme="minorHAnsi"/>
          <w:sz w:val="17"/>
          <w:szCs w:val="17"/>
        </w:rPr>
        <w:t>”)</w:t>
      </w:r>
      <w:r w:rsidRPr="001E6E9D">
        <w:rPr>
          <w:rFonts w:asciiTheme="minorHAnsi" w:eastAsia="Arial Unicode MS" w:hAnsiTheme="minorHAnsi" w:cstheme="minorHAnsi"/>
          <w:sz w:val="17"/>
          <w:szCs w:val="17"/>
        </w:rPr>
        <w:t>.</w:t>
      </w:r>
    </w:p>
    <w:p w14:paraId="1B882B42" w14:textId="03F40B4F" w:rsidR="003468A1" w:rsidRPr="001E6E9D" w:rsidRDefault="00800576" w:rsidP="00DC7081">
      <w:pPr>
        <w:spacing w:after="140"/>
        <w:ind w:left="1134"/>
        <w:rPr>
          <w:rFonts w:asciiTheme="minorHAnsi" w:eastAsia="Times New Roman" w:hAnsiTheme="minorHAnsi" w:cstheme="minorHAnsi"/>
          <w:sz w:val="17"/>
          <w:szCs w:val="17"/>
          <w:lang w:eastAsia="pt-BR"/>
        </w:rPr>
      </w:pPr>
      <w:r w:rsidRPr="001E6E9D">
        <w:rPr>
          <w:rFonts w:asciiTheme="minorHAnsi" w:eastAsia="Times New Roman" w:hAnsiTheme="minorHAnsi" w:cstheme="minorHAnsi"/>
          <w:b/>
          <w:sz w:val="17"/>
          <w:szCs w:val="17"/>
          <w:lang w:eastAsia="pt-BR"/>
        </w:rPr>
        <w:t>Condição Suspensiva parcial da Garantias Reais:</w:t>
      </w:r>
      <w:r w:rsidRPr="001E6E9D">
        <w:rPr>
          <w:rFonts w:asciiTheme="minorHAnsi" w:eastAsia="Arial Unicode MS" w:hAnsiTheme="minorHAnsi" w:cstheme="minorHAnsi"/>
          <w:sz w:val="17"/>
          <w:szCs w:val="17"/>
        </w:rPr>
        <w:t xml:space="preserve"> </w:t>
      </w:r>
      <w:bookmarkStart w:id="69" w:name="_Hlk151618456"/>
      <w:r w:rsidR="00680A4C" w:rsidRPr="009A41F9">
        <w:rPr>
          <w:rFonts w:asciiTheme="minorHAnsi" w:hAnsiTheme="minorHAnsi" w:cstheme="minorHAnsi"/>
          <w:sz w:val="17"/>
          <w:szCs w:val="17"/>
        </w:rPr>
        <w:t xml:space="preserve">Fica desde já certo e ajustado que (i) com relação à Alienação Fiduciária de Ações da Emissora; (ii) com relação à Alienação Fiduciária de </w:t>
      </w:r>
      <w:r w:rsidR="00680A4C">
        <w:rPr>
          <w:rFonts w:asciiTheme="minorHAnsi" w:hAnsiTheme="minorHAnsi" w:cstheme="minorHAnsi"/>
          <w:sz w:val="17"/>
          <w:szCs w:val="17"/>
        </w:rPr>
        <w:t>Quotas</w:t>
      </w:r>
      <w:r w:rsidR="00680A4C" w:rsidRPr="009A41F9">
        <w:rPr>
          <w:rFonts w:asciiTheme="minorHAnsi" w:hAnsiTheme="minorHAnsi" w:cstheme="minorHAnsi"/>
          <w:sz w:val="17"/>
          <w:szCs w:val="17"/>
        </w:rPr>
        <w:t xml:space="preserve"> da</w:t>
      </w:r>
      <w:r w:rsidR="00680A4C">
        <w:rPr>
          <w:rFonts w:asciiTheme="minorHAnsi" w:hAnsiTheme="minorHAnsi" w:cstheme="minorHAnsi"/>
          <w:sz w:val="17"/>
          <w:szCs w:val="17"/>
        </w:rPr>
        <w:t>s</w:t>
      </w:r>
      <w:r w:rsidR="00680A4C" w:rsidRPr="009A41F9">
        <w:rPr>
          <w:rFonts w:asciiTheme="minorHAnsi" w:hAnsiTheme="minorHAnsi" w:cstheme="minorHAnsi"/>
          <w:sz w:val="17"/>
          <w:szCs w:val="17"/>
        </w:rPr>
        <w:t xml:space="preserve"> SPEs </w:t>
      </w:r>
      <w:r w:rsidR="00680A4C">
        <w:rPr>
          <w:rFonts w:asciiTheme="minorHAnsi" w:hAnsiTheme="minorHAnsi" w:cstheme="minorHAnsi"/>
          <w:sz w:val="17"/>
          <w:szCs w:val="17"/>
        </w:rPr>
        <w:t xml:space="preserve">das SPEs </w:t>
      </w:r>
      <w:r w:rsidR="00680A4C" w:rsidRPr="009A41F9">
        <w:rPr>
          <w:rFonts w:asciiTheme="minorHAnsi" w:hAnsiTheme="minorHAnsi" w:cstheme="minorHAnsi"/>
          <w:sz w:val="17"/>
          <w:szCs w:val="17"/>
        </w:rPr>
        <w:t>Cluster</w:t>
      </w:r>
      <w:r w:rsidRPr="001E6E9D">
        <w:rPr>
          <w:rFonts w:asciiTheme="minorHAnsi" w:hAnsiTheme="minorHAnsi" w:cstheme="minorHAnsi"/>
          <w:sz w:val="17"/>
          <w:szCs w:val="17"/>
        </w:rPr>
        <w:t xml:space="preserve">; (ii) com relação à Cessão Fiduciária dos direitos creditórios de titularidade das SPEs Cluster 1; (ii) com relação à Alienação Fiduciária de Equipamentos de titularidade das SPEs Cluster 1, os Contratos de Garantia somente passarão a ser totalmente eficazes, nos termos do artigo 125 do Código Civil, após a integral quitação das obrigações decorrentes da 1ª (primeira) emissão de notas comerciais escriturais para distribuição privada da Emissora, realizada por meio da celebração do </w:t>
      </w:r>
      <w:r w:rsidR="000D5E35" w:rsidRPr="001E6E9D">
        <w:rPr>
          <w:rFonts w:asciiTheme="minorHAnsi" w:hAnsiTheme="minorHAnsi" w:cstheme="minorHAnsi"/>
          <w:i/>
          <w:iCs/>
          <w:sz w:val="17"/>
          <w:szCs w:val="17"/>
        </w:rPr>
        <w:t>“</w:t>
      </w:r>
      <w:r w:rsidRPr="001E6E9D">
        <w:rPr>
          <w:rFonts w:asciiTheme="minorHAnsi" w:hAnsiTheme="minorHAnsi" w:cstheme="minorHAnsi"/>
          <w:i/>
          <w:iCs/>
          <w:sz w:val="17"/>
          <w:szCs w:val="17"/>
        </w:rPr>
        <w:t>Termo da Primeira Emissão de Notas Comerciais Escriturais, em Série Única, com Garantia Real, com Garantia Fidejussória Adicional, de Distribuição Privada, da Faro Energy Projetos Solares Holding IV Ltda.”,</w:t>
      </w:r>
      <w:r w:rsidRPr="001E6E9D">
        <w:rPr>
          <w:rFonts w:asciiTheme="minorHAnsi" w:hAnsiTheme="minorHAnsi" w:cstheme="minorHAnsi"/>
          <w:sz w:val="17"/>
          <w:szCs w:val="17"/>
        </w:rPr>
        <w:t xml:space="preserve"> em 28 de março de 2024 entre a </w:t>
      </w:r>
      <w:r w:rsidRPr="001E6E9D">
        <w:rPr>
          <w:rFonts w:asciiTheme="minorHAnsi" w:hAnsiTheme="minorHAnsi" w:cstheme="minorHAnsi"/>
          <w:iCs/>
          <w:sz w:val="17"/>
          <w:szCs w:val="17"/>
        </w:rPr>
        <w:t xml:space="preserve">Faro Energy Projetos </w:t>
      </w:r>
      <w:r w:rsidRPr="001E6E9D">
        <w:rPr>
          <w:rFonts w:asciiTheme="minorHAnsi" w:hAnsiTheme="minorHAnsi" w:cstheme="minorHAnsi"/>
          <w:sz w:val="17"/>
          <w:szCs w:val="17"/>
        </w:rPr>
        <w:t>Solares Holding IV Ltda. (antiga denominação da Emissora) na qualidade de emissora, o Banco BTG Pactual S.A., na qualidade de Titular, e a Oliveira Trust Distribuidora de Títulos e Valores Mobiliários S.A., na qualidade de agente de registro, dentre outros, conforme aditado de tempos em tempos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1ª Emissão de Notas Comerciais Escriturais da Emissora</w:t>
      </w:r>
      <w:r w:rsidRPr="001E6E9D">
        <w:rPr>
          <w:rFonts w:asciiTheme="minorHAnsi" w:hAnsiTheme="minorHAnsi" w:cstheme="minorHAnsi"/>
          <w:sz w:val="17"/>
          <w:szCs w:val="17"/>
        </w:rPr>
        <w:t xml:space="preserve">” e </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Condição Suspensiva</w:t>
      </w:r>
      <w:r w:rsidRPr="001E6E9D">
        <w:rPr>
          <w:rFonts w:asciiTheme="minorHAnsi" w:hAnsiTheme="minorHAnsi" w:cstheme="minorHAnsi"/>
          <w:sz w:val="17"/>
          <w:szCs w:val="17"/>
        </w:rPr>
        <w:t>”, respectivamente). O termo de liberação e quitação total da 1ª Emissão de Notas Comerciais Escriturais da Emissora</w:t>
      </w:r>
      <w:r w:rsidRPr="001E6E9D" w:rsidDel="00575395">
        <w:rPr>
          <w:rFonts w:asciiTheme="minorHAnsi" w:hAnsiTheme="minorHAnsi" w:cstheme="minorHAnsi"/>
          <w:sz w:val="17"/>
          <w:szCs w:val="17"/>
        </w:rPr>
        <w:t xml:space="preserve"> </w:t>
      </w:r>
      <w:r w:rsidRPr="001E6E9D">
        <w:rPr>
          <w:rFonts w:asciiTheme="minorHAnsi" w:hAnsiTheme="minorHAnsi" w:cstheme="minorHAnsi"/>
          <w:sz w:val="17"/>
          <w:szCs w:val="17"/>
        </w:rPr>
        <w:t>(</w:t>
      </w:r>
      <w:r w:rsidR="000D5E35" w:rsidRPr="001E6E9D">
        <w:rPr>
          <w:rFonts w:asciiTheme="minorHAnsi" w:hAnsiTheme="minorHAnsi" w:cstheme="minorHAnsi"/>
          <w:sz w:val="17"/>
          <w:szCs w:val="17"/>
        </w:rPr>
        <w:t>“</w:t>
      </w:r>
      <w:r w:rsidRPr="001E6E9D">
        <w:rPr>
          <w:rFonts w:asciiTheme="minorHAnsi" w:hAnsiTheme="minorHAnsi" w:cstheme="minorHAnsi"/>
          <w:b/>
          <w:bCs/>
          <w:sz w:val="17"/>
          <w:szCs w:val="17"/>
        </w:rPr>
        <w:t>Termo de Quitação</w:t>
      </w:r>
      <w:r w:rsidRPr="001E6E9D">
        <w:rPr>
          <w:rFonts w:asciiTheme="minorHAnsi" w:hAnsiTheme="minorHAnsi" w:cstheme="minorHAnsi"/>
          <w:sz w:val="17"/>
          <w:szCs w:val="17"/>
        </w:rPr>
        <w:t>”) deverá ser obtido pela Emissora em até 30 (trinta) dias contados a partir da primeira Data de Integralização, com envio do Termo de Quitação ao Agente Fiduciário em até 5 (cinco) Dias Úteis contados do seu recebimento. A Emissora terá o prazo de até 7 (sete) dias após o recebimento do Termo de Quitação para protocolá-lo para registro perante os competentes cartórios de registro de títulos e documentos à margem de todos os registros principais, para efetiva baixa das garantias reais prestadas no âmbito da 1ª Emissão de Notas Comerciais Escriturais da Emissora, devendo enviar uma via registrada do Termo de Quitação ao Agente Fiduciário no prazo de até 5 (cinco) Dias Úteis contado da concessão de cada um dos registros. Imediatamente após a verificação da Condição Suspensiva, independentemente de qualquer ato ou formalidade adicional, a Alienação Fiduciária de Ações da Emissora e a Cessão Fiduciária tornar-se-ão plenamente eficazes.</w:t>
      </w:r>
      <w:bookmarkEnd w:id="69"/>
    </w:p>
    <w:p w14:paraId="5222A8F1" w14:textId="6468D272" w:rsidR="0053704D" w:rsidRPr="001E6E9D" w:rsidRDefault="00800576" w:rsidP="00DC7081">
      <w:pPr>
        <w:autoSpaceDE w:val="0"/>
        <w:autoSpaceDN w:val="0"/>
        <w:adjustRightInd w:val="0"/>
        <w:spacing w:after="140"/>
        <w:ind w:left="1134" w:hanging="567"/>
        <w:rPr>
          <w:rFonts w:asciiTheme="minorHAnsi" w:eastAsia="Arial Unicode MS" w:hAnsiTheme="minorHAnsi" w:cstheme="minorHAnsi"/>
          <w:bCs/>
          <w:sz w:val="17"/>
          <w:szCs w:val="17"/>
          <w:lang w:eastAsia="pt-BR"/>
        </w:rPr>
      </w:pPr>
      <w:r w:rsidRPr="001E6E9D">
        <w:rPr>
          <w:rFonts w:asciiTheme="minorHAnsi" w:eastAsia="Times New Roman" w:hAnsiTheme="minorHAnsi" w:cstheme="minorHAnsi"/>
          <w:b/>
          <w:sz w:val="17"/>
          <w:szCs w:val="17"/>
          <w:lang w:eastAsia="pt-BR"/>
        </w:rPr>
        <w:lastRenderedPageBreak/>
        <w:t>n</w:t>
      </w:r>
      <w:r w:rsidR="0053704D" w:rsidRPr="001E6E9D">
        <w:rPr>
          <w:rFonts w:asciiTheme="minorHAnsi" w:eastAsia="Times New Roman" w:hAnsiTheme="minorHAnsi" w:cstheme="minorHAnsi"/>
          <w:b/>
          <w:sz w:val="17"/>
          <w:szCs w:val="17"/>
          <w:lang w:eastAsia="pt-BR"/>
        </w:rPr>
        <w:t>.2)</w:t>
      </w:r>
      <w:r w:rsidR="0053704D" w:rsidRPr="001E6E9D">
        <w:rPr>
          <w:rFonts w:asciiTheme="minorHAnsi" w:eastAsia="Times New Roman" w:hAnsiTheme="minorHAnsi" w:cstheme="minorHAnsi"/>
          <w:b/>
          <w:sz w:val="17"/>
          <w:szCs w:val="17"/>
          <w:lang w:eastAsia="pt-BR"/>
        </w:rPr>
        <w:tab/>
        <w:t>Garantia</w:t>
      </w:r>
      <w:r w:rsidRPr="001E6E9D">
        <w:rPr>
          <w:rFonts w:asciiTheme="minorHAnsi" w:eastAsia="Times New Roman" w:hAnsiTheme="minorHAnsi" w:cstheme="minorHAnsi"/>
          <w:b/>
          <w:sz w:val="17"/>
          <w:szCs w:val="17"/>
          <w:lang w:eastAsia="pt-BR"/>
        </w:rPr>
        <w:t xml:space="preserve"> fidejussória</w:t>
      </w:r>
      <w:r w:rsidR="0053704D" w:rsidRPr="001E6E9D">
        <w:rPr>
          <w:rFonts w:asciiTheme="minorHAnsi" w:eastAsia="Times New Roman" w:hAnsiTheme="minorHAnsi" w:cstheme="minorHAnsi"/>
          <w:bCs/>
          <w:sz w:val="17"/>
          <w:szCs w:val="17"/>
          <w:lang w:eastAsia="pt-BR"/>
        </w:rPr>
        <w:t xml:space="preserve">: </w:t>
      </w:r>
      <w:r w:rsidRPr="001E6E9D">
        <w:rPr>
          <w:rFonts w:asciiTheme="minorHAnsi" w:hAnsiTheme="minorHAnsi" w:cstheme="minorHAnsi"/>
          <w:sz w:val="17"/>
          <w:szCs w:val="17"/>
        </w:rPr>
        <w:t xml:space="preserve">Para assegurar o fiel e integral cumprimento das Obrigações Garantidas das Debêntures, as </w:t>
      </w:r>
      <w:r w:rsidR="00667968" w:rsidRPr="001E6E9D">
        <w:rPr>
          <w:rFonts w:asciiTheme="minorHAnsi" w:hAnsiTheme="minorHAnsi" w:cstheme="minorHAnsi"/>
          <w:sz w:val="17"/>
          <w:szCs w:val="17"/>
        </w:rPr>
        <w:t>Fiadoras</w:t>
      </w:r>
      <w:r w:rsidRPr="001E6E9D">
        <w:rPr>
          <w:rFonts w:asciiTheme="minorHAnsi" w:hAnsiTheme="minorHAnsi" w:cstheme="minorHAnsi"/>
          <w:sz w:val="17"/>
          <w:szCs w:val="17"/>
        </w:rPr>
        <w:t xml:space="preserve"> outorgam, </w:t>
      </w:r>
      <w:r w:rsidR="004271A5" w:rsidRPr="001E6E9D">
        <w:rPr>
          <w:rFonts w:asciiTheme="minorHAnsi" w:hAnsiTheme="minorHAnsi" w:cstheme="minorHAnsi"/>
          <w:sz w:val="17"/>
          <w:szCs w:val="17"/>
        </w:rPr>
        <w:t>por meio da Escritura de Emissão</w:t>
      </w:r>
      <w:r w:rsidRPr="001E6E9D">
        <w:rPr>
          <w:rFonts w:asciiTheme="minorHAnsi" w:hAnsiTheme="minorHAnsi" w:cstheme="minorHAnsi"/>
          <w:sz w:val="17"/>
          <w:szCs w:val="17"/>
        </w:rPr>
        <w:t>, em caráter irrevogável e irretratável, fiança não solidária entre si, e solidária com a Emissora, em favor dos Debenturistas, representados pelo Agente Fiduciário, em conformidade com os artigos 818 e 822, e com expressa renuncia aos benefícios de ordem, direitos e faculdades previstos nos artigos 333, parágrafo único, 364, 366, 368, 821, 824, 827, 829, 830, 834, 835, 837, 838 e 839, todos da Lei nº 10.406, de 10 de janeiro de 2002, conforme alterada (</w:t>
      </w:r>
      <w:r w:rsidR="000D5E35" w:rsidRPr="001E6E9D">
        <w:rPr>
          <w:rFonts w:asciiTheme="minorHAnsi" w:hAnsiTheme="minorHAnsi" w:cstheme="minorHAnsi"/>
          <w:sz w:val="17"/>
          <w:szCs w:val="17"/>
        </w:rPr>
        <w:t>“</w:t>
      </w:r>
      <w:r w:rsidRPr="001E6E9D">
        <w:rPr>
          <w:rFonts w:asciiTheme="minorHAnsi" w:hAnsiTheme="minorHAnsi" w:cstheme="minorHAnsi"/>
          <w:sz w:val="17"/>
          <w:szCs w:val="17"/>
          <w:u w:val="single"/>
        </w:rPr>
        <w:t>Código Civil</w:t>
      </w:r>
      <w:r w:rsidRPr="001E6E9D">
        <w:rPr>
          <w:rFonts w:asciiTheme="minorHAnsi" w:hAnsiTheme="minorHAnsi" w:cstheme="minorHAnsi"/>
          <w:sz w:val="17"/>
          <w:szCs w:val="17"/>
        </w:rPr>
        <w:t>”) e dos artigos 130, 131 e 794 da Lei nº 13.105, de 16 de março de 2015, conforme alterada (</w:t>
      </w:r>
      <w:r w:rsidR="000D5E35" w:rsidRPr="001E6E9D">
        <w:rPr>
          <w:rFonts w:asciiTheme="minorHAnsi" w:hAnsiTheme="minorHAnsi" w:cstheme="minorHAnsi"/>
          <w:sz w:val="17"/>
          <w:szCs w:val="17"/>
        </w:rPr>
        <w:t>“</w:t>
      </w:r>
      <w:r w:rsidRPr="001E6E9D">
        <w:rPr>
          <w:rFonts w:asciiTheme="minorHAnsi" w:hAnsiTheme="minorHAnsi" w:cstheme="minorHAnsi"/>
          <w:sz w:val="17"/>
          <w:szCs w:val="17"/>
          <w:u w:val="single"/>
        </w:rPr>
        <w:t>Código de Processo Civil</w:t>
      </w:r>
      <w:r w:rsidRPr="001E6E9D">
        <w:rPr>
          <w:rFonts w:asciiTheme="minorHAnsi" w:hAnsiTheme="minorHAnsi" w:cstheme="minorHAnsi"/>
          <w:sz w:val="17"/>
          <w:szCs w:val="17"/>
        </w:rPr>
        <w:t>”), observados os termos e condições abaixo (</w:t>
      </w:r>
      <w:r w:rsidR="000D5E35" w:rsidRPr="001E6E9D">
        <w:rPr>
          <w:rFonts w:asciiTheme="minorHAnsi" w:hAnsiTheme="minorHAnsi" w:cstheme="minorHAnsi"/>
          <w:sz w:val="17"/>
          <w:szCs w:val="17"/>
        </w:rPr>
        <w:t>“</w:t>
      </w:r>
      <w:r w:rsidRPr="001E6E9D">
        <w:rPr>
          <w:rFonts w:asciiTheme="minorHAnsi" w:hAnsiTheme="minorHAnsi" w:cstheme="minorHAnsi"/>
          <w:sz w:val="17"/>
          <w:szCs w:val="17"/>
          <w:u w:val="single"/>
        </w:rPr>
        <w:t>Fiança</w:t>
      </w:r>
      <w:r w:rsidRPr="001E6E9D">
        <w:rPr>
          <w:rFonts w:asciiTheme="minorHAnsi" w:hAnsiTheme="minorHAnsi" w:cstheme="minorHAnsi"/>
          <w:sz w:val="17"/>
          <w:szCs w:val="17"/>
        </w:rPr>
        <w:t>”).</w:t>
      </w:r>
      <w:r w:rsidR="004271A5" w:rsidRPr="001E6E9D">
        <w:rPr>
          <w:rFonts w:asciiTheme="minorHAnsi" w:hAnsiTheme="minorHAnsi" w:cstheme="minorHAnsi"/>
          <w:sz w:val="17"/>
          <w:szCs w:val="17"/>
        </w:rPr>
        <w:t xml:space="preserve"> A Fiança prestada pela FERP se resolverá integralmente, extinguindo-se integral e automaticamente (e a FERP deixará de ser considerada uma Fiadora para todos os fins da Escritura de Emissão, exonerando-se de todas as obrigações que lhe sejam aplicáveis na qualidade de Fiadora), com a conclusão da totalidade dos Empreendimentos Futuros.</w:t>
      </w:r>
      <w:bookmarkStart w:id="70" w:name="_DV_M145"/>
      <w:bookmarkStart w:id="71" w:name="_DV_M149"/>
      <w:bookmarkEnd w:id="70"/>
      <w:bookmarkEnd w:id="71"/>
    </w:p>
    <w:p w14:paraId="16B7FF18" w14:textId="245E4791" w:rsidR="0053704D" w:rsidRPr="001E6E9D" w:rsidRDefault="00800576" w:rsidP="00DC7081">
      <w:pPr>
        <w:spacing w:after="140"/>
        <w:ind w:left="567" w:hanging="567"/>
        <w:rPr>
          <w:rFonts w:asciiTheme="minorHAnsi" w:eastAsia="Times New Roman" w:hAnsiTheme="minorHAnsi" w:cstheme="minorHAnsi"/>
          <w:b/>
          <w:sz w:val="17"/>
          <w:szCs w:val="17"/>
          <w:lang w:eastAsia="pt-BR"/>
        </w:rPr>
      </w:pPr>
      <w:r w:rsidRPr="001E6E9D">
        <w:rPr>
          <w:rFonts w:asciiTheme="minorHAnsi" w:eastAsia="Times New Roman" w:hAnsiTheme="minorHAnsi" w:cstheme="minorHAnsi"/>
          <w:b/>
          <w:bCs/>
          <w:sz w:val="17"/>
          <w:szCs w:val="17"/>
          <w:lang w:eastAsia="pt-BR"/>
        </w:rPr>
        <w:t>o</w:t>
      </w:r>
      <w:r w:rsidR="0053704D" w:rsidRPr="001E6E9D">
        <w:rPr>
          <w:rFonts w:asciiTheme="minorHAnsi" w:eastAsia="Times New Roman" w:hAnsiTheme="minorHAnsi" w:cstheme="minorHAnsi"/>
          <w:b/>
          <w:bCs/>
          <w:sz w:val="17"/>
          <w:szCs w:val="17"/>
          <w:lang w:eastAsia="pt-BR"/>
        </w:rPr>
        <w:t>)</w:t>
      </w:r>
      <w:r w:rsidR="0053704D" w:rsidRPr="001E6E9D">
        <w:rPr>
          <w:rFonts w:asciiTheme="minorHAnsi" w:eastAsia="Times New Roman" w:hAnsiTheme="minorHAnsi" w:cstheme="minorHAnsi"/>
          <w:b/>
          <w:bCs/>
          <w:sz w:val="17"/>
          <w:szCs w:val="17"/>
          <w:lang w:eastAsia="pt-BR"/>
        </w:rPr>
        <w:tab/>
      </w:r>
      <w:r w:rsidR="0053704D" w:rsidRPr="001E6E9D">
        <w:rPr>
          <w:rFonts w:asciiTheme="minorHAnsi" w:eastAsia="Times New Roman" w:hAnsiTheme="minorHAnsi" w:cstheme="minorHAnsi"/>
          <w:b/>
          <w:sz w:val="17"/>
          <w:szCs w:val="17"/>
          <w:lang w:eastAsia="pt-BR"/>
        </w:rPr>
        <w:t>Direito de preferência</w:t>
      </w:r>
      <w:r w:rsidR="0053704D" w:rsidRPr="001E6E9D">
        <w:rPr>
          <w:rFonts w:asciiTheme="minorHAnsi" w:eastAsia="Times New Roman" w:hAnsiTheme="minorHAnsi" w:cstheme="minorHAnsi"/>
          <w:bCs/>
          <w:sz w:val="17"/>
          <w:szCs w:val="17"/>
          <w:lang w:eastAsia="pt-BR"/>
        </w:rPr>
        <w:t>:</w:t>
      </w:r>
      <w:r w:rsidR="0053704D" w:rsidRPr="001E6E9D">
        <w:rPr>
          <w:rFonts w:asciiTheme="minorHAnsi" w:eastAsia="Times New Roman" w:hAnsiTheme="minorHAnsi" w:cstheme="minorHAnsi"/>
          <w:b/>
          <w:sz w:val="17"/>
          <w:szCs w:val="17"/>
          <w:lang w:eastAsia="pt-BR"/>
        </w:rPr>
        <w:t xml:space="preserve"> </w:t>
      </w:r>
      <w:r w:rsidR="003664AA" w:rsidRPr="001E6E9D">
        <w:rPr>
          <w:rFonts w:asciiTheme="minorHAnsi" w:eastAsia="Times New Roman" w:hAnsiTheme="minorHAnsi" w:cstheme="minorHAnsi"/>
          <w:bCs/>
          <w:sz w:val="17"/>
          <w:szCs w:val="17"/>
          <w:lang w:eastAsia="pt-BR"/>
        </w:rPr>
        <w:t>não haverá preferência para subscrição das Debêntures pelas atuais acionistas da Emissora</w:t>
      </w:r>
      <w:r w:rsidR="0053704D" w:rsidRPr="001E6E9D">
        <w:rPr>
          <w:rFonts w:asciiTheme="minorHAnsi" w:eastAsia="Times New Roman" w:hAnsiTheme="minorHAnsi" w:cstheme="minorHAnsi"/>
          <w:bCs/>
          <w:sz w:val="17"/>
          <w:szCs w:val="17"/>
          <w:lang w:eastAsia="pt-BR"/>
        </w:rPr>
        <w:t>.</w:t>
      </w:r>
    </w:p>
    <w:p w14:paraId="2BC1F185" w14:textId="1F25CC36" w:rsidR="0053704D" w:rsidRPr="001E6E9D" w:rsidRDefault="00800576" w:rsidP="00DC7081">
      <w:pPr>
        <w:spacing w:after="140"/>
        <w:ind w:left="567" w:hanging="567"/>
        <w:rPr>
          <w:rFonts w:asciiTheme="minorHAnsi" w:hAnsiTheme="minorHAnsi" w:cstheme="minorHAnsi"/>
          <w:sz w:val="17"/>
          <w:szCs w:val="17"/>
        </w:rPr>
      </w:pPr>
      <w:r w:rsidRPr="001E6E9D">
        <w:rPr>
          <w:rFonts w:asciiTheme="minorHAnsi" w:eastAsia="Times New Roman" w:hAnsiTheme="minorHAnsi" w:cstheme="minorHAnsi"/>
          <w:b/>
          <w:bCs/>
          <w:sz w:val="17"/>
          <w:szCs w:val="17"/>
          <w:lang w:eastAsia="pt-BR"/>
        </w:rPr>
        <w:t>p</w:t>
      </w:r>
      <w:r w:rsidR="0053704D" w:rsidRPr="001E6E9D">
        <w:rPr>
          <w:rFonts w:asciiTheme="minorHAnsi" w:eastAsia="Times New Roman" w:hAnsiTheme="minorHAnsi" w:cstheme="minorHAnsi"/>
          <w:b/>
          <w:bCs/>
          <w:sz w:val="17"/>
          <w:szCs w:val="17"/>
          <w:lang w:eastAsia="pt-BR"/>
        </w:rPr>
        <w:t>)</w:t>
      </w:r>
      <w:r w:rsidR="0053704D" w:rsidRPr="001E6E9D">
        <w:rPr>
          <w:rFonts w:asciiTheme="minorHAnsi" w:eastAsia="Times New Roman" w:hAnsiTheme="minorHAnsi" w:cstheme="minorHAnsi"/>
          <w:b/>
          <w:bCs/>
          <w:sz w:val="17"/>
          <w:szCs w:val="17"/>
          <w:lang w:eastAsia="pt-BR"/>
        </w:rPr>
        <w:tab/>
      </w:r>
      <w:r w:rsidR="0053704D" w:rsidRPr="001E6E9D">
        <w:rPr>
          <w:rFonts w:asciiTheme="minorHAnsi" w:eastAsia="Times New Roman" w:hAnsiTheme="minorHAnsi" w:cstheme="minorHAnsi"/>
          <w:b/>
          <w:sz w:val="17"/>
          <w:szCs w:val="17"/>
          <w:lang w:eastAsia="pt-BR"/>
        </w:rPr>
        <w:t>Tratamento tributário</w:t>
      </w:r>
      <w:r w:rsidR="0053704D" w:rsidRPr="001E6E9D">
        <w:rPr>
          <w:rFonts w:asciiTheme="minorHAnsi" w:eastAsia="Times New Roman" w:hAnsiTheme="minorHAnsi" w:cstheme="minorHAnsi"/>
          <w:bCs/>
          <w:sz w:val="17"/>
          <w:szCs w:val="17"/>
          <w:lang w:eastAsia="pt-BR"/>
        </w:rPr>
        <w:t>:</w:t>
      </w:r>
      <w:r w:rsidR="0053704D" w:rsidRPr="001E6E9D">
        <w:rPr>
          <w:rFonts w:asciiTheme="minorHAnsi" w:eastAsia="Times New Roman" w:hAnsiTheme="minorHAnsi" w:cstheme="minorHAnsi"/>
          <w:b/>
          <w:sz w:val="17"/>
          <w:szCs w:val="17"/>
          <w:lang w:eastAsia="pt-BR"/>
        </w:rPr>
        <w:t xml:space="preserve"> </w:t>
      </w:r>
      <w:r w:rsidR="0053704D" w:rsidRPr="001E6E9D">
        <w:rPr>
          <w:rFonts w:asciiTheme="minorHAnsi" w:eastAsia="Times New Roman" w:hAnsiTheme="minorHAnsi" w:cstheme="minorHAnsi"/>
          <w:sz w:val="17"/>
          <w:szCs w:val="17"/>
          <w:lang w:eastAsia="pt-BR"/>
        </w:rPr>
        <w:t xml:space="preserve">as </w:t>
      </w:r>
      <w:r w:rsidR="0053704D" w:rsidRPr="001E6E9D">
        <w:rPr>
          <w:rFonts w:asciiTheme="minorHAnsi" w:hAnsiTheme="minorHAnsi" w:cstheme="minorHAnsi"/>
          <w:sz w:val="17"/>
          <w:szCs w:val="17"/>
        </w:rPr>
        <w:t>Debêntures gozam do tratamento tributário previsto no artigo 2º da Lei 12.431.</w:t>
      </w:r>
    </w:p>
    <w:p w14:paraId="48815A46" w14:textId="4FEC4B95" w:rsidR="009F5236" w:rsidRPr="001E6E9D" w:rsidRDefault="002030A4" w:rsidP="00DC7081">
      <w:pPr>
        <w:spacing w:after="140"/>
        <w:ind w:left="567" w:hanging="567"/>
        <w:rPr>
          <w:rFonts w:asciiTheme="minorHAnsi" w:hAnsiTheme="minorHAnsi" w:cstheme="minorHAnsi"/>
          <w:sz w:val="17"/>
          <w:szCs w:val="17"/>
        </w:rPr>
      </w:pPr>
      <w:r w:rsidRPr="001E6E9D">
        <w:rPr>
          <w:rFonts w:asciiTheme="minorHAnsi" w:hAnsiTheme="minorHAnsi" w:cstheme="minorHAnsi"/>
          <w:b/>
          <w:bCs/>
          <w:sz w:val="17"/>
          <w:szCs w:val="17"/>
        </w:rPr>
        <w:t>q</w:t>
      </w:r>
      <w:r w:rsidR="0053704D" w:rsidRPr="001E6E9D">
        <w:rPr>
          <w:rFonts w:asciiTheme="minorHAnsi" w:hAnsiTheme="minorHAnsi" w:cstheme="minorHAnsi"/>
          <w:b/>
          <w:bCs/>
          <w:sz w:val="17"/>
          <w:szCs w:val="17"/>
        </w:rPr>
        <w:t>)</w:t>
      </w:r>
      <w:r w:rsidR="0053704D" w:rsidRPr="001E6E9D">
        <w:rPr>
          <w:rFonts w:asciiTheme="minorHAnsi" w:hAnsiTheme="minorHAnsi" w:cstheme="minorHAnsi"/>
          <w:b/>
          <w:bCs/>
          <w:sz w:val="17"/>
          <w:szCs w:val="17"/>
        </w:rPr>
        <w:tab/>
      </w:r>
      <w:r w:rsidR="004271A5" w:rsidRPr="001E6E9D">
        <w:rPr>
          <w:rFonts w:asciiTheme="minorHAnsi" w:hAnsiTheme="minorHAnsi" w:cstheme="minorHAnsi"/>
          <w:b/>
          <w:bCs/>
          <w:sz w:val="17"/>
          <w:szCs w:val="17"/>
        </w:rPr>
        <w:t>Compromissos (</w:t>
      </w:r>
      <w:r w:rsidR="004271A5" w:rsidRPr="001E6E9D">
        <w:rPr>
          <w:rFonts w:asciiTheme="minorHAnsi" w:hAnsiTheme="minorHAnsi" w:cstheme="minorHAnsi"/>
          <w:b/>
          <w:bCs/>
          <w:i/>
          <w:iCs/>
          <w:sz w:val="17"/>
          <w:szCs w:val="17"/>
        </w:rPr>
        <w:t>Covenants</w:t>
      </w:r>
      <w:r w:rsidR="004271A5" w:rsidRPr="001E6E9D">
        <w:rPr>
          <w:rFonts w:asciiTheme="minorHAnsi" w:hAnsiTheme="minorHAnsi" w:cstheme="minorHAnsi"/>
          <w:b/>
          <w:bCs/>
          <w:sz w:val="17"/>
          <w:szCs w:val="17"/>
        </w:rPr>
        <w:t xml:space="preserve">) </w:t>
      </w:r>
      <w:r w:rsidR="0053704D" w:rsidRPr="001E6E9D">
        <w:rPr>
          <w:rFonts w:asciiTheme="minorHAnsi" w:hAnsiTheme="minorHAnsi" w:cstheme="minorHAnsi"/>
          <w:b/>
          <w:bCs/>
          <w:sz w:val="17"/>
          <w:szCs w:val="17"/>
        </w:rPr>
        <w:t xml:space="preserve">financeiros: </w:t>
      </w:r>
      <w:r w:rsidR="009F5236" w:rsidRPr="001E6E9D">
        <w:rPr>
          <w:rFonts w:asciiTheme="minorHAnsi" w:eastAsia="Arial Unicode MS" w:hAnsiTheme="minorHAnsi" w:cstheme="minorHAnsi"/>
          <w:sz w:val="17"/>
          <w:szCs w:val="17"/>
        </w:rPr>
        <w:t>não atingimento, pela Emissora, do índice de cobertura do serviço da dívida (</w:t>
      </w:r>
      <w:r w:rsidR="000D5E35" w:rsidRPr="001E6E9D">
        <w:rPr>
          <w:rFonts w:asciiTheme="minorHAnsi" w:eastAsia="Arial Unicode MS" w:hAnsiTheme="minorHAnsi" w:cstheme="minorHAnsi"/>
          <w:sz w:val="17"/>
          <w:szCs w:val="17"/>
        </w:rPr>
        <w:t>“</w:t>
      </w:r>
      <w:r w:rsidR="009F5236" w:rsidRPr="001E6E9D">
        <w:rPr>
          <w:rFonts w:asciiTheme="minorHAnsi" w:hAnsiTheme="minorHAnsi" w:cstheme="minorHAnsi"/>
          <w:sz w:val="17"/>
          <w:szCs w:val="17"/>
          <w:u w:val="single"/>
        </w:rPr>
        <w:t>ICSD</w:t>
      </w:r>
      <w:r w:rsidR="009F5236" w:rsidRPr="001E6E9D">
        <w:rPr>
          <w:rFonts w:asciiTheme="minorHAnsi" w:eastAsia="Arial Unicode MS" w:hAnsiTheme="minorHAnsi" w:cstheme="minorHAnsi"/>
          <w:sz w:val="17"/>
          <w:szCs w:val="17"/>
        </w:rPr>
        <w:t>”) consolidado mínimo maior ou igual a 1,20x (um inteiro e vinte centésimos vezes) (</w:t>
      </w:r>
      <w:r w:rsidR="000D5E35" w:rsidRPr="001E6E9D">
        <w:rPr>
          <w:rFonts w:asciiTheme="minorHAnsi" w:eastAsia="Arial Unicode MS" w:hAnsiTheme="minorHAnsi" w:cstheme="minorHAnsi"/>
          <w:sz w:val="17"/>
          <w:szCs w:val="17"/>
        </w:rPr>
        <w:t>“</w:t>
      </w:r>
      <w:r w:rsidR="009F5236" w:rsidRPr="001E6E9D">
        <w:rPr>
          <w:rFonts w:asciiTheme="minorHAnsi" w:hAnsiTheme="minorHAnsi" w:cstheme="minorHAnsi"/>
          <w:b/>
          <w:bCs/>
          <w:sz w:val="17"/>
          <w:szCs w:val="17"/>
        </w:rPr>
        <w:t>ICSD Mínimo</w:t>
      </w:r>
      <w:r w:rsidR="009F5236" w:rsidRPr="001E6E9D">
        <w:rPr>
          <w:rFonts w:asciiTheme="minorHAnsi" w:eastAsia="Arial Unicode MS" w:hAnsiTheme="minorHAnsi" w:cstheme="minorHAnsi"/>
          <w:sz w:val="17"/>
          <w:szCs w:val="17"/>
        </w:rPr>
        <w:t xml:space="preserve">”), a ser apurado pela Emissora e acompanhado pelo Agente Fiduciário após a primeira </w:t>
      </w:r>
      <w:r w:rsidR="009F5236" w:rsidRPr="001E6E9D">
        <w:rPr>
          <w:rFonts w:asciiTheme="minorHAnsi" w:hAnsiTheme="minorHAnsi" w:cstheme="minorHAnsi"/>
          <w:sz w:val="17"/>
          <w:szCs w:val="17"/>
        </w:rPr>
        <w:t xml:space="preserve">Data de Pagamento da Remuneração das Debêntures, </w:t>
      </w:r>
      <w:r w:rsidR="009F5236" w:rsidRPr="001E6E9D">
        <w:rPr>
          <w:rFonts w:asciiTheme="minorHAnsi" w:eastAsia="Arial Unicode MS" w:hAnsiTheme="minorHAnsi" w:cstheme="minorHAnsi"/>
          <w:sz w:val="17"/>
          <w:szCs w:val="17"/>
        </w:rPr>
        <w:t>de acordo com o quanto disposto abaixo</w:t>
      </w:r>
      <w:r w:rsidR="0053704D" w:rsidRPr="001E6E9D">
        <w:rPr>
          <w:rFonts w:asciiTheme="minorHAnsi" w:hAnsiTheme="minorHAnsi" w:cstheme="minorHAnsi"/>
          <w:sz w:val="17"/>
          <w:szCs w:val="17"/>
        </w:rPr>
        <w:t>.</w:t>
      </w:r>
    </w:p>
    <w:p w14:paraId="6602DAED" w14:textId="77777777" w:rsidR="00F2087B" w:rsidRPr="001E6E9D" w:rsidRDefault="00F2087B" w:rsidP="00DC7081">
      <w:pPr>
        <w:spacing w:after="140"/>
        <w:ind w:left="567"/>
        <w:rPr>
          <w:rFonts w:asciiTheme="minorHAnsi" w:hAnsiTheme="minorHAnsi" w:cstheme="minorHAnsi"/>
          <w:b/>
          <w:bCs/>
          <w:caps/>
          <w:sz w:val="17"/>
          <w:szCs w:val="17"/>
        </w:rPr>
      </w:pPr>
      <w:r w:rsidRPr="001E6E9D">
        <w:rPr>
          <w:rFonts w:asciiTheme="minorHAnsi" w:hAnsiTheme="minorHAnsi" w:cstheme="minorHAnsi"/>
          <w:b/>
          <w:bCs/>
          <w:caps/>
          <w:sz w:val="17"/>
          <w:szCs w:val="17"/>
        </w:rPr>
        <w:t>METODOLOGIA DE CÁLCULO DO ICSD DA EMISSORA</w:t>
      </w:r>
    </w:p>
    <w:p w14:paraId="7CBCA5BF" w14:textId="63857951" w:rsidR="00065DBC" w:rsidRPr="001E6E9D" w:rsidRDefault="00F2087B" w:rsidP="00DC7081">
      <w:pPr>
        <w:spacing w:after="140"/>
        <w:ind w:left="567"/>
        <w:rPr>
          <w:rStyle w:val="colour"/>
          <w:rFonts w:asciiTheme="minorHAnsi" w:eastAsia="Arial Unicode MS" w:hAnsiTheme="minorHAnsi" w:cstheme="minorHAnsi"/>
          <w:sz w:val="17"/>
          <w:szCs w:val="17"/>
        </w:rPr>
      </w:pPr>
      <w:r w:rsidRPr="001E6E9D">
        <w:rPr>
          <w:rFonts w:asciiTheme="minorHAnsi" w:hAnsiTheme="minorHAnsi" w:cstheme="minorHAnsi"/>
          <w:sz w:val="17"/>
          <w:szCs w:val="17"/>
        </w:rPr>
        <w:t>A apuração do Índice de Cobertura do Serviço da Dívida (</w:t>
      </w:r>
      <w:r w:rsidR="000D5E35" w:rsidRPr="001E6E9D">
        <w:rPr>
          <w:rFonts w:asciiTheme="minorHAnsi" w:hAnsiTheme="minorHAnsi" w:cstheme="minorHAnsi"/>
          <w:sz w:val="17"/>
          <w:szCs w:val="17"/>
        </w:rPr>
        <w:t>“</w:t>
      </w:r>
      <w:r w:rsidRPr="001E6E9D">
        <w:rPr>
          <w:rFonts w:asciiTheme="minorHAnsi" w:hAnsiTheme="minorHAnsi" w:cstheme="minorHAnsi"/>
          <w:b/>
          <w:sz w:val="17"/>
          <w:szCs w:val="17"/>
        </w:rPr>
        <w:t>ICSD</w:t>
      </w:r>
      <w:r w:rsidRPr="001E6E9D">
        <w:rPr>
          <w:rFonts w:asciiTheme="minorHAnsi" w:hAnsiTheme="minorHAnsi" w:cstheme="minorHAnsi"/>
          <w:sz w:val="17"/>
          <w:szCs w:val="17"/>
        </w:rPr>
        <w:t xml:space="preserve">”) deverá ocorrer </w:t>
      </w:r>
      <w:r w:rsidR="00680A4C">
        <w:rPr>
          <w:rFonts w:asciiTheme="minorHAnsi" w:hAnsiTheme="minorHAnsi" w:cstheme="minorHAnsi"/>
          <w:sz w:val="17"/>
          <w:szCs w:val="17"/>
        </w:rPr>
        <w:t>anualmente</w:t>
      </w:r>
      <w:r w:rsidRPr="001E6E9D">
        <w:rPr>
          <w:rFonts w:asciiTheme="minorHAnsi" w:hAnsiTheme="minorHAnsi" w:cstheme="minorHAnsi"/>
          <w:sz w:val="17"/>
          <w:szCs w:val="17"/>
        </w:rPr>
        <w:t xml:space="preserve">, a partir da primeira data de pagamento da remuneração das Debêntures (inclusive), com base nas demonstrações </w:t>
      </w:r>
      <w:r w:rsidRPr="001E6E9D">
        <w:rPr>
          <w:rFonts w:asciiTheme="minorHAnsi" w:eastAsia="Arial Unicode MS" w:hAnsiTheme="minorHAnsi" w:cstheme="minorHAnsi"/>
          <w:sz w:val="17"/>
          <w:szCs w:val="17"/>
        </w:rPr>
        <w:t>financeiras completas e auditadas da Emissora relativas ao respectivo exercício social, acompanhadas de notas explicativas e do relatório dos auditores independentes</w:t>
      </w:r>
      <w:r w:rsidRPr="001E6E9D">
        <w:rPr>
          <w:rFonts w:asciiTheme="minorHAnsi" w:hAnsiTheme="minorHAnsi" w:cstheme="minorHAnsi"/>
          <w:sz w:val="17"/>
          <w:szCs w:val="17"/>
        </w:rPr>
        <w:t xml:space="preserve"> (consolidadas de acordo com as práticas contábeis adotadas no Brasil)</w:t>
      </w:r>
      <w:r w:rsidRPr="001E6E9D">
        <w:rPr>
          <w:rStyle w:val="colour"/>
          <w:rFonts w:asciiTheme="minorHAnsi" w:hAnsiTheme="minorHAnsi" w:cstheme="minorHAnsi"/>
          <w:sz w:val="17"/>
          <w:szCs w:val="17"/>
        </w:rPr>
        <w:t>.</w:t>
      </w:r>
    </w:p>
    <w:p w14:paraId="7854BC64" w14:textId="77777777" w:rsidR="00065DBC"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Para fins de apuração do ICSD deverão ser considerados os seguintes valores e contas contábeis da Emissora:</w:t>
      </w:r>
    </w:p>
    <w:p w14:paraId="603255EE" w14:textId="6C2F942F" w:rsidR="00F2087B" w:rsidRPr="001E6E9D" w:rsidRDefault="00F2087B" w:rsidP="00DC7081">
      <w:pPr>
        <w:spacing w:after="140"/>
        <w:ind w:left="567"/>
        <w:rPr>
          <w:rFonts w:asciiTheme="minorHAnsi" w:hAnsiTheme="minorHAnsi" w:cstheme="minorHAnsi"/>
          <w:b/>
          <w:sz w:val="17"/>
          <w:szCs w:val="17"/>
        </w:rPr>
      </w:pPr>
      <w:r w:rsidRPr="001E6E9D">
        <w:rPr>
          <w:rFonts w:asciiTheme="minorHAnsi" w:hAnsiTheme="minorHAnsi" w:cstheme="minorHAnsi"/>
          <w:b/>
          <w:sz w:val="17"/>
          <w:szCs w:val="17"/>
        </w:rPr>
        <w:t>METODOLOGIA DE CÁLCULO DO ICSD</w:t>
      </w:r>
    </w:p>
    <w:p w14:paraId="061765FA"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O Índice de Cobertura do Serviço da Dívida em um determinado Ano de Referência (ARef) é calculado a partir da divisão da Geração de Caixa da Atividade no Ano de Referência pelo Serviço da Dívida do Ano de Referência, com base em informações registradas nas Demonstrações Financeiras anuais auditadas da Afiançada, a saber:</w:t>
      </w:r>
    </w:p>
    <w:p w14:paraId="59E9A858" w14:textId="77777777" w:rsidR="00F2087B" w:rsidRPr="001E6E9D" w:rsidRDefault="00F2087B" w:rsidP="00DC7081">
      <w:pPr>
        <w:spacing w:after="140"/>
        <w:ind w:left="567"/>
        <w:rPr>
          <w:rFonts w:asciiTheme="minorHAnsi" w:hAnsiTheme="minorHAnsi" w:cstheme="minorHAnsi"/>
          <w:b/>
          <w:sz w:val="17"/>
          <w:szCs w:val="17"/>
        </w:rPr>
      </w:pPr>
      <w:r w:rsidRPr="001E6E9D">
        <w:rPr>
          <w:rFonts w:asciiTheme="minorHAnsi" w:hAnsiTheme="minorHAnsi" w:cstheme="minorHAnsi"/>
          <w:b/>
          <w:sz w:val="17"/>
          <w:szCs w:val="17"/>
        </w:rPr>
        <w:t>A) GERAÇÃO DE CAIXA DA ATIVIDADE NO ARef</w:t>
      </w:r>
    </w:p>
    <w:p w14:paraId="73EC2FED"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EBITDA AJUSTADO do ARef, calculado de acordo com o item (D);</w:t>
      </w:r>
    </w:p>
    <w:p w14:paraId="46F78FE2"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Despesa de Imposto de Renda e Contribuição Social apurada no exercício, líquidos de diferimentos, excluindo-se a Despesa de Imposto de Renda e Contribuição Social decorrente das Receitas Financeiras;</w:t>
      </w:r>
    </w:p>
    <w:p w14:paraId="691E5A1E" w14:textId="77777777" w:rsidR="00065DBC"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Variação da Necessidade de Capital de Giro</w:t>
      </w:r>
      <w:r w:rsidRPr="001E6E9D">
        <w:rPr>
          <w:rStyle w:val="Refdenotaderodap"/>
          <w:rFonts w:asciiTheme="minorHAnsi" w:hAnsiTheme="minorHAnsi" w:cstheme="minorHAnsi"/>
          <w:sz w:val="17"/>
          <w:szCs w:val="17"/>
        </w:rPr>
        <w:footnoteReference w:id="2"/>
      </w:r>
      <w:r w:rsidRPr="001E6E9D">
        <w:rPr>
          <w:rFonts w:asciiTheme="minorHAnsi" w:hAnsiTheme="minorHAnsi" w:cstheme="minorHAnsi"/>
          <w:sz w:val="17"/>
          <w:szCs w:val="17"/>
        </w:rPr>
        <w:t xml:space="preserve"> (-) Investimentos realizados, em montante superior ao informado no 1º relatório pelo Engenheiro Independente.</w:t>
      </w:r>
    </w:p>
    <w:p w14:paraId="312B5408" w14:textId="65CC4921" w:rsidR="00F2087B" w:rsidRPr="001E6E9D" w:rsidRDefault="00F2087B" w:rsidP="00DC7081">
      <w:pPr>
        <w:spacing w:after="140"/>
        <w:ind w:left="567"/>
        <w:rPr>
          <w:rFonts w:asciiTheme="minorHAnsi" w:hAnsiTheme="minorHAnsi" w:cstheme="minorHAnsi"/>
          <w:b/>
          <w:sz w:val="17"/>
          <w:szCs w:val="17"/>
        </w:rPr>
      </w:pPr>
      <w:r w:rsidRPr="001E6E9D">
        <w:rPr>
          <w:rFonts w:asciiTheme="minorHAnsi" w:hAnsiTheme="minorHAnsi" w:cstheme="minorHAnsi"/>
          <w:b/>
          <w:sz w:val="17"/>
          <w:szCs w:val="17"/>
        </w:rPr>
        <w:t>B) SERVIÇO DA DÍVIDA NO ARef</w:t>
      </w:r>
    </w:p>
    <w:p w14:paraId="66438607"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Somatório dos 12 meses de Pagamento de Amortização de Principal realizada no Aref;</w:t>
      </w:r>
    </w:p>
    <w:p w14:paraId="1C95D1C6" w14:textId="77777777" w:rsidR="00065DBC"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Somatório dos 12 meses de Pagamento de Juros no Aref;</w:t>
      </w:r>
    </w:p>
    <w:p w14:paraId="08607A57" w14:textId="4C7416A7" w:rsidR="00F2087B" w:rsidRPr="001E6E9D" w:rsidRDefault="00F2087B" w:rsidP="00DC7081">
      <w:pPr>
        <w:spacing w:after="140"/>
        <w:ind w:left="567"/>
        <w:rPr>
          <w:rFonts w:asciiTheme="minorHAnsi" w:hAnsiTheme="minorHAnsi" w:cstheme="minorHAnsi"/>
          <w:b/>
          <w:sz w:val="17"/>
          <w:szCs w:val="17"/>
        </w:rPr>
      </w:pPr>
      <w:r w:rsidRPr="001E6E9D">
        <w:rPr>
          <w:rFonts w:asciiTheme="minorHAnsi" w:hAnsiTheme="minorHAnsi" w:cstheme="minorHAnsi"/>
          <w:b/>
          <w:sz w:val="17"/>
          <w:szCs w:val="17"/>
        </w:rPr>
        <w:t>C) ÍNDICE DE COBERTURA DO SERVIÇO DA DÍVIDA NO ARef</w:t>
      </w:r>
    </w:p>
    <w:p w14:paraId="784205DD"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(A) / (B)</w:t>
      </w:r>
    </w:p>
    <w:p w14:paraId="34AB04E3" w14:textId="77777777" w:rsidR="00F2087B" w:rsidRPr="001E6E9D" w:rsidRDefault="00F2087B" w:rsidP="00DC7081">
      <w:pPr>
        <w:spacing w:after="140"/>
        <w:ind w:left="567"/>
        <w:rPr>
          <w:rFonts w:asciiTheme="minorHAnsi" w:hAnsiTheme="minorHAnsi" w:cstheme="minorHAnsi"/>
          <w:b/>
          <w:sz w:val="17"/>
          <w:szCs w:val="17"/>
        </w:rPr>
      </w:pPr>
      <w:r w:rsidRPr="001E6E9D">
        <w:rPr>
          <w:rFonts w:asciiTheme="minorHAnsi" w:hAnsiTheme="minorHAnsi" w:cstheme="minorHAnsi"/>
          <w:b/>
          <w:sz w:val="17"/>
          <w:szCs w:val="17"/>
        </w:rPr>
        <w:t>D) EBITDA AJUSTADO NO ARef</w:t>
      </w:r>
    </w:p>
    <w:p w14:paraId="1FE745F1"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Lucro / Prejuízo antes do Imposto de Renda e da Contribuição Social sobre o Lucro Líquido;</w:t>
      </w:r>
    </w:p>
    <w:p w14:paraId="0673015A"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Recuperação PIS/COFINS;</w:t>
      </w:r>
    </w:p>
    <w:p w14:paraId="05078229"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Resultado Financeiro Líquido de Impostos;</w:t>
      </w:r>
    </w:p>
    <w:p w14:paraId="0C1915AC"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Pagamentos realizados no ARef, referentes a arrendamentos operacionais, conforme princípios de apuração, mensuração e apresentação estabelecidos pelo Pronunciamento Técnico CPC 06 (Operações de Arrendamento Mercantil) emitido pelo Comitê de Pronunciamentos Contábeis;</w:t>
      </w:r>
    </w:p>
    <w:p w14:paraId="3961127E"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Resultado com Equivalência Patrimonial Negativo / Positivo;</w:t>
      </w:r>
    </w:p>
    <w:p w14:paraId="5C0F4FA7"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Depreciação e Amortização;</w:t>
      </w:r>
    </w:p>
    <w:p w14:paraId="526F9860" w14:textId="77777777"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Perdas (desvalorização) por Impairment / Reversões de perdas anteriores;</w:t>
      </w:r>
    </w:p>
    <w:p w14:paraId="3470F01F" w14:textId="1E358B7F" w:rsidR="00F2087B" w:rsidRPr="001E6E9D" w:rsidRDefault="00F2087B" w:rsidP="00DC7081">
      <w:pPr>
        <w:spacing w:after="140"/>
        <w:ind w:left="567"/>
        <w:rPr>
          <w:rFonts w:asciiTheme="minorHAnsi" w:hAnsiTheme="minorHAnsi" w:cstheme="minorHAnsi"/>
          <w:sz w:val="17"/>
          <w:szCs w:val="17"/>
        </w:rPr>
      </w:pPr>
      <w:r w:rsidRPr="001E6E9D">
        <w:rPr>
          <w:rFonts w:asciiTheme="minorHAnsi" w:hAnsiTheme="minorHAnsi" w:cstheme="minorHAnsi"/>
          <w:sz w:val="17"/>
          <w:szCs w:val="17"/>
        </w:rPr>
        <w:t>(+/-) Prejuízo / lucro na alienação de imobilizado, investimentos ou intangível.</w:t>
      </w:r>
    </w:p>
    <w:p w14:paraId="3F01E988" w14:textId="77777777" w:rsidR="00065DBC" w:rsidRPr="001E6E9D" w:rsidRDefault="002030A4" w:rsidP="00DC7081">
      <w:pPr>
        <w:spacing w:after="140"/>
        <w:ind w:left="567" w:hanging="567"/>
        <w:rPr>
          <w:rFonts w:asciiTheme="minorHAnsi" w:hAnsiTheme="minorHAnsi" w:cstheme="minorHAnsi"/>
          <w:sz w:val="17"/>
          <w:szCs w:val="17"/>
        </w:rPr>
      </w:pPr>
      <w:r w:rsidRPr="001E6E9D">
        <w:rPr>
          <w:rFonts w:asciiTheme="minorHAnsi" w:hAnsiTheme="minorHAnsi" w:cstheme="minorHAnsi"/>
          <w:b/>
          <w:bCs/>
          <w:sz w:val="17"/>
          <w:szCs w:val="17"/>
        </w:rPr>
        <w:lastRenderedPageBreak/>
        <w:t>r</w:t>
      </w:r>
      <w:r w:rsidR="0053704D" w:rsidRPr="001E6E9D">
        <w:rPr>
          <w:rFonts w:asciiTheme="minorHAnsi" w:hAnsiTheme="minorHAnsi" w:cstheme="minorHAnsi"/>
          <w:b/>
          <w:bCs/>
          <w:sz w:val="17"/>
          <w:szCs w:val="17"/>
        </w:rPr>
        <w:t>)</w:t>
      </w:r>
      <w:r w:rsidR="0053704D" w:rsidRPr="001E6E9D">
        <w:rPr>
          <w:rFonts w:asciiTheme="minorHAnsi" w:hAnsiTheme="minorHAnsi" w:cstheme="minorHAnsi"/>
          <w:sz w:val="17"/>
          <w:szCs w:val="17"/>
        </w:rPr>
        <w:tab/>
      </w:r>
      <w:r w:rsidR="0053704D" w:rsidRPr="001E6E9D">
        <w:rPr>
          <w:rFonts w:asciiTheme="minorHAnsi" w:hAnsiTheme="minorHAnsi" w:cstheme="minorHAnsi"/>
          <w:b/>
          <w:bCs/>
          <w:sz w:val="17"/>
          <w:szCs w:val="17"/>
        </w:rPr>
        <w:t>Eventos de vencimento antecipado:</w:t>
      </w:r>
      <w:r w:rsidR="0053704D" w:rsidRPr="001E6E9D">
        <w:rPr>
          <w:rFonts w:asciiTheme="minorHAnsi" w:hAnsiTheme="minorHAnsi" w:cstheme="minorHAnsi"/>
          <w:sz w:val="17"/>
          <w:szCs w:val="17"/>
        </w:rPr>
        <w:t xml:space="preserve"> </w:t>
      </w:r>
      <w:r w:rsidR="003664AA" w:rsidRPr="001E6E9D">
        <w:rPr>
          <w:rFonts w:asciiTheme="minorHAnsi" w:hAnsiTheme="minorHAnsi" w:cstheme="minorHAnsi"/>
          <w:sz w:val="17"/>
          <w:szCs w:val="17"/>
        </w:rPr>
        <w:t>o Agente Fiduciário deverá considerar antecipadamente vencidas todas as obrigações decorrentes das Debêntures e exigir o imediato pagamento dos valores devidos pela Emissora do Valor Nominal Atualizado, acrescido dos Juros Remuneratórios</w:t>
      </w:r>
      <w:bookmarkStart w:id="72" w:name="_DV_C169"/>
      <w:r w:rsidR="003664AA" w:rsidRPr="001E6E9D">
        <w:rPr>
          <w:rFonts w:asciiTheme="minorHAnsi" w:hAnsiTheme="minorHAnsi" w:cstheme="minorHAnsi"/>
          <w:strike/>
          <w:sz w:val="17"/>
          <w:szCs w:val="17"/>
        </w:rPr>
        <w:t>,</w:t>
      </w:r>
      <w:bookmarkEnd w:id="72"/>
      <w:r w:rsidR="003664AA" w:rsidRPr="001E6E9D">
        <w:rPr>
          <w:rFonts w:asciiTheme="minorHAnsi" w:hAnsiTheme="minorHAnsi" w:cstheme="minorHAnsi"/>
          <w:sz w:val="17"/>
          <w:szCs w:val="17"/>
        </w:rPr>
        <w:t xml:space="preserve"> calculados pro rata temporis, desde a Data de Início da Rentabilidade ou a última Data de Pagamento dos Juros Remuneratórios, conforme o caso, e dos Encargos Moratórios e multas, se houver, incidentes até a data do seu efetivo pagamento, respeitados os respectivos prazos de cura.</w:t>
      </w:r>
    </w:p>
    <w:p w14:paraId="1DA6401B" w14:textId="418411B0" w:rsidR="00065DBC" w:rsidRPr="001E6E9D" w:rsidRDefault="002030A4" w:rsidP="00DC7081">
      <w:pPr>
        <w:pStyle w:val="CorpodetextobtBT"/>
        <w:spacing w:after="140"/>
        <w:ind w:left="1276" w:hanging="709"/>
        <w:rPr>
          <w:rFonts w:asciiTheme="minorHAnsi" w:hAnsiTheme="minorHAnsi" w:cstheme="minorHAnsi"/>
          <w:sz w:val="17"/>
          <w:szCs w:val="17"/>
        </w:rPr>
      </w:pPr>
      <w:bookmarkStart w:id="73" w:name="_Ref121957788"/>
      <w:r w:rsidRPr="001E6E9D">
        <w:rPr>
          <w:rFonts w:asciiTheme="minorHAnsi" w:hAnsiTheme="minorHAnsi" w:cstheme="minorHAnsi"/>
          <w:b/>
          <w:sz w:val="17"/>
          <w:szCs w:val="17"/>
        </w:rPr>
        <w:t>r</w:t>
      </w:r>
      <w:r w:rsidR="003664AA" w:rsidRPr="001E6E9D">
        <w:rPr>
          <w:rFonts w:asciiTheme="minorHAnsi" w:hAnsiTheme="minorHAnsi" w:cstheme="minorHAnsi"/>
          <w:b/>
          <w:sz w:val="17"/>
          <w:szCs w:val="17"/>
        </w:rPr>
        <w:t>1)</w:t>
      </w:r>
      <w:r w:rsidR="003664AA" w:rsidRPr="001E6E9D">
        <w:rPr>
          <w:rFonts w:asciiTheme="minorHAnsi" w:hAnsiTheme="minorHAnsi" w:cstheme="minorHAnsi"/>
          <w:b/>
          <w:sz w:val="17"/>
          <w:szCs w:val="17"/>
        </w:rPr>
        <w:tab/>
      </w:r>
      <w:r w:rsidR="003664AA" w:rsidRPr="001E6E9D">
        <w:rPr>
          <w:rFonts w:asciiTheme="minorHAnsi" w:hAnsiTheme="minorHAnsi" w:cstheme="minorHAnsi"/>
          <w:sz w:val="17"/>
          <w:szCs w:val="17"/>
        </w:rPr>
        <w:t xml:space="preserve">Constituem Eventos de Inadimplemento que acarretam o vencimento antecipado </w:t>
      </w:r>
      <w:r w:rsidR="003664AA" w:rsidRPr="001E6E9D">
        <w:rPr>
          <w:rFonts w:asciiTheme="minorHAnsi" w:hAnsiTheme="minorHAnsi" w:cstheme="minorHAnsi"/>
          <w:b/>
          <w:sz w:val="17"/>
          <w:szCs w:val="17"/>
          <w:u w:val="single"/>
        </w:rPr>
        <w:t>automático</w:t>
      </w:r>
      <w:r w:rsidR="003664AA" w:rsidRPr="001E6E9D">
        <w:rPr>
          <w:rFonts w:asciiTheme="minorHAnsi" w:hAnsiTheme="minorHAnsi" w:cstheme="minorHAnsi"/>
          <w:sz w:val="17"/>
          <w:szCs w:val="17"/>
        </w:rPr>
        <w:t xml:space="preserve"> das obrigações decorrentes das Debêntures, independentemente de aviso ou notificação, judicial ou extrajudicial, aplicando-se o disposto na </w:t>
      </w:r>
      <w:r w:rsidR="004271A5" w:rsidRPr="001E6E9D">
        <w:rPr>
          <w:rFonts w:asciiTheme="minorHAnsi" w:hAnsiTheme="minorHAnsi" w:cstheme="minorHAnsi"/>
          <w:sz w:val="17"/>
          <w:szCs w:val="17"/>
        </w:rPr>
        <w:t>Escritura de Emissão</w:t>
      </w:r>
      <w:r w:rsidR="003664AA" w:rsidRPr="001E6E9D">
        <w:rPr>
          <w:rFonts w:asciiTheme="minorHAnsi" w:hAnsiTheme="minorHAnsi" w:cstheme="minorHAnsi"/>
          <w:sz w:val="17"/>
          <w:szCs w:val="17"/>
        </w:rPr>
        <w:t xml:space="preserve"> (</w:t>
      </w:r>
      <w:r w:rsidR="000D5E35" w:rsidRPr="001E6E9D">
        <w:rPr>
          <w:rFonts w:asciiTheme="minorHAnsi" w:hAnsiTheme="minorHAnsi" w:cstheme="minorHAnsi"/>
          <w:sz w:val="17"/>
          <w:szCs w:val="17"/>
        </w:rPr>
        <w:t>“</w:t>
      </w:r>
      <w:r w:rsidR="003664AA" w:rsidRPr="001E6E9D">
        <w:rPr>
          <w:rFonts w:asciiTheme="minorHAnsi" w:hAnsiTheme="minorHAnsi" w:cstheme="minorHAnsi"/>
          <w:sz w:val="17"/>
          <w:szCs w:val="17"/>
          <w:u w:val="single"/>
        </w:rPr>
        <w:t>Eventos de Inadimplemento Automático</w:t>
      </w:r>
      <w:r w:rsidR="003664AA" w:rsidRPr="001E6E9D">
        <w:rPr>
          <w:rFonts w:asciiTheme="minorHAnsi" w:hAnsiTheme="minorHAnsi" w:cstheme="minorHAnsi"/>
          <w:sz w:val="17"/>
          <w:szCs w:val="17"/>
        </w:rPr>
        <w:t>”):</w:t>
      </w:r>
      <w:bookmarkStart w:id="74" w:name="_Ref374561026"/>
      <w:bookmarkEnd w:id="73"/>
      <w:r w:rsidR="003664AA" w:rsidRPr="001E6E9D">
        <w:rPr>
          <w:rFonts w:asciiTheme="minorHAnsi" w:hAnsiTheme="minorHAnsi" w:cstheme="minorHAnsi"/>
          <w:sz w:val="17"/>
          <w:szCs w:val="17"/>
        </w:rPr>
        <w:t xml:space="preserve"> </w:t>
      </w:r>
    </w:p>
    <w:bookmarkEnd w:id="74"/>
    <w:p w14:paraId="3101C8AF" w14:textId="3C2A2D1C"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 xml:space="preserve">descumprimento, pela Emissora e/ou pelas Fiadoras e, de qualquer obrigação pecuniária relacionada às Debêntures, à </w:t>
      </w:r>
      <w:r w:rsidR="006E1434" w:rsidRPr="001E6E9D">
        <w:rPr>
          <w:rFonts w:asciiTheme="minorHAnsi" w:eastAsia="Arial Unicode MS" w:hAnsiTheme="minorHAnsi" w:cstheme="minorHAnsi"/>
          <w:sz w:val="17"/>
          <w:szCs w:val="17"/>
        </w:rPr>
        <w:t>Escritura</w:t>
      </w:r>
      <w:r w:rsidR="006E1434" w:rsidRPr="001E6E9D">
        <w:rPr>
          <w:rFonts w:asciiTheme="minorHAnsi" w:hAnsiTheme="minorHAnsi" w:cstheme="minorHAnsi"/>
          <w:sz w:val="17"/>
          <w:szCs w:val="17"/>
        </w:rPr>
        <w:t xml:space="preserve"> de Emissão e/ou aos Contratos de Garantia, e nos demais Documentos da Oferta no respectivo vencimento, não sanado em até 2 (dois) Dias Úteis contado da data do respectivo descumprimento, sem prejuízo do pagamento dos Encargos Moratórios pela Emissora</w:t>
      </w:r>
      <w:r w:rsidR="003664AA" w:rsidRPr="001E6E9D">
        <w:rPr>
          <w:rFonts w:asciiTheme="minorHAnsi" w:eastAsia="Arial Unicode MS" w:hAnsiTheme="minorHAnsi" w:cstheme="minorHAnsi"/>
          <w:sz w:val="17"/>
          <w:szCs w:val="17"/>
        </w:rPr>
        <w:t>;</w:t>
      </w:r>
    </w:p>
    <w:p w14:paraId="478ACA8D" w14:textId="5DC99AB7"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decretação do vencimento antecipado de quaisquer dívidas ou obrigações financeiras assumidas pela Emissora e/ou pelas Fiadoras, perante terceiros, no mercado local ou internacional, em montante individual ou agregado superior a R$ 1.000.000,00 (um milhão de reais) ou o valor equivalente em outras moedas</w:t>
      </w:r>
      <w:r w:rsidR="003664AA" w:rsidRPr="001E6E9D">
        <w:rPr>
          <w:rFonts w:asciiTheme="minorHAnsi" w:hAnsiTheme="minorHAnsi" w:cstheme="minorHAnsi"/>
          <w:sz w:val="17"/>
          <w:szCs w:val="17"/>
        </w:rPr>
        <w:t>;</w:t>
      </w:r>
    </w:p>
    <w:p w14:paraId="5B67D91D" w14:textId="7D8D896A"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utilização, pela Emissora, dos recursos líquidos obtidos com a Emissão de forma diversa do previsto na Escritura de Emissão</w:t>
      </w:r>
      <w:r w:rsidR="006E1434" w:rsidRPr="001E6E9D" w:rsidDel="006E1434">
        <w:rPr>
          <w:rFonts w:asciiTheme="minorHAnsi" w:hAnsiTheme="minorHAnsi" w:cstheme="minorHAnsi"/>
          <w:sz w:val="17"/>
          <w:szCs w:val="17"/>
        </w:rPr>
        <w:t xml:space="preserve"> </w:t>
      </w:r>
      <w:r w:rsidR="003664AA" w:rsidRPr="001E6E9D">
        <w:rPr>
          <w:rFonts w:asciiTheme="minorHAnsi" w:hAnsiTheme="minorHAnsi" w:cstheme="minorHAnsi"/>
          <w:sz w:val="17"/>
          <w:szCs w:val="17"/>
        </w:rPr>
        <w:t>;</w:t>
      </w:r>
    </w:p>
    <w:p w14:paraId="53BE6878" w14:textId="1ECE963E"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(iv)</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exceto se previamente aprovado, cessão, promessa de cessão, ou qualquer forma de transferência ou promessa de transferência, no todo ou em parte, a terceiros dos direitos e obrigações atribuídos à Emissora na Escritura de Emissão, nos Contratos de Garantia e/ou quaisquer outros documentos da Oferta</w:t>
      </w:r>
      <w:r w:rsidR="003664AA" w:rsidRPr="001E6E9D">
        <w:rPr>
          <w:rFonts w:asciiTheme="minorHAnsi" w:hAnsiTheme="minorHAnsi" w:cstheme="minorHAnsi"/>
          <w:sz w:val="17"/>
          <w:szCs w:val="17"/>
        </w:rPr>
        <w:t>;</w:t>
      </w:r>
    </w:p>
    <w:p w14:paraId="7683C27B" w14:textId="2AF2ADA9"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(v)</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 xml:space="preserve">exceto se previamente aprovado, contratação, pela Emissora e/ou pelas Fiadoras, a partir desta data, de qualquer tipo de empréstimo, mútuos, financiamentos, adiantamentos de recursos, </w:t>
      </w:r>
      <w:r w:rsidR="006E1434" w:rsidRPr="001E6E9D">
        <w:rPr>
          <w:rFonts w:asciiTheme="minorHAnsi" w:hAnsiTheme="minorHAnsi" w:cstheme="minorHAnsi"/>
          <w:i/>
          <w:sz w:val="17"/>
          <w:szCs w:val="17"/>
        </w:rPr>
        <w:t>supplier financing</w:t>
      </w:r>
      <w:r w:rsidR="006E1434" w:rsidRPr="001E6E9D">
        <w:rPr>
          <w:rFonts w:asciiTheme="minorHAnsi" w:hAnsiTheme="minorHAnsi" w:cstheme="minorHAnsi"/>
          <w:sz w:val="17"/>
          <w:szCs w:val="17"/>
        </w:rPr>
        <w:t xml:space="preserve">, </w:t>
      </w:r>
      <w:r w:rsidR="006E1434" w:rsidRPr="001E6E9D">
        <w:rPr>
          <w:rFonts w:asciiTheme="minorHAnsi" w:hAnsiTheme="minorHAnsi" w:cstheme="minorHAnsi"/>
          <w:i/>
          <w:sz w:val="17"/>
          <w:szCs w:val="17"/>
        </w:rPr>
        <w:t>hedge</w:t>
      </w:r>
      <w:r w:rsidR="006E1434" w:rsidRPr="001E6E9D">
        <w:rPr>
          <w:rFonts w:asciiTheme="minorHAnsi" w:hAnsiTheme="minorHAnsi" w:cstheme="minorHAnsi"/>
          <w:sz w:val="17"/>
          <w:szCs w:val="17"/>
        </w:rPr>
        <w:t xml:space="preserve"> de novas dívidas, operações de derivativos para fins especulativos ou qualquer outra forma de operação de crédito ou operação financeira, na qualidade de credora ou devedora, afiançadas, garantidoras (reais ou pessoais) e/ou coobrigadas, e/ou operação de mercado de capitais, local ou internacional, e/ou a concessão de preferência a outros créditos, ressalvados os casos de (i) empréstimos e/ou financiamentos para capital de giro, no valor máximo individual ou agregado de R$ 10.000.000,00 (dez milhões de reais); e/ou; (ii) mútuos celebrados entre a Emissora e as SPEs, ou entre as SPEs para distribuição dos Recursos Líquidos ou vinculados ao fluxo de pagamento das Debêntures e dos custos relacionados à Oferta, e desde que tais mútuos sejam subordinados às Debêntures, nos termos da Lei nº 11.101 de 9 de fevereiro de 2005; e/ou (iii) operações financeiras contratadas pela Emissora cujos recursos sejam destinados, total ou parcialmente, para Resgate Antecipado Facultativo Total, bem como suas respectivas garantias, desde que, neste caso, o saldo devedor das Debêntures seja integralmente quitado em até 15 (quinze) dias da contratação (sendo os itens “(i)” ao “(iii)”, “</w:t>
      </w:r>
      <w:r w:rsidR="006E1434" w:rsidRPr="001E6E9D">
        <w:rPr>
          <w:rFonts w:asciiTheme="minorHAnsi" w:hAnsiTheme="minorHAnsi" w:cstheme="minorHAnsi"/>
          <w:sz w:val="17"/>
          <w:szCs w:val="17"/>
          <w:u w:val="single"/>
        </w:rPr>
        <w:t>Endividamentos Permitidos</w:t>
      </w:r>
      <w:r w:rsidR="006E1434" w:rsidRPr="001E6E9D">
        <w:rPr>
          <w:rFonts w:asciiTheme="minorHAnsi" w:hAnsiTheme="minorHAnsi" w:cstheme="minorHAnsi"/>
          <w:sz w:val="17"/>
          <w:szCs w:val="17"/>
        </w:rPr>
        <w:t>”)</w:t>
      </w:r>
      <w:r w:rsidR="003664AA" w:rsidRPr="001E6E9D">
        <w:rPr>
          <w:rFonts w:asciiTheme="minorHAnsi" w:hAnsiTheme="minorHAnsi" w:cstheme="minorHAnsi"/>
          <w:sz w:val="17"/>
          <w:szCs w:val="17"/>
        </w:rPr>
        <w:t xml:space="preserve">; </w:t>
      </w:r>
    </w:p>
    <w:p w14:paraId="316A407C" w14:textId="7130456A"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(vi)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caso a Emissora e/ou as Fiadoras realizem, direta ou indiretamente, qualquer operação ou série de operações de transferência (incluindo, mas não se limitando a, cessão, transferência, venda, locação, arrendamento ou troca) de bens relacionados sejam objeto da Alienação Fiduciária de Equipamentos, ressalvadas as hipóteses de substituição decorrentes de desgaste, depreciação ou obsolescência, desde que inerentes às atividades e negócios da Emissora e/ou das Fiadoras ou conforme permitido nos termos da Alienação Fiduciária de Equipamentos, sendo também permitidas as transferências celebradas entre a Emissora e as Fiadoras, ou entre as Fiadoras</w:t>
      </w:r>
      <w:r w:rsidR="003664AA" w:rsidRPr="001E6E9D">
        <w:rPr>
          <w:rFonts w:asciiTheme="minorHAnsi" w:hAnsiTheme="minorHAnsi" w:cstheme="minorHAnsi"/>
          <w:sz w:val="17"/>
          <w:szCs w:val="17"/>
        </w:rPr>
        <w:t>;</w:t>
      </w:r>
    </w:p>
    <w:p w14:paraId="1E9FA05F" w14:textId="63E3D85C"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(vii)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caso a Emissora e/ou Fiadoras constituam hipoteca, penhor, alienação fiduciária, cessão fiduciária, usufruto, fideicomisso, promessa de venda, opção de compra, direito de preferência, encargo, gravame ou ônus sobre quaisquer dos bens ou direitos da Emissora e/ou das Fiadoras relacionados ao Projeto, exceto por ônus ou gravames constituídos em decorrência de exigência legal ou determinação de autoridade competente, tais como tributários, comerciais ou outros similares</w:t>
      </w:r>
      <w:r w:rsidR="003664AA" w:rsidRPr="001E6E9D">
        <w:rPr>
          <w:rFonts w:asciiTheme="minorHAnsi" w:hAnsiTheme="minorHAnsi" w:cstheme="minorHAnsi"/>
          <w:sz w:val="17"/>
          <w:szCs w:val="17"/>
        </w:rPr>
        <w:t>;</w:t>
      </w:r>
    </w:p>
    <w:p w14:paraId="3923807C" w14:textId="6FC7A7EC"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(viii)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se a Escritura de Emissão e/ou os Contrato de Garantia e/ou qualquer um dos Documentos da Oferta (a) forem totalmente anuladas ou declarados nulos, ineficazes, inexequíveis ou inválidos; ou (b) de qualquer forma, deixarem de existir e/ou forem rescindidos, desde que, em qualquer das hipóteses envolvendo as Garantias Reais, tais garantias não sejam substituídas e/ou reforçadas nos termos previstos no respectivo Contrato de Garantias</w:t>
      </w:r>
      <w:r w:rsidR="003664AA" w:rsidRPr="001E6E9D">
        <w:rPr>
          <w:rFonts w:asciiTheme="minorHAnsi" w:hAnsiTheme="minorHAnsi" w:cstheme="minorHAnsi"/>
          <w:sz w:val="17"/>
          <w:szCs w:val="17"/>
        </w:rPr>
        <w:t xml:space="preserve">; </w:t>
      </w:r>
    </w:p>
    <w:p w14:paraId="33EB3984" w14:textId="59820F01"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(ix)</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cessão, venda, alienação e/ou qualquer forma de transferência de ativos da Emissora e/ou das Fiadoras, por qualquer meio, de forma gratuita ou onerosa, ressalvadas as hipóteses de substituição decorrentes de desgaste, depreciação ou obsolescência, desde que inerentes às atividades e negócios da Emissora e/ou das Fiadoras, sendo também permitidas as transferências celebradas entre a Emissora e as Fiadoras, ou entre as Fiadoras</w:t>
      </w:r>
      <w:r w:rsidR="003664AA" w:rsidRPr="001E6E9D">
        <w:rPr>
          <w:rFonts w:asciiTheme="minorHAnsi" w:eastAsia="Arial Unicode MS" w:hAnsiTheme="minorHAnsi" w:cstheme="minorHAnsi"/>
          <w:sz w:val="17"/>
          <w:szCs w:val="17"/>
        </w:rPr>
        <w:t xml:space="preserve">; </w:t>
      </w:r>
    </w:p>
    <w:p w14:paraId="3EED5B3C" w14:textId="34000F44"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questionamento judicial, pela Emissora, e/ou por qualquer das Fiadoras, e/ou por qualquer sociedade controlada, direta ou indiretamente, pela Emissora ou ainda por quaisquer de seus respectivos acionistas e/ou pessoas integrantes do seu grupo econômico</w:t>
      </w:r>
      <w:r w:rsidR="006E1434" w:rsidRPr="001E6E9D">
        <w:rPr>
          <w:rFonts w:asciiTheme="minorHAnsi" w:hAnsiTheme="minorHAnsi" w:cstheme="minorHAnsi"/>
          <w:sz w:val="17"/>
          <w:szCs w:val="17"/>
        </w:rPr>
        <w:t>, que vise anular, questionar, revisar, cancelar, descaracterizar ou repudiar, acerca da validade, eficácia, nulidade e/ou exequibilidade, a Escritura de Emissão, os Contratos de Garantia ou qualquer outro documento da Oferta ou qualquer de suas cláusulas, bem como com o objetivo de impedir eventual vencimento antecipado das Debêntures</w:t>
      </w:r>
      <w:r w:rsidR="003664AA" w:rsidRPr="001E6E9D">
        <w:rPr>
          <w:rFonts w:asciiTheme="minorHAnsi" w:hAnsiTheme="minorHAnsi" w:cstheme="minorHAnsi"/>
          <w:sz w:val="17"/>
          <w:szCs w:val="17"/>
        </w:rPr>
        <w:t>;</w:t>
      </w:r>
    </w:p>
    <w:p w14:paraId="362B73AF" w14:textId="01567A66"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lastRenderedPageBreak/>
        <w:t>(xi)</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transformação da forma societária da Emissora de modo que ela deixe de ser uma sociedade por ações, nos termos dos artigos 220 a 222 da Lei das Sociedades por Ações</w:t>
      </w:r>
      <w:r w:rsidR="006E1434" w:rsidRPr="001E6E9D" w:rsidDel="006E1434">
        <w:rPr>
          <w:rFonts w:asciiTheme="minorHAnsi" w:eastAsia="Arial Unicode MS" w:hAnsiTheme="minorHAnsi" w:cstheme="minorHAnsi"/>
          <w:sz w:val="17"/>
          <w:szCs w:val="17"/>
        </w:rPr>
        <w:t xml:space="preserve"> </w:t>
      </w:r>
      <w:r w:rsidR="003664AA" w:rsidRPr="001E6E9D">
        <w:rPr>
          <w:rFonts w:asciiTheme="minorHAnsi" w:eastAsia="Arial Unicode MS" w:hAnsiTheme="minorHAnsi" w:cstheme="minorHAnsi"/>
          <w:sz w:val="17"/>
          <w:szCs w:val="17"/>
        </w:rPr>
        <w:t>;</w:t>
      </w:r>
    </w:p>
    <w:p w14:paraId="2F6117F5" w14:textId="6EADF0A2"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(xii)</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ocorrência de (a) liquidação, dissolução, encerramento das atividades, extinção ou decretação de falência da Emissora e/ou das Fiadoras, ou qualquer outra modalidade com efeito prático similar prevista em lei específica; (b</w:t>
      </w:r>
      <w:r w:rsidR="006E1434" w:rsidRPr="001E6E9D">
        <w:rPr>
          <w:rFonts w:asciiTheme="minorHAnsi" w:hAnsiTheme="minorHAnsi" w:cstheme="minorHAnsi"/>
          <w:sz w:val="17"/>
          <w:szCs w:val="17"/>
        </w:rPr>
        <w:t>) pedido de autofalência da Emissora e/ou das Fiadoras e/ou subsidiárias da Emissora; (c) pedido de falência formulado por terceiros em face da Emissora e/ou das Fiadoras e não devidamente elidido ou contestado por elas no prazo legal aplicável ou de outra forma sanado; (d) propositura, pela Emissora e/ou pelas Fiadoras de mediação, conciliação ou plano de recuperação judicial ou extrajudicial ou qualquer outra modalidade de concurso de credores prevista em lei específica, a qualquer credor ou classe de credores, independentemente de ter sido requerida ou obtida homologação judicial do referido plano; (e) ingresso pela Emissora e/ou pelas Fiadoras com requerimento de recuperação judicial, independentemente de deferimento do processamento da recuperação ou de sua concessão pelo juiz competente; e/ou (f) ingresso pela Emissora e/ou pelas Fiadoras de quaisquer medidas antecipatórias para quaisquer dos procedimentos previstos nos itens acima e/ou quaisquer medidas com efeitos similares que visem a suspensão de quaisquer créditos devidos pela Emissora e/ou pelas Fiadoras</w:t>
      </w:r>
      <w:r w:rsidR="003664AA" w:rsidRPr="001E6E9D">
        <w:rPr>
          <w:rFonts w:asciiTheme="minorHAnsi" w:hAnsiTheme="minorHAnsi" w:cstheme="minorHAnsi"/>
          <w:sz w:val="17"/>
          <w:szCs w:val="17"/>
        </w:rPr>
        <w:t>;</w:t>
      </w:r>
    </w:p>
    <w:p w14:paraId="5D01C5F9" w14:textId="21F565AC"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(xiii)</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destruição ou perda total, de qualquer forma e a qualquer tempo, da totalidade de ativos relacionados ao Projeto; e/ou</w:t>
      </w:r>
    </w:p>
    <w:p w14:paraId="4175C0D9" w14:textId="56EA45B9" w:rsidR="00065DBC" w:rsidRPr="001E6E9D" w:rsidRDefault="00065DBC" w:rsidP="00DC7081">
      <w:pPr>
        <w:tabs>
          <w:tab w:val="left" w:pos="709"/>
          <w:tab w:val="left" w:pos="4962"/>
        </w:tab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(xiv)</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provarem-se falsas ou enganosas qualquer declaração, garantia e informação prestada pela Emissora e/ou pelas Fiadoras, conforme aplicável, na Escritura de Emissão, nos Contratos de Garantia e/ou qualquer outro documento da Oferta que houver sido firmado, prestado ou entregue pela Emissora e/ou pelas SPEs relacionado à Emissão e à Oferta</w:t>
      </w:r>
      <w:r w:rsidR="003664AA" w:rsidRPr="001E6E9D">
        <w:rPr>
          <w:rFonts w:asciiTheme="minorHAnsi" w:hAnsiTheme="minorHAnsi" w:cstheme="minorHAnsi"/>
          <w:sz w:val="17"/>
          <w:szCs w:val="17"/>
        </w:rPr>
        <w:t>.</w:t>
      </w:r>
    </w:p>
    <w:p w14:paraId="483A1BA4" w14:textId="7BD3B69A" w:rsidR="00065DBC" w:rsidRPr="001E6E9D" w:rsidRDefault="002030A4" w:rsidP="00DC7081">
      <w:pPr>
        <w:pStyle w:val="CorpodetextobtBT"/>
        <w:spacing w:after="140"/>
        <w:ind w:left="1276" w:hanging="709"/>
        <w:rPr>
          <w:rFonts w:asciiTheme="minorHAnsi" w:hAnsiTheme="minorHAnsi" w:cstheme="minorHAnsi"/>
          <w:sz w:val="17"/>
          <w:szCs w:val="17"/>
        </w:rPr>
      </w:pPr>
      <w:bookmarkStart w:id="75" w:name="_Ref121955125"/>
      <w:r w:rsidRPr="001E6E9D">
        <w:rPr>
          <w:rFonts w:asciiTheme="minorHAnsi" w:hAnsiTheme="minorHAnsi" w:cstheme="minorHAnsi"/>
          <w:b/>
          <w:sz w:val="17"/>
          <w:szCs w:val="17"/>
        </w:rPr>
        <w:t>r</w:t>
      </w:r>
      <w:r w:rsidR="00B56E18" w:rsidRPr="001E6E9D">
        <w:rPr>
          <w:rFonts w:asciiTheme="minorHAnsi" w:hAnsiTheme="minorHAnsi" w:cstheme="minorHAnsi"/>
          <w:b/>
          <w:sz w:val="17"/>
          <w:szCs w:val="17"/>
        </w:rPr>
        <w:t>.2)</w:t>
      </w:r>
      <w:r w:rsidR="00B56E18" w:rsidRPr="001E6E9D">
        <w:rPr>
          <w:rFonts w:asciiTheme="minorHAnsi" w:hAnsiTheme="minorHAnsi" w:cstheme="minorHAnsi"/>
          <w:b/>
          <w:sz w:val="17"/>
          <w:szCs w:val="17"/>
        </w:rPr>
        <w:tab/>
      </w:r>
      <w:r w:rsidR="003664AA" w:rsidRPr="001E6E9D">
        <w:rPr>
          <w:rFonts w:asciiTheme="minorHAnsi" w:hAnsiTheme="minorHAnsi" w:cstheme="minorHAnsi"/>
          <w:sz w:val="17"/>
          <w:szCs w:val="17"/>
        </w:rPr>
        <w:t xml:space="preserve">Constituem Eventos de Inadimplemento que podem acarretar o vencimento antecipado </w:t>
      </w:r>
      <w:r w:rsidR="003664AA" w:rsidRPr="001E6E9D">
        <w:rPr>
          <w:rFonts w:asciiTheme="minorHAnsi" w:hAnsiTheme="minorHAnsi" w:cstheme="minorHAnsi"/>
          <w:b/>
          <w:sz w:val="17"/>
          <w:szCs w:val="17"/>
          <w:u w:val="single"/>
        </w:rPr>
        <w:t>não automático</w:t>
      </w:r>
      <w:r w:rsidR="003664AA" w:rsidRPr="001E6E9D">
        <w:rPr>
          <w:rFonts w:asciiTheme="minorHAnsi" w:hAnsiTheme="minorHAnsi" w:cstheme="minorHAnsi"/>
          <w:sz w:val="17"/>
          <w:szCs w:val="17"/>
        </w:rPr>
        <w:t xml:space="preserve"> das </w:t>
      </w:r>
      <w:r w:rsidR="003664AA" w:rsidRPr="001E6E9D">
        <w:rPr>
          <w:rStyle w:val="DeltaViewInsertion"/>
          <w:rFonts w:asciiTheme="minorHAnsi" w:eastAsia="Arial Unicode MS" w:hAnsiTheme="minorHAnsi" w:cstheme="minorHAnsi"/>
          <w:color w:val="auto"/>
          <w:sz w:val="17"/>
          <w:szCs w:val="17"/>
        </w:rPr>
        <w:t>obrigações</w:t>
      </w:r>
      <w:r w:rsidR="003664AA" w:rsidRPr="001E6E9D">
        <w:rPr>
          <w:rFonts w:asciiTheme="minorHAnsi" w:hAnsiTheme="minorHAnsi" w:cstheme="minorHAnsi"/>
          <w:sz w:val="17"/>
          <w:szCs w:val="17"/>
        </w:rPr>
        <w:t xml:space="preserve"> decorrentes das Debêntures (</w:t>
      </w:r>
      <w:r w:rsidR="000D5E35" w:rsidRPr="001E6E9D">
        <w:rPr>
          <w:rFonts w:asciiTheme="minorHAnsi" w:hAnsiTheme="minorHAnsi" w:cstheme="minorHAnsi"/>
          <w:sz w:val="17"/>
          <w:szCs w:val="17"/>
        </w:rPr>
        <w:t>“</w:t>
      </w:r>
      <w:r w:rsidR="003664AA" w:rsidRPr="001E6E9D">
        <w:rPr>
          <w:rFonts w:asciiTheme="minorHAnsi" w:hAnsiTheme="minorHAnsi" w:cstheme="minorHAnsi"/>
          <w:sz w:val="17"/>
          <w:szCs w:val="17"/>
          <w:u w:val="single"/>
        </w:rPr>
        <w:t>Eventos de Inadimplemento Não Automático</w:t>
      </w:r>
      <w:r w:rsidR="003664AA" w:rsidRPr="001E6E9D">
        <w:rPr>
          <w:rFonts w:asciiTheme="minorHAnsi" w:hAnsiTheme="minorHAnsi" w:cstheme="minorHAnsi"/>
          <w:sz w:val="17"/>
          <w:szCs w:val="17"/>
        </w:rPr>
        <w:t xml:space="preserve">” e, em conjunto com Eventos de Inadimplemento Automático, </w:t>
      </w:r>
      <w:r w:rsidR="000D5E35" w:rsidRPr="001E6E9D">
        <w:rPr>
          <w:rFonts w:asciiTheme="minorHAnsi" w:hAnsiTheme="minorHAnsi" w:cstheme="minorHAnsi"/>
          <w:sz w:val="17"/>
          <w:szCs w:val="17"/>
        </w:rPr>
        <w:t>“</w:t>
      </w:r>
      <w:r w:rsidR="003664AA" w:rsidRPr="001E6E9D">
        <w:rPr>
          <w:rFonts w:asciiTheme="minorHAnsi" w:hAnsiTheme="minorHAnsi" w:cstheme="minorHAnsi"/>
          <w:sz w:val="17"/>
          <w:szCs w:val="17"/>
          <w:u w:val="single"/>
        </w:rPr>
        <w:t>Evento(s) de Inadimplemento</w:t>
      </w:r>
      <w:r w:rsidR="003664AA" w:rsidRPr="001E6E9D">
        <w:rPr>
          <w:rFonts w:asciiTheme="minorHAnsi" w:hAnsiTheme="minorHAnsi" w:cstheme="minorHAnsi"/>
          <w:sz w:val="17"/>
          <w:szCs w:val="17"/>
        </w:rPr>
        <w:t>”):</w:t>
      </w:r>
      <w:bookmarkEnd w:id="75"/>
      <w:r w:rsidR="003664AA" w:rsidRPr="001E6E9D">
        <w:rPr>
          <w:rFonts w:asciiTheme="minorHAnsi" w:hAnsiTheme="minorHAnsi" w:cstheme="minorHAnsi"/>
          <w:sz w:val="17"/>
          <w:szCs w:val="17"/>
        </w:rPr>
        <w:t xml:space="preserve"> </w:t>
      </w:r>
    </w:p>
    <w:p w14:paraId="4934C6BB" w14:textId="255A601C"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 xml:space="preserve">não cumprimento, pela Emissora e/ou por quaisquer das SPEs, após ter sido formalmente citada, intimada ou notificada, de qualquer decisão administrativa ou decisão judicial, não sujeita a recursos com efeito suspensivo, ou decisão arbitral definitiva, imediatamente exigível, para qual não tenha sido obtido efeito suspensivo no prazo legal, proferida (a) contra a Emissora e/ou contra qualquer das SPEs em montante individual ou agregado superior a R$ 1.000.000,00 (um milhão de reais) ou o valor equivalente em outras moedas; ou (b) que independentemente do valor, resulte ou possa vir a resultar em um evento ou situação que afete de modo adverso e relevante o Projeto, os negócios, os resultados, as operações, as propriedades ou as condições financeiras, econômicas, comerciais ou reputacionais da Emissora e/ou de quaisquer das SPEs e/ou a validade ou exequibilidade dos documentos relacionados às Debêntures e, inclusive, sem limitação, a </w:t>
      </w:r>
      <w:r w:rsidR="006E1434" w:rsidRPr="001E6E9D">
        <w:rPr>
          <w:rFonts w:asciiTheme="minorHAnsi" w:eastAsia="Arial Unicode MS" w:hAnsiTheme="minorHAnsi" w:cstheme="minorHAnsi"/>
          <w:sz w:val="17"/>
          <w:szCs w:val="17"/>
        </w:rPr>
        <w:t>Escritura</w:t>
      </w:r>
      <w:r w:rsidR="006E1434" w:rsidRPr="001E6E9D">
        <w:rPr>
          <w:rFonts w:asciiTheme="minorHAnsi" w:hAnsiTheme="minorHAnsi" w:cstheme="minorHAnsi"/>
          <w:sz w:val="17"/>
          <w:szCs w:val="17"/>
        </w:rPr>
        <w:t xml:space="preserve"> de Emissão, ou que afete ou possa vir a afetar a capacidade (1) da Emissora de cumprir pontualmente suas obrigações previstas na Escritura de Emissão; e/ou (2) das SPEs de realizarem a implantação, operação e/ou manutenção do Projeto (“</w:t>
      </w:r>
      <w:r w:rsidR="006E1434" w:rsidRPr="001E6E9D">
        <w:rPr>
          <w:rFonts w:asciiTheme="minorHAnsi" w:hAnsiTheme="minorHAnsi" w:cstheme="minorHAnsi"/>
          <w:sz w:val="17"/>
          <w:szCs w:val="17"/>
          <w:u w:val="single"/>
        </w:rPr>
        <w:t>Efeito Adverso Relevante</w:t>
      </w:r>
      <w:r w:rsidR="006E1434" w:rsidRPr="001E6E9D">
        <w:rPr>
          <w:rFonts w:asciiTheme="minorHAnsi" w:hAnsiTheme="minorHAnsi" w:cstheme="minorHAnsi"/>
          <w:sz w:val="17"/>
          <w:szCs w:val="17"/>
        </w:rPr>
        <w:t>”)</w:t>
      </w:r>
      <w:r w:rsidR="003664AA" w:rsidRPr="001E6E9D">
        <w:rPr>
          <w:rFonts w:asciiTheme="minorHAnsi" w:hAnsiTheme="minorHAnsi" w:cstheme="minorHAnsi"/>
          <w:sz w:val="17"/>
          <w:szCs w:val="17"/>
        </w:rPr>
        <w:t xml:space="preserve">; </w:t>
      </w:r>
    </w:p>
    <w:p w14:paraId="32371392" w14:textId="39115E6B"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(ii)</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inadimplemento de quaisquer dívidas ou obrigações financeiras da Emissora e/ ou de qualquer das SPEs, em montante individual ou agregado superior a R$ 1.000.000,00 (um milhão de reais) ou o valor equivalente em outras moedas, observados eventuais prazos de cura estabelecidos na referida obrigação/contrato e/ou aqueles eventualmente negociados com referidos terceiros ou em até 5 (cinco) Dias Úteis contados do referido inadimplemento caso não haja prazo de cura específico</w:t>
      </w:r>
      <w:r w:rsidR="003664AA" w:rsidRPr="001E6E9D">
        <w:rPr>
          <w:rFonts w:asciiTheme="minorHAnsi" w:hAnsiTheme="minorHAnsi" w:cstheme="minorHAnsi"/>
          <w:sz w:val="17"/>
          <w:szCs w:val="17"/>
        </w:rPr>
        <w:t>;</w:t>
      </w:r>
    </w:p>
    <w:p w14:paraId="61F7C30C" w14:textId="206C93D9"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arresto, sequestro, penhora ou outra medida de efeito similar sobre os ativos da Emissora e/ou das SPEs relacionados ao Projeto, exceto caso seja sanado ou revertido dentro de até 15 (quinze) Dias Úteis contados do respectivo evento</w:t>
      </w:r>
      <w:r w:rsidR="003664AA" w:rsidRPr="001E6E9D">
        <w:rPr>
          <w:rFonts w:asciiTheme="minorHAnsi" w:hAnsiTheme="minorHAnsi" w:cstheme="minorHAnsi"/>
          <w:sz w:val="17"/>
          <w:szCs w:val="17"/>
        </w:rPr>
        <w:t>;</w:t>
      </w:r>
    </w:p>
    <w:p w14:paraId="70A95244" w14:textId="0070AF6C"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(iv)</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destruição ou perda parcial, de qualquer forma e a qualquer tempo, de ativos relacionados ao Projeto que resulte ou possa resultar em um Efeito Adverso Relevante, exceto caso referia destruição ou perda seja permitida ou possa vir a ser remediada nos termos do Contrato de Alienação Fiduciária de Equipamentos</w:t>
      </w:r>
      <w:r w:rsidR="003664AA" w:rsidRPr="001E6E9D">
        <w:rPr>
          <w:rFonts w:asciiTheme="minorHAnsi" w:hAnsiTheme="minorHAnsi" w:cstheme="minorHAnsi"/>
          <w:sz w:val="17"/>
          <w:szCs w:val="17"/>
        </w:rPr>
        <w:t>;</w:t>
      </w:r>
    </w:p>
    <w:p w14:paraId="03E799B1" w14:textId="588EB39C"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(v)</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revelarem-se incorretas ou inconsistentes qualquer declaração, garantia e informação prestada pela Emissora e/ou pelas SPEs, conforme aplicável, na Escritura de Emissão, nos Contratos de Garantia e/ou qualquer outro Documento da Operação que houver sido firmado, prestado ou entregue pela Emissora e/ou pelas SPEs relacionado à Emissão e à Oferta</w:t>
      </w:r>
      <w:r w:rsidR="003664AA" w:rsidRPr="001E6E9D">
        <w:rPr>
          <w:rFonts w:asciiTheme="minorHAnsi" w:hAnsiTheme="minorHAnsi" w:cstheme="minorHAnsi"/>
          <w:sz w:val="17"/>
          <w:szCs w:val="17"/>
        </w:rPr>
        <w:t>;</w:t>
      </w:r>
    </w:p>
    <w:p w14:paraId="01167E2A" w14:textId="4AA36765"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(vi)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não obtenção, não renovação, cancelamento, revogação, intervenção, extinção ou suspensão das concessões, autorizações, licenças, subvenções, alvarás e outorgas, inclusive as ambientais, necessárias para a Emissora e/ou para as SPEs, conforme o caso, construir, operar e manter o Projeto, observado o respectiva estágio de desenvolvimento do Projeto, exceto (a) nos casos em que a Emissora ou as SPEs comprovem a existência de provimento jurisdicional autorizando a regular continuidade das atividades da Emissora ou das SPEs, conforme o caso, até a renovação ou obtenção da referida licença ou autorização; (b) por aquelas que estejam em processo de renovação e/ou obtenção iniciado tempestivamente; e/ou (c) por aquelas cuja aplicabilidade esteja sendo questionada de boa-fé, pela Emissora e/ou pelas SPEs, nas esferas administrativa e/ou judicial e para as quais tenha sido obtido efeito suspensivo no prazo legal, e desde que a ausência da licença não resulte ou possa resultar em um Efeito Adverso Relevante</w:t>
      </w:r>
      <w:r w:rsidR="003664AA" w:rsidRPr="001E6E9D">
        <w:rPr>
          <w:rFonts w:asciiTheme="minorHAnsi" w:hAnsiTheme="minorHAnsi" w:cstheme="minorHAnsi"/>
          <w:sz w:val="17"/>
          <w:szCs w:val="17"/>
        </w:rPr>
        <w:t>;</w:t>
      </w:r>
    </w:p>
    <w:p w14:paraId="39D41915" w14:textId="32F92C2F" w:rsidR="00065DBC" w:rsidRPr="001E6E9D" w:rsidRDefault="00065DBC" w:rsidP="00DC7081">
      <w:pPr>
        <w:keepNext/>
        <w:keepLines/>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lastRenderedPageBreak/>
        <w:t>(vii)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se a Escritura de Emissão e/ou os Contrato de Garantia e/ou qualquer outro Documento da Operação forem parcialmente anuladas ou declaradas, em qualquer aspecto, nulas, ineficazes, inexequíveis ou inválidas, em qualquer das hipóteses envolvendo as Garantias Reais, caso tais garantias não sejam substituídas e/ou reforçadas nos termos previstos no respectivo Contrato de Garantias</w:t>
      </w:r>
      <w:r w:rsidR="003664AA" w:rsidRPr="001E6E9D">
        <w:rPr>
          <w:rFonts w:asciiTheme="minorHAnsi" w:hAnsiTheme="minorHAnsi" w:cstheme="minorHAnsi"/>
          <w:sz w:val="17"/>
          <w:szCs w:val="17"/>
        </w:rPr>
        <w:t>;</w:t>
      </w:r>
    </w:p>
    <w:p w14:paraId="75E48454" w14:textId="1C20C5DE"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(viii)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paralisação, desistência e/ou abandono, total ou parcial, da construção ou operação do Projeto, de qualquer ativo que seja essencial à implementação da construção ou operação do Projeto, assim como a suspensão das obras de construção por mais de 45 (quarenta e cinco) dias consecutivos ou 70 (setenta) dias não consecutivos em um mesmo exercício social</w:t>
      </w:r>
      <w:r w:rsidR="003664AA" w:rsidRPr="001E6E9D">
        <w:rPr>
          <w:rFonts w:asciiTheme="minorHAnsi" w:hAnsiTheme="minorHAnsi" w:cstheme="minorHAnsi"/>
          <w:sz w:val="17"/>
          <w:szCs w:val="17"/>
        </w:rPr>
        <w:t>;</w:t>
      </w:r>
    </w:p>
    <w:p w14:paraId="0301B64D" w14:textId="44C956F9"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(ix)</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realização de reorganização societária das SPEs, incluindo, mas não se limitando, cisão, fusão, incorporação e incorporação de ações das SPEs, que resulte na alteração do controle direto e/ou indireto das SPEs, exceto (a) se previamente aprovada pelos Debenturistas; e (b) quando realizada dentro do grupo econômico da Emissora, desde que seja mantido o controle indireto pela FERP, sendo certo que as novas sociedades resultantes de eventuais reorganizações societárias</w:t>
      </w:r>
      <w:r w:rsidR="006E1434" w:rsidRPr="001E6E9D" w:rsidDel="00BC16A0">
        <w:rPr>
          <w:rFonts w:asciiTheme="minorHAnsi" w:hAnsiTheme="minorHAnsi" w:cstheme="minorHAnsi"/>
          <w:sz w:val="17"/>
          <w:szCs w:val="17"/>
        </w:rPr>
        <w:t xml:space="preserve"> </w:t>
      </w:r>
      <w:r w:rsidR="006E1434" w:rsidRPr="001E6E9D">
        <w:rPr>
          <w:rFonts w:asciiTheme="minorHAnsi" w:hAnsiTheme="minorHAnsi" w:cstheme="minorHAnsi"/>
          <w:sz w:val="17"/>
          <w:szCs w:val="17"/>
        </w:rPr>
        <w:t>deverão se tornar fiadoras no âmbito da presente Emissão</w:t>
      </w:r>
      <w:r w:rsidR="003664AA" w:rsidRPr="001E6E9D">
        <w:rPr>
          <w:rFonts w:asciiTheme="minorHAnsi" w:hAnsiTheme="minorHAnsi" w:cstheme="minorHAnsi"/>
          <w:sz w:val="17"/>
          <w:szCs w:val="17"/>
        </w:rPr>
        <w:t>;</w:t>
      </w:r>
    </w:p>
    <w:p w14:paraId="739694A2" w14:textId="58D5E19C"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 xml:space="preserve">ressalvados os dividendos mínimos obrigatórios previstos na Lei das Sociedades por Ações, a realização de distribuição, pela Emissora, de quaisquer recursos aos acionistas, diretos ou indiretos, e/ou pessoas físicas ou jurídicas integrantes do mesmo grupo econômico, sob forma de dividendos, (i) caso realizada antes da conclusão dos Empreendimentos Futuros; ou (ii) após a conclusão dos Empreendimentos Futuros, (ii.1) caso a Emissora não tenha atingido um ICSD </w:t>
      </w:r>
      <w:r w:rsidR="006E1434" w:rsidRPr="001E6E9D">
        <w:rPr>
          <w:rFonts w:asciiTheme="minorHAnsi" w:eastAsia="Arial Unicode MS" w:hAnsiTheme="minorHAnsi" w:cstheme="minorHAnsi"/>
          <w:sz w:val="17"/>
          <w:szCs w:val="17"/>
        </w:rPr>
        <w:t xml:space="preserve">consolidado mínimo maior ou igual a </w:t>
      </w:r>
      <w:r w:rsidR="006E1434" w:rsidRPr="001E6E9D">
        <w:rPr>
          <w:rFonts w:asciiTheme="minorHAnsi" w:hAnsiTheme="minorHAnsi" w:cstheme="minorHAnsi"/>
          <w:sz w:val="17"/>
        </w:rPr>
        <w:t>1,20x (um inteiro e vinte centésimos vezes)</w:t>
      </w:r>
      <w:r w:rsidR="006E1434" w:rsidRPr="001E6E9D">
        <w:rPr>
          <w:rFonts w:asciiTheme="minorHAnsi" w:eastAsia="Arial Unicode MS" w:hAnsiTheme="minorHAnsi" w:cstheme="minorHAnsi"/>
          <w:sz w:val="17"/>
          <w:szCs w:val="17"/>
        </w:rPr>
        <w:t>;</w:t>
      </w:r>
      <w:r w:rsidR="006E1434" w:rsidRPr="001E6E9D">
        <w:rPr>
          <w:rFonts w:asciiTheme="minorHAnsi" w:hAnsiTheme="minorHAnsi" w:cstheme="minorHAnsi"/>
          <w:sz w:val="17"/>
          <w:szCs w:val="17"/>
        </w:rPr>
        <w:t xml:space="preserve"> ou (ii.2) caso esteja inadimplente em relação a qualquer de suas obrigações pecuniárias nesta Emissão; ou (ii.3) caso esteja em curso um Eventos de Inadimplemento;</w:t>
      </w:r>
    </w:p>
    <w:p w14:paraId="56C4BF4D" w14:textId="06E9CF44"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alteração da política de dividendos de quaisquer SPEs que tenha por objetivo reduzir o percentual do lucro líquido destinado à remuneração da Emissora</w:t>
      </w:r>
      <w:r w:rsidR="006E1434" w:rsidRPr="001E6E9D" w:rsidDel="006E1434">
        <w:rPr>
          <w:rFonts w:asciiTheme="minorHAnsi" w:hAnsiTheme="minorHAnsi" w:cstheme="minorHAnsi"/>
          <w:sz w:val="17"/>
          <w:szCs w:val="17"/>
        </w:rPr>
        <w:t xml:space="preserve"> </w:t>
      </w:r>
      <w:r w:rsidR="003664AA" w:rsidRPr="001E6E9D">
        <w:rPr>
          <w:rFonts w:asciiTheme="minorHAnsi" w:hAnsiTheme="minorHAnsi" w:cstheme="minorHAnsi"/>
          <w:sz w:val="17"/>
          <w:szCs w:val="17"/>
        </w:rPr>
        <w:t>;</w:t>
      </w:r>
    </w:p>
    <w:p w14:paraId="743CAAF9" w14:textId="52C1135B"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realização de novos investimentos, aquisição de ativos ou assunção de novos compromissos de investimento pela Emissora e/ou pelas SPEs Fiadoras, além dos investimentos relacionados à implantação, operação e/ou manutenção do Projeto, inclusive manutenções não programadas, exceto se previamente aprovado em Assembleia Geral de Debenturistas</w:t>
      </w:r>
      <w:r w:rsidR="003664AA" w:rsidRPr="001E6E9D">
        <w:rPr>
          <w:rFonts w:asciiTheme="minorHAnsi" w:hAnsiTheme="minorHAnsi" w:cstheme="minorHAnsi"/>
          <w:sz w:val="17"/>
          <w:szCs w:val="17"/>
        </w:rPr>
        <w:t xml:space="preserve">; </w:t>
      </w:r>
    </w:p>
    <w:p w14:paraId="56233E24" w14:textId="5B00D56F"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(xiii)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alterações ou readequações de características técnicas do Projeto que, em qualquer tempo, não sejam previamente autorizadas (a) pelas respectivas contrapartes dos contratos relacionados ao Sistema de Geração de Energia Elétrica (“</w:t>
      </w:r>
      <w:r w:rsidR="006E1434" w:rsidRPr="001E6E9D">
        <w:rPr>
          <w:rFonts w:asciiTheme="minorHAnsi" w:hAnsiTheme="minorHAnsi" w:cstheme="minorHAnsi"/>
          <w:sz w:val="17"/>
          <w:szCs w:val="17"/>
          <w:u w:val="single"/>
        </w:rPr>
        <w:t>SGEE</w:t>
      </w:r>
      <w:r w:rsidR="006E1434" w:rsidRPr="001E6E9D">
        <w:rPr>
          <w:rFonts w:asciiTheme="minorHAnsi" w:hAnsiTheme="minorHAnsi" w:cstheme="minorHAnsi"/>
          <w:sz w:val="17"/>
          <w:szCs w:val="17"/>
        </w:rPr>
        <w:t>”) celebrados entre determinados clientes, conforme descrito no Contrato de Cessão Fiduciária e desde que não sejam prejudiciais, criem qualquer ônus e/ou obrigações adicionais ao Projeto; e (b) pela concessionária distribuidora de energia elétrica e autoridades competentes, conforme aplicável, caso tal autorização seja requerida nos termos da regulamentação em vigor</w:t>
      </w:r>
      <w:r w:rsidR="003664AA" w:rsidRPr="001E6E9D">
        <w:rPr>
          <w:rFonts w:asciiTheme="minorHAnsi" w:hAnsiTheme="minorHAnsi" w:cstheme="minorHAnsi"/>
          <w:sz w:val="17"/>
          <w:szCs w:val="17"/>
        </w:rPr>
        <w:t xml:space="preserve">; </w:t>
      </w:r>
    </w:p>
    <w:p w14:paraId="1216B346" w14:textId="4A08DE5D"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(xiv)</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protesto de títulos contra a Emissora e/ou qualquer das SPEs que representem montante individual ou agregado, igual ou superior a R$ 1.000.000,00 (um milhão de reais), ou o equivalente em outras moedas, salvo se, no prazo de até 15 (quinze) Dias Úteis contados da ciência de referido protesto, tiver sido comprovado que (a) os valores objeto do protesto foram devidamente pagos; (b) o protesto foi cancelado ou suspenso; e/ou (d) o protesto foi efetivado comprovadamente por erro ou má fé de terceiros</w:t>
      </w:r>
      <w:r w:rsidR="003664AA" w:rsidRPr="001E6E9D">
        <w:rPr>
          <w:rFonts w:asciiTheme="minorHAnsi" w:hAnsiTheme="minorHAnsi" w:cstheme="minorHAnsi"/>
          <w:sz w:val="17"/>
          <w:szCs w:val="17"/>
        </w:rPr>
        <w:t>;</w:t>
      </w:r>
    </w:p>
    <w:p w14:paraId="6861DDAE" w14:textId="514763DC"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(xv)</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mudança ou alteração do objeto social da Emissora e/ou das SPEs, de forma a alterar as atuais atividades principais, ou a agregar a essas atividades, novos negócios que tenham prevalência ou possam representar desvios em relação às atividades atualmente desenvolvidas, exceto nos casos que venham a ser determinado por autoridade governamental competente</w:t>
      </w:r>
      <w:r w:rsidR="003664AA" w:rsidRPr="001E6E9D">
        <w:rPr>
          <w:rFonts w:asciiTheme="minorHAnsi" w:hAnsiTheme="minorHAnsi" w:cstheme="minorHAnsi"/>
          <w:sz w:val="17"/>
          <w:szCs w:val="17"/>
        </w:rPr>
        <w:t>;</w:t>
      </w:r>
    </w:p>
    <w:p w14:paraId="5D064158" w14:textId="36DA39E4"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(xvi)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descumprimento, pela Emissora e/ou pelas SPEs, de qualquer obrigação não pecuniária prevista na Escritura de Emissão e/ou nos Contratos de Garantia, ou em qualquer outro Documento da Operação desde que não sanado no prazo de cura de 5 (cinco) Dias Úteis contados da ocorrência do descumprimento, caso não exista outro prazo de cura específico aplicável</w:t>
      </w:r>
      <w:r w:rsidR="003664AA" w:rsidRPr="001E6E9D">
        <w:rPr>
          <w:rFonts w:asciiTheme="minorHAnsi" w:hAnsiTheme="minorHAnsi" w:cstheme="minorHAnsi"/>
          <w:sz w:val="17"/>
          <w:szCs w:val="17"/>
        </w:rPr>
        <w:t>;</w:t>
      </w:r>
    </w:p>
    <w:p w14:paraId="779B07D8" w14:textId="13FD3C6B"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(xvii)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redução de capital social da Emissora, nos termos do artigo 174, parágrafo 3º, da Lei das Sociedades por Ações, exceto (a) para absorção de eventuais prejuízos; ou (b) em valor excedente ao aporte satisfatório de recursos necessários para o desenvolvimento do Projeto, sendo tais recursos subscritos e integralizados em moeda corrente nacional em ações representativas do capital social da Emissora de forma antecipada (</w:t>
      </w:r>
      <w:r w:rsidR="006E1434" w:rsidRPr="001E6E9D">
        <w:rPr>
          <w:rFonts w:asciiTheme="minorHAnsi" w:hAnsiTheme="minorHAnsi" w:cstheme="minorHAnsi"/>
          <w:i/>
          <w:sz w:val="17"/>
          <w:szCs w:val="17"/>
        </w:rPr>
        <w:t>equity up-front</w:t>
      </w:r>
      <w:r w:rsidR="006E1434" w:rsidRPr="001E6E9D">
        <w:rPr>
          <w:rFonts w:asciiTheme="minorHAnsi" w:hAnsiTheme="minorHAnsi" w:cstheme="minorHAnsi"/>
          <w:sz w:val="17"/>
          <w:szCs w:val="17"/>
        </w:rPr>
        <w:t xml:space="preserve">) em valor equivalente a R$ 46.500.000,00 (quarenta e seis milhões e quinhentos mil reais); e desde que (b.1) caso a Emissora tenha atingido, por no mínimo 2 (duas) medições consecutivas, um ICSD </w:t>
      </w:r>
      <w:r w:rsidR="006E1434" w:rsidRPr="001E6E9D">
        <w:rPr>
          <w:rFonts w:asciiTheme="minorHAnsi" w:eastAsia="Arial Unicode MS" w:hAnsiTheme="minorHAnsi" w:cstheme="minorHAnsi"/>
          <w:sz w:val="17"/>
          <w:szCs w:val="17"/>
        </w:rPr>
        <w:t>consolidado mínimo maior ou igual a 1,20x (um inteiro e vinte centésimos vezes);</w:t>
      </w:r>
      <w:r w:rsidR="006E1434" w:rsidRPr="001E6E9D">
        <w:rPr>
          <w:rFonts w:asciiTheme="minorHAnsi" w:hAnsiTheme="minorHAnsi" w:cstheme="minorHAnsi"/>
          <w:sz w:val="17"/>
          <w:szCs w:val="17"/>
        </w:rPr>
        <w:t xml:space="preserve"> (b.2) ocorra após a conclusão dos empreendimentos futuros listados no Anexo III à Escritura de Emissão; e (b.3) não esteja em curso um dos Eventos de Inadimplemento;</w:t>
      </w:r>
    </w:p>
    <w:p w14:paraId="495D0121" w14:textId="4D905C17"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(xviii)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desapropriação, caducidade, encampação, intervenção, confisco, expropriação, nacionalização da totalidade ou parte substancial dos ativos da Emissora, das SPEs e/ou do Projeto ou outra medida de qualquer entidade governamental similar, determinada em decisão administrativa e/ou judicial (a) não sanada ou revertida, ou cujos efeitos não tenham sido suspensos ou sanados, em até 15 (quinze) Dias Úteis contados da respectiva decisão</w:t>
      </w:r>
      <w:r w:rsidR="003664AA" w:rsidRPr="001E6E9D">
        <w:rPr>
          <w:rFonts w:asciiTheme="minorHAnsi" w:hAnsiTheme="minorHAnsi" w:cstheme="minorHAnsi"/>
          <w:sz w:val="17"/>
          <w:szCs w:val="17"/>
        </w:rPr>
        <w:t>;</w:t>
      </w:r>
    </w:p>
    <w:p w14:paraId="18263794" w14:textId="6A600124" w:rsidR="00065DBC" w:rsidRPr="001E6E9D" w:rsidRDefault="008109DA" w:rsidP="005E7D51">
      <w:pPr>
        <w:keepNext/>
        <w:keepLines/>
        <w:spacing w:after="160"/>
        <w:ind w:left="1843" w:hanging="709"/>
        <w:rPr>
          <w:rFonts w:asciiTheme="minorHAnsi" w:hAnsiTheme="minorHAnsi" w:cstheme="minorHAnsi"/>
          <w:sz w:val="17"/>
          <w:szCs w:val="17"/>
        </w:rPr>
      </w:pPr>
      <w:r w:rsidRPr="001E6E9D">
        <w:rPr>
          <w:rFonts w:asciiTheme="minorHAnsi" w:eastAsia="Arial Unicode MS" w:hAnsiTheme="minorHAnsi" w:cstheme="minorHAnsi"/>
          <w:sz w:val="17"/>
          <w:szCs w:val="17"/>
        </w:rPr>
        <w:lastRenderedPageBreak/>
        <w:t>(xix)</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 xml:space="preserve">existência de sentença condenatória judicial ou decisão administrativa condenatória, em razão da prática </w:t>
      </w:r>
      <w:r w:rsidR="006E1434" w:rsidRPr="001E6E9D">
        <w:rPr>
          <w:rFonts w:asciiTheme="minorHAnsi" w:eastAsia="Arial Unicode MS" w:hAnsiTheme="minorHAnsi" w:cstheme="minorHAnsi"/>
          <w:sz w:val="17"/>
          <w:szCs w:val="17"/>
        </w:rPr>
        <w:t xml:space="preserve">pela Emissora, e/ou por qualquer das SPEs, e/ou por qualquer sociedade controlada, direta ou indiretamente, pela Emissora ou ainda por quaisquer de seus respectivos acionistas e/ou pessoas integrantes do seu grupo econômico bem como por qualquer um de seus respectivos </w:t>
      </w:r>
      <w:r w:rsidR="006E1434" w:rsidRPr="001E6E9D">
        <w:rPr>
          <w:rFonts w:asciiTheme="minorHAnsi" w:hAnsiTheme="minorHAnsi" w:cstheme="minorHAnsi"/>
          <w:sz w:val="17"/>
          <w:szCs w:val="17"/>
        </w:rPr>
        <w:t>conselheiros e/ou diretores e/ou funcionários que atuem a mando ou em favor da Emissora, sob qualquer forma (“</w:t>
      </w:r>
      <w:r w:rsidR="006E1434" w:rsidRPr="001E6E9D">
        <w:rPr>
          <w:rFonts w:asciiTheme="minorHAnsi" w:hAnsiTheme="minorHAnsi" w:cstheme="minorHAnsi"/>
          <w:sz w:val="17"/>
          <w:szCs w:val="17"/>
          <w:u w:val="single"/>
        </w:rPr>
        <w:t>Representantes</w:t>
      </w:r>
      <w:r w:rsidR="006E1434" w:rsidRPr="001E6E9D">
        <w:rPr>
          <w:rFonts w:asciiTheme="minorHAnsi" w:hAnsiTheme="minorHAnsi" w:cstheme="minorHAnsi"/>
          <w:sz w:val="17"/>
          <w:szCs w:val="17"/>
        </w:rPr>
        <w:t xml:space="preserve">”), de atos que importem discriminação de raça ou de gênero, trabalho infantil, trabalho análogo ao escravo, proveito criminoso da prostituição, </w:t>
      </w:r>
      <w:r w:rsidR="006E1434" w:rsidRPr="001E6E9D">
        <w:rPr>
          <w:rFonts w:asciiTheme="minorHAnsi" w:hAnsiTheme="minorHAnsi" w:cstheme="minorHAnsi"/>
          <w:kern w:val="20"/>
          <w:sz w:val="17"/>
        </w:rPr>
        <w:t>violação aos direitos silvícolas, ao direito sobre as áreas de ocupação indígena</w:t>
      </w:r>
      <w:r w:rsidR="006E1434" w:rsidRPr="001E6E9D">
        <w:rPr>
          <w:rFonts w:asciiTheme="minorHAnsi" w:hAnsiTheme="minorHAnsi" w:cstheme="minorHAnsi"/>
          <w:sz w:val="17"/>
          <w:szCs w:val="17"/>
        </w:rPr>
        <w:t xml:space="preserve"> ou crimes contra o meio ambiente (“</w:t>
      </w:r>
      <w:r w:rsidR="006E1434" w:rsidRPr="001E6E9D">
        <w:rPr>
          <w:rFonts w:asciiTheme="minorHAnsi" w:hAnsiTheme="minorHAnsi" w:cstheme="minorHAnsi"/>
          <w:sz w:val="17"/>
          <w:szCs w:val="17"/>
          <w:u w:val="single"/>
        </w:rPr>
        <w:t>Leis de Proteção Social</w:t>
      </w:r>
      <w:r w:rsidR="006E1434" w:rsidRPr="001E6E9D">
        <w:rPr>
          <w:rFonts w:asciiTheme="minorHAnsi" w:hAnsiTheme="minorHAnsi" w:cstheme="minorHAnsi"/>
          <w:sz w:val="17"/>
          <w:szCs w:val="17"/>
        </w:rPr>
        <w:t>”);</w:t>
      </w:r>
    </w:p>
    <w:p w14:paraId="5A39E2E4" w14:textId="429193AB" w:rsidR="00065DBC" w:rsidRPr="001E6E9D" w:rsidRDefault="00065DBC" w:rsidP="005E7D51">
      <w:pPr>
        <w:spacing w:after="16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inscrição da Emissora, e/ou de qualquer das SPEs, e/ou de qualquer sociedade controlada, direta ou indiretamente, pela Emissora ou ainda de quaisquer de seus respectivos acionistas e/ou pessoas integrantes do seu grupo econômico, no cadastro de empregadores que tenham mantido trabalhadores em condições análogas à de escravo, regulado pela Portaria Interministerial nº 15, de 26 de julho de 2024 (ou outra que a substitua), do Ministério do Trabalho e Emprego e do Ministério dos Direitos Humanos e da Cidadania, ou outro cadastro oficial que venha a substituí-lo</w:t>
      </w:r>
      <w:r w:rsidR="003664AA" w:rsidRPr="001E6E9D">
        <w:rPr>
          <w:rFonts w:asciiTheme="minorHAnsi" w:eastAsia="Arial Unicode MS" w:hAnsiTheme="minorHAnsi" w:cstheme="minorHAnsi"/>
          <w:sz w:val="17"/>
          <w:szCs w:val="17"/>
        </w:rPr>
        <w:t>;</w:t>
      </w:r>
    </w:p>
    <w:p w14:paraId="2A7AD120" w14:textId="4028A092" w:rsidR="00065DBC" w:rsidRPr="001E6E9D" w:rsidRDefault="00065DBC" w:rsidP="005E7D51">
      <w:pPr>
        <w:spacing w:after="16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inobservância da Legislação Socioambiental (conforme definido abaixo) e das demais obrigações de natureza socioambiental estabelecidas na Escritura de Emissão</w:t>
      </w:r>
      <w:r w:rsidR="003664AA" w:rsidRPr="001E6E9D">
        <w:rPr>
          <w:rFonts w:asciiTheme="minorHAnsi" w:eastAsia="Arial Unicode MS" w:hAnsiTheme="minorHAnsi" w:cstheme="minorHAnsi"/>
          <w:sz w:val="17"/>
          <w:szCs w:val="17"/>
        </w:rPr>
        <w:t>;</w:t>
      </w:r>
    </w:p>
    <w:p w14:paraId="0402F971" w14:textId="6F4EF487" w:rsidR="00065DBC" w:rsidRPr="001E6E9D" w:rsidRDefault="00065DBC" w:rsidP="005E7D51">
      <w:pPr>
        <w:spacing w:after="16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(xxi)</w:t>
      </w:r>
      <w:r w:rsidRPr="001E6E9D">
        <w:rPr>
          <w:rFonts w:asciiTheme="minorHAnsi" w:eastAsia="Arial Unicode MS" w:hAnsiTheme="minorHAnsi" w:cstheme="minorHAnsi"/>
          <w:sz w:val="17"/>
          <w:szCs w:val="17"/>
        </w:rPr>
        <w:tab/>
      </w:r>
      <w:r w:rsidR="006E1434" w:rsidRPr="001E6E9D">
        <w:rPr>
          <w:rFonts w:asciiTheme="minorHAnsi" w:hAnsiTheme="minorHAnsi" w:cstheme="minorHAnsi"/>
          <w:sz w:val="17"/>
          <w:szCs w:val="17"/>
        </w:rPr>
        <w:t xml:space="preserve">violação pela </w:t>
      </w:r>
      <w:r w:rsidR="006E1434" w:rsidRPr="001E6E9D">
        <w:rPr>
          <w:rFonts w:asciiTheme="minorHAnsi" w:eastAsia="Arial Unicode MS" w:hAnsiTheme="minorHAnsi" w:cstheme="minorHAnsi"/>
          <w:sz w:val="17"/>
          <w:szCs w:val="17"/>
        </w:rPr>
        <w:t>Emissora, e/ou por qualquer das SPEs, e/ou por quaisquer de seus respectivos acionistas ou sociedades integrantes do seu grupo econômico</w:t>
      </w:r>
      <w:r w:rsidR="006E1434" w:rsidRPr="001E6E9D">
        <w:rPr>
          <w:rFonts w:asciiTheme="minorHAnsi" w:hAnsiTheme="minorHAnsi" w:cstheme="minorHAnsi"/>
          <w:sz w:val="17"/>
          <w:szCs w:val="17"/>
        </w:rPr>
        <w:t>,</w:t>
      </w:r>
      <w:r w:rsidR="006E1434" w:rsidRPr="001E6E9D">
        <w:rPr>
          <w:rFonts w:asciiTheme="minorHAnsi" w:eastAsia="Arial Unicode MS" w:hAnsiTheme="minorHAnsi" w:cstheme="minorHAnsi"/>
          <w:sz w:val="17"/>
          <w:szCs w:val="17"/>
        </w:rPr>
        <w:t xml:space="preserve"> bem como por qualquer um de seus respectivos Representantes, </w:t>
      </w:r>
      <w:r w:rsidR="006E1434" w:rsidRPr="001E6E9D">
        <w:rPr>
          <w:rFonts w:asciiTheme="minorHAnsi" w:hAnsiTheme="minorHAnsi" w:cstheme="minorHAnsi"/>
          <w:sz w:val="17"/>
          <w:szCs w:val="17"/>
        </w:rPr>
        <w:t xml:space="preserve">e/ou ocorrência de investigação, inquérito ou procedimento administrativo ou judicial instaurado contra tais pessoas envolvendo </w:t>
      </w:r>
      <w:r w:rsidR="006E1434" w:rsidRPr="001E6E9D">
        <w:rPr>
          <w:rFonts w:asciiTheme="minorHAnsi" w:eastAsia="MS Mincho" w:hAnsiTheme="minorHAnsi" w:cstheme="minorHAnsi"/>
          <w:sz w:val="17"/>
          <w:szCs w:val="17"/>
        </w:rPr>
        <w:t xml:space="preserve">toda e qualquer </w:t>
      </w:r>
      <w:r w:rsidR="006E1434" w:rsidRPr="001E6E9D">
        <w:rPr>
          <w:rFonts w:asciiTheme="minorHAnsi" w:hAnsiTheme="minorHAnsi" w:cstheme="minorHAnsi"/>
          <w:sz w:val="17"/>
          <w:szCs w:val="17"/>
        </w:rPr>
        <w:t xml:space="preserve">lei ou regulamento, nacional ou estrangeiro, contra a prática de corrupção, crimes contra a ordem econômica ou tributária, de “lavagem” ou ocultação de bens, direitos e valores, ou contra o sistema financeiro nacional ou à administração pública, incluindo, sem limitação, as Leis nº 6.385, de 7 de dezembro de 1976, nº 7.492, de 16 de junho de 1986, nº 8.137, de 27 de dezembro de 1990, nº 8.429, de 2 de junho de 1992, nº 14.133, de 1º de abril de 2021 (ou outras normas de licitações e contratos da administração pública), nº 9.613, de 3 de março de 1998, nº 12.529, de 30 de novembro de 2011, nº 12.846, de 1º de agosto de 2013, o Decreto nº 11.129, de 11 de julho de 2022, o Decreto-Lei n° 2.848/40, Decreto nº 5.687, de 31 de janeiro de 2006 que promulgou a Convenção das Nações Unidas contra a Corrupção, adotada pela Assembleia Geral das Nações Unidas em 31 de outubro de 2003, </w:t>
      </w:r>
      <w:r w:rsidR="006E1434" w:rsidRPr="001E6E9D">
        <w:rPr>
          <w:rFonts w:asciiTheme="minorHAnsi" w:hAnsiTheme="minorHAnsi" w:cstheme="minorHAnsi"/>
          <w:i/>
          <w:iCs/>
          <w:sz w:val="17"/>
          <w:szCs w:val="17"/>
        </w:rPr>
        <w:t>U.S. Foreign Corrupt Practices Act of 1977</w:t>
      </w:r>
      <w:r w:rsidR="006E1434" w:rsidRPr="001E6E9D">
        <w:rPr>
          <w:rFonts w:asciiTheme="minorHAnsi" w:hAnsiTheme="minorHAnsi" w:cstheme="minorHAnsi"/>
          <w:sz w:val="17"/>
          <w:szCs w:val="17"/>
        </w:rPr>
        <w:t xml:space="preserve">, e a </w:t>
      </w:r>
      <w:r w:rsidR="006E1434" w:rsidRPr="001E6E9D">
        <w:rPr>
          <w:rFonts w:asciiTheme="minorHAnsi" w:hAnsiTheme="minorHAnsi" w:cstheme="minorHAnsi"/>
          <w:i/>
          <w:iCs/>
          <w:sz w:val="17"/>
          <w:szCs w:val="17"/>
        </w:rPr>
        <w:t>UK Bribery Act de 2010</w:t>
      </w:r>
      <w:r w:rsidR="006E1434" w:rsidRPr="001E6E9D">
        <w:rPr>
          <w:rFonts w:asciiTheme="minorHAnsi" w:hAnsiTheme="minorHAnsi" w:cstheme="minorHAnsi"/>
          <w:sz w:val="17"/>
          <w:szCs w:val="17"/>
        </w:rPr>
        <w:t>, as portarias e instruções normativas expedidas pela Controladoria Geral da União nos termos da lei e decreto acima mencionados, bem como todas as leis, decretos, regulamentos e demais atos normativos expedidos por autoridade governamental com jurisdição sobre a Emissora e/ou as SPEs (“</w:t>
      </w:r>
      <w:r w:rsidR="006E1434" w:rsidRPr="001E6E9D">
        <w:rPr>
          <w:rFonts w:asciiTheme="minorHAnsi" w:hAnsiTheme="minorHAnsi" w:cstheme="minorHAnsi"/>
          <w:sz w:val="17"/>
          <w:szCs w:val="17"/>
          <w:u w:val="single"/>
        </w:rPr>
        <w:t>Leis Anticorrupção</w:t>
      </w:r>
      <w:r w:rsidR="006E1434" w:rsidRPr="001E6E9D">
        <w:rPr>
          <w:rFonts w:asciiTheme="minorHAnsi" w:hAnsiTheme="minorHAnsi" w:cstheme="minorHAnsi"/>
          <w:sz w:val="17"/>
          <w:szCs w:val="17"/>
        </w:rPr>
        <w:t>”);</w:t>
      </w:r>
    </w:p>
    <w:p w14:paraId="7A8E628A" w14:textId="5F16FB98" w:rsidR="00065DBC" w:rsidRPr="001E6E9D" w:rsidRDefault="00065DBC" w:rsidP="005E7D51">
      <w:pPr>
        <w:spacing w:after="16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(xxii)</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cancelamento, rescisão ou declaração judicial de invalidade, nulidade, ineficácia ou inexequibilidade, total ou parcial, da Escritura de Emissão e/ou das Garantias Reais e/ou qualquer Documento da Operação</w:t>
      </w:r>
      <w:r w:rsidR="003664AA" w:rsidRPr="001E6E9D">
        <w:rPr>
          <w:rFonts w:asciiTheme="minorHAnsi" w:eastAsia="Arial Unicode MS" w:hAnsiTheme="minorHAnsi" w:cstheme="minorHAnsi"/>
          <w:sz w:val="17"/>
          <w:szCs w:val="17"/>
        </w:rPr>
        <w:t>;</w:t>
      </w:r>
    </w:p>
    <w:p w14:paraId="6A88BCF6" w14:textId="1959EA51" w:rsidR="00065DBC" w:rsidRPr="001E6E9D" w:rsidRDefault="00065DBC" w:rsidP="005E7D51">
      <w:pPr>
        <w:spacing w:after="16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(xxiii)</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não atingimento, pela Emissora, do índice de cobertura do serviço da dívida (“</w:t>
      </w:r>
      <w:r w:rsidR="006E1434" w:rsidRPr="001E6E9D">
        <w:rPr>
          <w:rFonts w:asciiTheme="minorHAnsi" w:hAnsiTheme="minorHAnsi" w:cstheme="minorHAnsi"/>
          <w:sz w:val="17"/>
          <w:u w:val="single"/>
        </w:rPr>
        <w:t>ICSD</w:t>
      </w:r>
      <w:r w:rsidR="006E1434" w:rsidRPr="001E6E9D">
        <w:rPr>
          <w:rFonts w:asciiTheme="minorHAnsi" w:eastAsia="Arial Unicode MS" w:hAnsiTheme="minorHAnsi" w:cstheme="minorHAnsi"/>
          <w:sz w:val="17"/>
          <w:szCs w:val="17"/>
        </w:rPr>
        <w:t xml:space="preserve">”) consolidado mínimo maior ou igual a </w:t>
      </w:r>
      <w:r w:rsidR="006E1434" w:rsidRPr="001E6E9D">
        <w:rPr>
          <w:rFonts w:asciiTheme="minorHAnsi" w:hAnsiTheme="minorHAnsi" w:cstheme="minorHAnsi"/>
          <w:sz w:val="17"/>
        </w:rPr>
        <w:t>1,20x (um inteiro e vinte centésimos vezes</w:t>
      </w:r>
      <w:r w:rsidR="006E1434" w:rsidRPr="001E6E9D">
        <w:rPr>
          <w:rFonts w:asciiTheme="minorHAnsi" w:eastAsia="Arial Unicode MS" w:hAnsiTheme="minorHAnsi" w:cstheme="minorHAnsi"/>
          <w:sz w:val="17"/>
          <w:szCs w:val="17"/>
        </w:rPr>
        <w:t>) (“</w:t>
      </w:r>
      <w:r w:rsidR="006E1434" w:rsidRPr="001E6E9D">
        <w:rPr>
          <w:rFonts w:asciiTheme="minorHAnsi" w:hAnsiTheme="minorHAnsi" w:cstheme="minorHAnsi"/>
          <w:sz w:val="17"/>
          <w:szCs w:val="17"/>
          <w:u w:val="single"/>
        </w:rPr>
        <w:t>ICSD Mínimo</w:t>
      </w:r>
      <w:r w:rsidR="006E1434" w:rsidRPr="001E6E9D">
        <w:rPr>
          <w:rFonts w:asciiTheme="minorHAnsi" w:eastAsia="Arial Unicode MS" w:hAnsiTheme="minorHAnsi" w:cstheme="minorHAnsi"/>
          <w:sz w:val="17"/>
          <w:szCs w:val="17"/>
        </w:rPr>
        <w:t xml:space="preserve">”), a ser apurado pela Emissora e acompanhado pelo Agente Fiduciário após a primeira </w:t>
      </w:r>
      <w:r w:rsidR="006E1434" w:rsidRPr="001E6E9D">
        <w:rPr>
          <w:rFonts w:asciiTheme="minorHAnsi" w:hAnsiTheme="minorHAnsi" w:cstheme="minorHAnsi"/>
          <w:sz w:val="17"/>
          <w:szCs w:val="17"/>
        </w:rPr>
        <w:t xml:space="preserve">Data de Pagamento da Remuneração das Debêntures, </w:t>
      </w:r>
      <w:r w:rsidR="006E1434" w:rsidRPr="001E6E9D">
        <w:rPr>
          <w:rFonts w:asciiTheme="minorHAnsi" w:eastAsia="Arial Unicode MS" w:hAnsiTheme="minorHAnsi" w:cstheme="minorHAnsi"/>
          <w:sz w:val="17"/>
          <w:szCs w:val="17"/>
        </w:rPr>
        <w:t xml:space="preserve">de acordo com o quanto disposto no </w:t>
      </w:r>
      <w:r w:rsidR="006E1434" w:rsidRPr="001E6E9D">
        <w:rPr>
          <w:rFonts w:asciiTheme="minorHAnsi" w:eastAsia="Arial Unicode MS" w:hAnsiTheme="minorHAnsi" w:cstheme="minorHAnsi"/>
          <w:sz w:val="17"/>
          <w:szCs w:val="17"/>
          <w:u w:val="single"/>
        </w:rPr>
        <w:t>Anexo II</w:t>
      </w:r>
      <w:r w:rsidR="006E1434" w:rsidRPr="001E6E9D">
        <w:rPr>
          <w:rFonts w:asciiTheme="minorHAnsi" w:eastAsia="Arial Unicode MS" w:hAnsiTheme="minorHAnsi" w:cstheme="minorHAnsi"/>
          <w:sz w:val="17"/>
          <w:szCs w:val="17"/>
        </w:rPr>
        <w:t xml:space="preserve"> à Escritura de Emissão;</w:t>
      </w:r>
    </w:p>
    <w:p w14:paraId="3A1F724C" w14:textId="15140A3D" w:rsidR="00065DBC" w:rsidRPr="001E6E9D" w:rsidRDefault="00065DBC" w:rsidP="005E7D51">
      <w:pPr>
        <w:spacing w:after="16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(xxiv)</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utilizar os recursos oriundos da Emissão em usos relativos ao Projeto para os quais não possua a licença ambiental, válida e vigente, exigida pela Legislação Socioambiental, para a etapa em que o Projeto se encontre no momento da aplicação de tais recursos, observando a destinação das Debêntures para a caracterização como Debêntures Verdes</w:t>
      </w:r>
      <w:r w:rsidR="003664AA" w:rsidRPr="001E6E9D">
        <w:rPr>
          <w:rFonts w:asciiTheme="minorHAnsi" w:eastAsia="Arial Unicode MS" w:hAnsiTheme="minorHAnsi" w:cstheme="minorHAnsi"/>
          <w:sz w:val="17"/>
          <w:szCs w:val="17"/>
        </w:rPr>
        <w:t xml:space="preserve">; </w:t>
      </w:r>
    </w:p>
    <w:p w14:paraId="71D22F99" w14:textId="3CD97E82" w:rsidR="00065DBC" w:rsidRPr="001E6E9D" w:rsidRDefault="00065DBC" w:rsidP="005E7D51">
      <w:pPr>
        <w:spacing w:after="16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(xxv)</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se as Garantias não forem devidamente efetivadas ou formalizadas pela Emissora, pelas SPEs ou por outros garantidores, segundo os dispositivos contratuais ou legais aplicáveis, ou se elas, por qualquer fato atinente ao seu objeto se tornarem inábeis, impróprias ou insuficientes para assegurar o pagamento da importância, e desde que não sejam substituídas ou complementadas</w:t>
      </w:r>
      <w:r w:rsidR="003664AA" w:rsidRPr="001E6E9D">
        <w:rPr>
          <w:rFonts w:asciiTheme="minorHAnsi" w:eastAsia="Arial Unicode MS" w:hAnsiTheme="minorHAnsi" w:cstheme="minorHAnsi"/>
          <w:sz w:val="17"/>
          <w:szCs w:val="17"/>
        </w:rPr>
        <w:t xml:space="preserve">; </w:t>
      </w:r>
    </w:p>
    <w:p w14:paraId="639F44B3" w14:textId="2B44B18D" w:rsidR="00065DBC" w:rsidRPr="005E7D51" w:rsidRDefault="00065DBC" w:rsidP="005E7D51">
      <w:pPr>
        <w:spacing w:after="160"/>
        <w:ind w:left="1843" w:hanging="709"/>
        <w:rPr>
          <w:rFonts w:asciiTheme="minorHAnsi" w:hAnsiTheme="minorHAnsi"/>
          <w:spacing w:val="-3"/>
          <w:sz w:val="17"/>
        </w:rPr>
      </w:pPr>
      <w:r w:rsidRPr="005E7D51">
        <w:rPr>
          <w:rFonts w:asciiTheme="minorHAnsi" w:hAnsiTheme="minorHAnsi"/>
          <w:spacing w:val="-3"/>
          <w:sz w:val="17"/>
        </w:rPr>
        <w:t>(xxvi)</w:t>
      </w:r>
      <w:r w:rsidRPr="005E7D51">
        <w:rPr>
          <w:rFonts w:asciiTheme="minorHAnsi" w:hAnsiTheme="minorHAnsi"/>
          <w:spacing w:val="-3"/>
          <w:sz w:val="17"/>
        </w:rPr>
        <w:tab/>
      </w:r>
      <w:r w:rsidR="00AC236D" w:rsidRPr="00AC236D">
        <w:rPr>
          <w:rFonts w:asciiTheme="minorHAnsi" w:hAnsiTheme="minorHAnsi"/>
          <w:spacing w:val="-3"/>
          <w:sz w:val="17"/>
        </w:rPr>
        <w:t>observando o disposto no Contrato de Cessão Fiduciária (1) aditamentos ou alterações, ou renúncia a direitos no âmbito dos Contratos dos Projetos Receita que (a) resultem em diminuição de valores e/ou preços, em montante individual ou agregado igual ou superior a 10% (dez por cento) do valor de cada um dos Contratos dos Projetos Receita e que não sejam realizadas de acordo com os padrões técnicos e as condições de mercado vigentes à época, não sendo considerados para fins do presente item os aumentos de valores e preços decorrentes de atualização monetária por índice de inflação, conforme previsto nos respectivos Contratos dos Projetos Receita; ou (b) resultem em alteração de cláusulas relacionadas a garantias, incluindo a contratação, endosso e/ou não renovação de apólices de seguros; ou (2) rescisão, resilição ou término antecipado de qualquer um dos Contratos dos Projetos Receita - “</w:t>
      </w:r>
      <w:r w:rsidR="00AC236D" w:rsidRPr="00AC236D">
        <w:rPr>
          <w:rFonts w:asciiTheme="minorHAnsi" w:hAnsiTheme="minorHAnsi"/>
          <w:spacing w:val="-3"/>
          <w:sz w:val="17"/>
          <w:u w:val="single"/>
        </w:rPr>
        <w:t>Contratos dos Projetos Receita</w:t>
      </w:r>
      <w:r w:rsidR="00AC236D" w:rsidRPr="00AC236D">
        <w:rPr>
          <w:rFonts w:asciiTheme="minorHAnsi" w:hAnsiTheme="minorHAnsi"/>
          <w:spacing w:val="-3"/>
          <w:sz w:val="17"/>
        </w:rPr>
        <w:t>” significa, em conjunto, os contratos de locação e os contratos de prestação de serviços de operação e manutenção, celebrados pelas SPEs e/ou pela Emissora</w:t>
      </w:r>
      <w:r w:rsidR="003664AA" w:rsidRPr="005E7D51">
        <w:rPr>
          <w:rFonts w:asciiTheme="minorHAnsi" w:hAnsiTheme="minorHAnsi"/>
          <w:spacing w:val="-3"/>
          <w:sz w:val="17"/>
        </w:rPr>
        <w:t xml:space="preserve">; </w:t>
      </w:r>
    </w:p>
    <w:p w14:paraId="67D579FF" w14:textId="58838A1D" w:rsidR="00065DBC" w:rsidRPr="001E6E9D" w:rsidRDefault="00065DBC" w:rsidP="005E7D51">
      <w:pPr>
        <w:spacing w:after="16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(xxvii)</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perda de benefício, de maneira parcial, da compensação da tarifa de uso do sistema de distribuição (TUSD) por motivo de alteração de classificação de “GD 1” para “GD 2” ou “GD 3”, por 25% (vinte e cinco por cento) dos Projetos, exceto caso a Emissora, em até 5 (cinco) Dias Úteis contados da ocorrência do evento, (a) realize a Amortização Extraordinária Facultativa para Cura, em montante equivalente à Proporção do Projeto Afetado; ou (b) efetue um depósito de cura, em montante equivalente à Proporção do Projeto Afetado (“</w:t>
      </w:r>
      <w:r w:rsidR="006E1434" w:rsidRPr="001E6E9D">
        <w:rPr>
          <w:rFonts w:asciiTheme="minorHAnsi" w:eastAsia="Arial Unicode MS" w:hAnsiTheme="minorHAnsi" w:cstheme="minorHAnsi"/>
          <w:sz w:val="17"/>
          <w:szCs w:val="17"/>
          <w:u w:val="single"/>
        </w:rPr>
        <w:t>Depósito de Cura</w:t>
      </w:r>
      <w:r w:rsidR="006E1434" w:rsidRPr="001E6E9D">
        <w:rPr>
          <w:rFonts w:asciiTheme="minorHAnsi" w:eastAsia="Arial Unicode MS" w:hAnsiTheme="minorHAnsi" w:cstheme="minorHAnsi"/>
          <w:sz w:val="17"/>
          <w:szCs w:val="17"/>
        </w:rPr>
        <w:t>”), na Conta Centralizadora da Emissora (conforme definido no Contrato de Cessão Fiduciária), sendo certo que o montante depositado na forma deste item (b) poderá ser liberado para a Emissora e/ou as SPEs Fiadores, conforme o caso, mediante a comprovação de que o evento que deu causa ao referido depósito foi sanado ou revertido;</w:t>
      </w:r>
    </w:p>
    <w:p w14:paraId="7BA90C36" w14:textId="55722554"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lastRenderedPageBreak/>
        <w:t>(xxviii)</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perda de benefício integral ou descaracterização de algum dos ativos como minigeração distribuída, exceto caso a Emissora, em até 5 (cinco) Dias Úteis contados da ocorrência do evento, (a) realize a Amortização Extraordinária Facultativa para Cura, em montante equivalente à Proporção do Projeto Afetado; ou (b) efetue o Depósito de Cura, sendo certo que o montante depositado na forma deste item (b) poderá ser liberado para a Emissora e/ou as SPEs Fiadores, conforme o caso, mediante a comprovação de que o evento que deu causa ao referido depósito foi sanado ou revertido;</w:t>
      </w:r>
    </w:p>
    <w:p w14:paraId="69833750" w14:textId="33904CC2"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(xxix)</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 xml:space="preserve">celebração de novos contratos pela Emissora e/ou pelas SPEs com quaisquer das Controladas da FERP, ou a realização de pagamentos à FERP e/ou às Controladas da FERP acima de R$ 8.000.000,00 (oito milhões de reais), </w:t>
      </w:r>
      <w:r w:rsidR="006E1434" w:rsidRPr="001E6E9D">
        <w:rPr>
          <w:rStyle w:val="DeltaViewInsertion"/>
          <w:rFonts w:asciiTheme="minorHAnsi" w:eastAsia="Arial Unicode MS" w:hAnsiTheme="minorHAnsi" w:cstheme="minorHAnsi"/>
          <w:color w:val="auto"/>
          <w:sz w:val="17"/>
          <w:szCs w:val="17"/>
          <w:u w:val="none"/>
        </w:rPr>
        <w:t>devidamente corrigidos</w:t>
      </w:r>
      <w:r w:rsidR="006E1434" w:rsidRPr="001E6E9D">
        <w:rPr>
          <w:rStyle w:val="DeltaViewInsertion"/>
          <w:rFonts w:asciiTheme="minorHAnsi" w:hAnsiTheme="minorHAnsi" w:cstheme="minorHAnsi"/>
          <w:color w:val="auto"/>
          <w:u w:val="none"/>
        </w:rPr>
        <w:t xml:space="preserve"> anualmente pela variação </w:t>
      </w:r>
      <w:r w:rsidR="006E1434" w:rsidRPr="001E6E9D">
        <w:rPr>
          <w:rStyle w:val="DeltaViewInsertion"/>
          <w:rFonts w:asciiTheme="minorHAnsi" w:eastAsia="Arial Unicode MS" w:hAnsiTheme="minorHAnsi" w:cstheme="minorHAnsi"/>
          <w:color w:val="auto"/>
          <w:sz w:val="17"/>
          <w:szCs w:val="17"/>
          <w:u w:val="none"/>
        </w:rPr>
        <w:t xml:space="preserve">acumulada </w:t>
      </w:r>
      <w:r w:rsidR="006E1434" w:rsidRPr="001E6E9D">
        <w:rPr>
          <w:rStyle w:val="DeltaViewInsertion"/>
          <w:rFonts w:asciiTheme="minorHAnsi" w:hAnsiTheme="minorHAnsi" w:cstheme="minorHAnsi"/>
          <w:color w:val="auto"/>
          <w:u w:val="none"/>
        </w:rPr>
        <w:t>do IPCA</w:t>
      </w:r>
      <w:r w:rsidR="006E1434" w:rsidRPr="001E6E9D">
        <w:rPr>
          <w:rStyle w:val="DeltaViewInsertion"/>
          <w:rFonts w:asciiTheme="minorHAnsi" w:eastAsia="Arial Unicode MS" w:hAnsiTheme="minorHAnsi" w:cstheme="minorHAnsi"/>
          <w:color w:val="auto"/>
          <w:sz w:val="17"/>
          <w:szCs w:val="17"/>
          <w:u w:val="none"/>
        </w:rPr>
        <w:t>/IBGE</w:t>
      </w:r>
      <w:r w:rsidR="006E1434" w:rsidRPr="001E6E9D">
        <w:rPr>
          <w:rStyle w:val="DeltaViewInsertion"/>
          <w:rFonts w:asciiTheme="minorHAnsi" w:hAnsiTheme="minorHAnsi" w:cstheme="minorHAnsi"/>
          <w:color w:val="auto"/>
          <w:u w:val="none"/>
        </w:rPr>
        <w:t xml:space="preserve"> a </w:t>
      </w:r>
      <w:r w:rsidR="006E1434" w:rsidRPr="001E6E9D">
        <w:rPr>
          <w:rStyle w:val="DeltaViewInsertion"/>
          <w:rFonts w:asciiTheme="minorHAnsi" w:eastAsia="Arial Unicode MS" w:hAnsiTheme="minorHAnsi" w:cstheme="minorHAnsi"/>
          <w:color w:val="auto"/>
          <w:sz w:val="17"/>
          <w:szCs w:val="17"/>
          <w:u w:val="none"/>
        </w:rPr>
        <w:t>partir</w:t>
      </w:r>
      <w:r w:rsidR="006E1434" w:rsidRPr="001E6E9D">
        <w:rPr>
          <w:rStyle w:val="DeltaViewInsertion"/>
          <w:rFonts w:asciiTheme="minorHAnsi" w:hAnsiTheme="minorHAnsi" w:cstheme="minorHAnsi"/>
          <w:color w:val="auto"/>
          <w:u w:val="none"/>
        </w:rPr>
        <w:t xml:space="preserve"> da </w:t>
      </w:r>
      <w:r w:rsidR="006E1434" w:rsidRPr="001E6E9D">
        <w:rPr>
          <w:rStyle w:val="DeltaViewInsertion"/>
          <w:rFonts w:asciiTheme="minorHAnsi" w:eastAsia="Arial Unicode MS" w:hAnsiTheme="minorHAnsi" w:cstheme="minorHAnsi"/>
          <w:color w:val="auto"/>
          <w:sz w:val="17"/>
          <w:szCs w:val="17"/>
          <w:u w:val="none"/>
        </w:rPr>
        <w:t>Data de Emissão, conforme</w:t>
      </w:r>
      <w:r w:rsidR="006E1434" w:rsidRPr="001E6E9D">
        <w:rPr>
          <w:rFonts w:asciiTheme="minorHAnsi" w:eastAsia="Arial Unicode MS" w:hAnsiTheme="minorHAnsi" w:cstheme="minorHAnsi"/>
          <w:sz w:val="17"/>
          <w:szCs w:val="17"/>
        </w:rPr>
        <w:t xml:space="preserve"> o orçamento anual de despesas administrativas e compartilhadas da Emissora, das SPEs e das Controladas da FERP, exceto se, cumulativamente, (a) seja mantido, de forma consolidada entre Emissora e SPEs, um caixa mínimo equivalente a uma parcela de amortização do Valor Nominal Unitário Atualizado, sem prejuízo dos valores referentes à Remuneração, de eventuais Encargos Moratórios, e da Parcela Vincenda de Serviço da Dívida (conforme definida no Contrato de Cessão) a serem mantidas nas respectivas Contas Cedidas (conforme definida no Contrato de Cessão); (b) </w:t>
      </w:r>
      <w:r w:rsidR="006E1434" w:rsidRPr="001E6E9D">
        <w:rPr>
          <w:rFonts w:asciiTheme="minorHAnsi" w:hAnsiTheme="minorHAnsi" w:cstheme="minorHAnsi"/>
          <w:sz w:val="17"/>
          <w:szCs w:val="17"/>
        </w:rPr>
        <w:t xml:space="preserve">a Emissora tenha atingido o ICSD </w:t>
      </w:r>
      <w:r w:rsidR="006E1434" w:rsidRPr="001E6E9D">
        <w:rPr>
          <w:rFonts w:asciiTheme="minorHAnsi" w:eastAsia="Arial Unicode MS" w:hAnsiTheme="minorHAnsi" w:cstheme="minorHAnsi"/>
          <w:sz w:val="17"/>
          <w:szCs w:val="17"/>
        </w:rPr>
        <w:t xml:space="preserve">consolidado mínimo maior ou igual a 1,20x (um inteiro e vinte centésimos vezes) referente ao último exercício social da última apuração; e (c) a Emissora esteja adimplente com suas obrigações nos termos da Escritura de Emissão; e </w:t>
      </w:r>
    </w:p>
    <w:p w14:paraId="69293C92" w14:textId="0A42E4D8" w:rsidR="00065DBC" w:rsidRPr="001E6E9D" w:rsidRDefault="00065DBC" w:rsidP="00DC7081">
      <w:pPr>
        <w:spacing w:after="140"/>
        <w:ind w:left="1843" w:hanging="709"/>
        <w:rPr>
          <w:rFonts w:asciiTheme="minorHAnsi" w:eastAsia="Arial Unicode MS" w:hAnsiTheme="minorHAnsi" w:cstheme="minorHAnsi"/>
          <w:sz w:val="17"/>
          <w:szCs w:val="17"/>
        </w:rPr>
      </w:pPr>
      <w:r w:rsidRPr="001E6E9D">
        <w:rPr>
          <w:rFonts w:asciiTheme="minorHAnsi" w:eastAsia="Arial Unicode MS" w:hAnsiTheme="minorHAnsi" w:cstheme="minorHAnsi"/>
          <w:sz w:val="17"/>
          <w:szCs w:val="17"/>
        </w:rPr>
        <w:t>(xxx)</w:t>
      </w:r>
      <w:r w:rsidRPr="001E6E9D">
        <w:rPr>
          <w:rFonts w:asciiTheme="minorHAnsi" w:eastAsia="Arial Unicode MS" w:hAnsiTheme="minorHAnsi" w:cstheme="minorHAnsi"/>
          <w:sz w:val="17"/>
          <w:szCs w:val="17"/>
        </w:rPr>
        <w:tab/>
      </w:r>
      <w:r w:rsidR="006E1434" w:rsidRPr="001E6E9D">
        <w:rPr>
          <w:rFonts w:asciiTheme="minorHAnsi" w:eastAsia="Arial Unicode MS" w:hAnsiTheme="minorHAnsi" w:cstheme="minorHAnsi"/>
          <w:sz w:val="17"/>
          <w:szCs w:val="17"/>
        </w:rPr>
        <w:t>prestação pela Emissora e/ou pelas SPEs de garantias fidejussórias em benefício de terceiros, exceto no âmbito dos contratos de locação e os contratos de prestação de serviços de operação e manutenção, celebrados pelas SPEs e/ou pela Emissora, necessários para Projeto ou prestados no âmbito de Endividamentos Permitidos</w:t>
      </w:r>
      <w:r w:rsidR="008109DA" w:rsidRPr="001E6E9D">
        <w:rPr>
          <w:rFonts w:asciiTheme="minorHAnsi" w:eastAsia="Arial Unicode MS" w:hAnsiTheme="minorHAnsi" w:cstheme="minorHAnsi"/>
          <w:sz w:val="17"/>
          <w:szCs w:val="17"/>
        </w:rPr>
        <w:t>.</w:t>
      </w:r>
    </w:p>
    <w:p w14:paraId="34F13D15" w14:textId="6E05A61F" w:rsidR="0053704D" w:rsidRPr="001E6E9D" w:rsidRDefault="002030A4" w:rsidP="00DC7081">
      <w:pPr>
        <w:pStyle w:val="Ttulo4"/>
        <w:rPr>
          <w:rFonts w:asciiTheme="minorHAnsi" w:eastAsia="Times New Roman" w:hAnsiTheme="minorHAnsi"/>
          <w:b w:val="0"/>
          <w:i w:val="0"/>
          <w:sz w:val="17"/>
          <w:szCs w:val="17"/>
        </w:rPr>
      </w:pPr>
      <w:r w:rsidRPr="001E6E9D">
        <w:rPr>
          <w:rFonts w:asciiTheme="minorHAnsi" w:eastAsia="Times New Roman" w:hAnsiTheme="minorHAnsi"/>
          <w:b w:val="0"/>
          <w:bCs/>
          <w:i w:val="0"/>
          <w:sz w:val="17"/>
          <w:szCs w:val="17"/>
        </w:rPr>
        <w:t>s</w:t>
      </w:r>
      <w:r w:rsidR="0053704D" w:rsidRPr="001E6E9D">
        <w:rPr>
          <w:rFonts w:asciiTheme="minorHAnsi" w:eastAsia="Times New Roman" w:hAnsiTheme="minorHAnsi"/>
          <w:b w:val="0"/>
          <w:bCs/>
          <w:i w:val="0"/>
          <w:sz w:val="17"/>
          <w:szCs w:val="17"/>
        </w:rPr>
        <w:t>)</w:t>
      </w:r>
      <w:r w:rsidR="0053704D" w:rsidRPr="001E6E9D">
        <w:rPr>
          <w:rFonts w:asciiTheme="minorHAnsi" w:eastAsia="Times New Roman" w:hAnsiTheme="minorHAnsi"/>
          <w:b w:val="0"/>
          <w:bCs/>
          <w:i w:val="0"/>
          <w:sz w:val="17"/>
          <w:szCs w:val="17"/>
        </w:rPr>
        <w:tab/>
      </w:r>
      <w:r w:rsidR="0053704D" w:rsidRPr="001E6E9D">
        <w:rPr>
          <w:rFonts w:asciiTheme="minorHAnsi" w:eastAsia="Times New Roman" w:hAnsiTheme="minorHAnsi"/>
          <w:i w:val="0"/>
          <w:sz w:val="17"/>
          <w:szCs w:val="17"/>
        </w:rPr>
        <w:t>Conversibilidade em outros valores mobiliários</w:t>
      </w:r>
      <w:r w:rsidR="0053704D" w:rsidRPr="001E6E9D">
        <w:rPr>
          <w:rFonts w:asciiTheme="minorHAnsi" w:eastAsia="Times New Roman" w:hAnsiTheme="minorHAnsi"/>
          <w:bCs/>
          <w:i w:val="0"/>
          <w:sz w:val="17"/>
          <w:szCs w:val="17"/>
        </w:rPr>
        <w:t>:</w:t>
      </w:r>
      <w:r w:rsidR="0053704D" w:rsidRPr="001E6E9D">
        <w:rPr>
          <w:rFonts w:asciiTheme="minorHAnsi" w:eastAsia="Times New Roman" w:hAnsiTheme="minorHAnsi"/>
          <w:b w:val="0"/>
          <w:i w:val="0"/>
          <w:sz w:val="17"/>
          <w:szCs w:val="17"/>
        </w:rPr>
        <w:t xml:space="preserve"> as Debêntures não são conversíveis em outros valores mobiliários.</w:t>
      </w:r>
    </w:p>
    <w:p w14:paraId="25C1307D" w14:textId="46EADAE8" w:rsidR="0053704D" w:rsidRPr="001E6E9D" w:rsidRDefault="002030A4" w:rsidP="00DC7081">
      <w:pPr>
        <w:pStyle w:val="Ttulo4"/>
        <w:rPr>
          <w:rFonts w:asciiTheme="minorHAnsi" w:eastAsia="Times New Roman" w:hAnsiTheme="minorHAnsi"/>
          <w:b w:val="0"/>
          <w:i w:val="0"/>
          <w:sz w:val="17"/>
          <w:szCs w:val="17"/>
        </w:rPr>
      </w:pPr>
      <w:r w:rsidRPr="001E6E9D">
        <w:rPr>
          <w:rFonts w:asciiTheme="minorHAnsi" w:eastAsia="Times New Roman" w:hAnsiTheme="minorHAnsi"/>
          <w:b w:val="0"/>
          <w:bCs/>
          <w:i w:val="0"/>
          <w:sz w:val="17"/>
          <w:szCs w:val="17"/>
        </w:rPr>
        <w:t>t</w:t>
      </w:r>
      <w:r w:rsidR="0053704D" w:rsidRPr="001E6E9D">
        <w:rPr>
          <w:rFonts w:asciiTheme="minorHAnsi" w:eastAsia="Times New Roman" w:hAnsiTheme="minorHAnsi"/>
          <w:b w:val="0"/>
          <w:bCs/>
          <w:i w:val="0"/>
          <w:sz w:val="17"/>
          <w:szCs w:val="17"/>
        </w:rPr>
        <w:t>)</w:t>
      </w:r>
      <w:r w:rsidR="0053704D" w:rsidRPr="001E6E9D">
        <w:rPr>
          <w:rFonts w:asciiTheme="minorHAnsi" w:eastAsia="Times New Roman" w:hAnsiTheme="minorHAnsi"/>
          <w:b w:val="0"/>
          <w:bCs/>
          <w:i w:val="0"/>
          <w:sz w:val="17"/>
          <w:szCs w:val="17"/>
        </w:rPr>
        <w:tab/>
      </w:r>
      <w:r w:rsidR="0053704D" w:rsidRPr="001E6E9D">
        <w:rPr>
          <w:rFonts w:asciiTheme="minorHAnsi" w:eastAsia="Times New Roman" w:hAnsiTheme="minorHAnsi"/>
          <w:i w:val="0"/>
          <w:sz w:val="17"/>
          <w:szCs w:val="17"/>
        </w:rPr>
        <w:t>Agente fiduciário da Emissão</w:t>
      </w:r>
      <w:r w:rsidR="0053704D" w:rsidRPr="001E6E9D">
        <w:rPr>
          <w:rFonts w:asciiTheme="minorHAnsi" w:eastAsia="Times New Roman" w:hAnsiTheme="minorHAnsi"/>
          <w:bCs/>
          <w:i w:val="0"/>
          <w:sz w:val="17"/>
          <w:szCs w:val="17"/>
        </w:rPr>
        <w:t xml:space="preserve">: </w:t>
      </w:r>
      <w:r w:rsidR="0053704D" w:rsidRPr="001E6E9D">
        <w:rPr>
          <w:rFonts w:asciiTheme="minorHAnsi" w:eastAsia="Times New Roman" w:hAnsiTheme="minorHAnsi"/>
          <w:b w:val="0"/>
          <w:bCs/>
          <w:i w:val="0"/>
          <w:sz w:val="17"/>
          <w:szCs w:val="17"/>
        </w:rPr>
        <w:t xml:space="preserve">o Agente Fiduciário, </w:t>
      </w:r>
      <w:r w:rsidR="008109DA" w:rsidRPr="001E6E9D">
        <w:rPr>
          <w:rFonts w:asciiTheme="minorHAnsi" w:eastAsia="Times New Roman" w:hAnsiTheme="minorHAnsi"/>
          <w:b w:val="0"/>
          <w:bCs/>
          <w:i w:val="0"/>
          <w:sz w:val="17"/>
          <w:szCs w:val="17"/>
        </w:rPr>
        <w:t xml:space="preserve">conforme </w:t>
      </w:r>
      <w:r w:rsidR="0053704D" w:rsidRPr="001E6E9D">
        <w:rPr>
          <w:rFonts w:asciiTheme="minorHAnsi" w:eastAsia="Times New Roman" w:hAnsiTheme="minorHAnsi"/>
          <w:b w:val="0"/>
          <w:bCs/>
          <w:i w:val="0"/>
          <w:sz w:val="17"/>
          <w:szCs w:val="17"/>
        </w:rPr>
        <w:t>qualificado na capa deste Prospecto.</w:t>
      </w:r>
    </w:p>
    <w:p w14:paraId="57CD490E" w14:textId="77777777" w:rsidR="00E1606D" w:rsidRPr="001E6E9D" w:rsidRDefault="002030A4" w:rsidP="00DC7081">
      <w:pPr>
        <w:pStyle w:val="Ttulo4"/>
        <w:rPr>
          <w:rFonts w:asciiTheme="minorHAnsi" w:eastAsia="Times New Roman" w:hAnsiTheme="minorHAnsi"/>
          <w:b w:val="0"/>
          <w:bCs/>
          <w:i w:val="0"/>
          <w:sz w:val="17"/>
          <w:szCs w:val="17"/>
        </w:rPr>
      </w:pPr>
      <w:bookmarkStart w:id="76" w:name="_Ref182358662"/>
      <w:r w:rsidRPr="001E6E9D">
        <w:rPr>
          <w:rFonts w:asciiTheme="minorHAnsi" w:eastAsia="Times New Roman" w:hAnsiTheme="minorHAnsi"/>
          <w:b w:val="0"/>
          <w:bCs/>
          <w:i w:val="0"/>
          <w:sz w:val="17"/>
          <w:szCs w:val="17"/>
        </w:rPr>
        <w:t>u</w:t>
      </w:r>
      <w:r w:rsidR="0053704D" w:rsidRPr="001E6E9D">
        <w:rPr>
          <w:rFonts w:asciiTheme="minorHAnsi" w:eastAsia="Times New Roman" w:hAnsiTheme="minorHAnsi"/>
          <w:b w:val="0"/>
          <w:bCs/>
          <w:i w:val="0"/>
          <w:sz w:val="17"/>
          <w:szCs w:val="17"/>
        </w:rPr>
        <w:t>)</w:t>
      </w:r>
      <w:r w:rsidR="0053704D" w:rsidRPr="001E6E9D">
        <w:rPr>
          <w:rFonts w:asciiTheme="minorHAnsi" w:eastAsia="Times New Roman" w:hAnsiTheme="minorHAnsi"/>
          <w:b w:val="0"/>
          <w:bCs/>
          <w:i w:val="0"/>
          <w:sz w:val="17"/>
          <w:szCs w:val="17"/>
        </w:rPr>
        <w:tab/>
      </w:r>
      <w:r w:rsidR="0053704D" w:rsidRPr="001E6E9D">
        <w:rPr>
          <w:rFonts w:asciiTheme="minorHAnsi" w:eastAsia="Times New Roman" w:hAnsiTheme="minorHAnsi"/>
          <w:i w:val="0"/>
          <w:sz w:val="17"/>
          <w:szCs w:val="17"/>
        </w:rPr>
        <w:t>Outros direitos, vantagens e restrições</w:t>
      </w:r>
      <w:r w:rsidR="0053704D" w:rsidRPr="001E6E9D">
        <w:rPr>
          <w:rFonts w:asciiTheme="minorHAnsi" w:eastAsia="Times New Roman" w:hAnsiTheme="minorHAnsi"/>
          <w:bCs/>
          <w:i w:val="0"/>
          <w:sz w:val="17"/>
          <w:szCs w:val="17"/>
        </w:rPr>
        <w:t>:</w:t>
      </w:r>
      <w:r w:rsidR="0053704D" w:rsidRPr="001E6E9D">
        <w:rPr>
          <w:rFonts w:asciiTheme="minorHAnsi" w:eastAsia="Times New Roman" w:hAnsiTheme="minorHAnsi"/>
          <w:b w:val="0"/>
          <w:bCs/>
          <w:i w:val="0"/>
          <w:sz w:val="17"/>
          <w:szCs w:val="17"/>
        </w:rPr>
        <w:t xml:space="preserve"> para ma</w:t>
      </w:r>
      <w:bookmarkStart w:id="77" w:name="FIM_2_6"/>
      <w:bookmarkEnd w:id="77"/>
      <w:r w:rsidR="0053704D" w:rsidRPr="001E6E9D">
        <w:rPr>
          <w:rFonts w:asciiTheme="minorHAnsi" w:eastAsia="Times New Roman" w:hAnsiTheme="minorHAnsi"/>
          <w:b w:val="0"/>
          <w:bCs/>
          <w:i w:val="0"/>
          <w:sz w:val="17"/>
          <w:szCs w:val="17"/>
        </w:rPr>
        <w:t>is informações, vide Escritura de Emissão</w:t>
      </w:r>
      <w:r w:rsidRPr="001E6E9D">
        <w:rPr>
          <w:rFonts w:asciiTheme="minorHAnsi" w:eastAsia="Times New Roman" w:hAnsiTheme="minorHAnsi"/>
          <w:b w:val="0"/>
          <w:bCs/>
          <w:i w:val="0"/>
          <w:sz w:val="17"/>
          <w:szCs w:val="17"/>
        </w:rPr>
        <w:t>.</w:t>
      </w:r>
      <w:bookmarkEnd w:id="76"/>
    </w:p>
    <w:p w14:paraId="36542D65" w14:textId="77777777" w:rsidR="003468A1" w:rsidRPr="001E6E9D" w:rsidRDefault="0053704D" w:rsidP="00DC7081">
      <w:pPr>
        <w:pStyle w:val="Ttulo1"/>
        <w:rPr>
          <w:lang w:eastAsia="pt-BR"/>
        </w:rPr>
      </w:pPr>
      <w:bookmarkStart w:id="78" w:name="_Ref158844919"/>
      <w:bookmarkStart w:id="79" w:name="_Toc159073469"/>
      <w:bookmarkStart w:id="80" w:name="_Toc184129210"/>
      <w:r w:rsidRPr="001E6E9D">
        <w:rPr>
          <w:lang w:eastAsia="pt-BR"/>
        </w:rPr>
        <w:lastRenderedPageBreak/>
        <w:t>3.</w:t>
      </w:r>
      <w:r w:rsidR="00E1606D" w:rsidRPr="001E6E9D">
        <w:rPr>
          <w:lang w:eastAsia="pt-BR"/>
        </w:rPr>
        <w:t xml:space="preserve"> </w:t>
      </w:r>
      <w:r w:rsidRPr="001E6E9D">
        <w:rPr>
          <w:lang w:eastAsia="pt-BR"/>
        </w:rPr>
        <w:t>DESTINAÇÃO DE RECURSOS</w:t>
      </w:r>
      <w:bookmarkEnd w:id="78"/>
      <w:bookmarkEnd w:id="79"/>
      <w:bookmarkEnd w:id="80"/>
    </w:p>
    <w:p w14:paraId="565E4BA4" w14:textId="77777777" w:rsidR="003468A1" w:rsidRPr="001E6E9D" w:rsidRDefault="0053704D" w:rsidP="00DC7081">
      <w:pPr>
        <w:pStyle w:val="Ttulo2"/>
        <w:rPr>
          <w:rFonts w:eastAsiaTheme="majorEastAsia"/>
          <w:szCs w:val="16"/>
        </w:rPr>
      </w:pPr>
      <w:bookmarkStart w:id="81" w:name="_Ref158844920"/>
      <w:bookmarkStart w:id="82" w:name="_Toc159073470"/>
      <w:bookmarkStart w:id="83" w:name="_Toc184129211"/>
      <w:bookmarkStart w:id="84" w:name="_Hlk126169454"/>
      <w:bookmarkStart w:id="85" w:name="_Hlk126169545"/>
      <w:r w:rsidRPr="001E6E9D">
        <w:rPr>
          <w:rFonts w:eastAsiaTheme="majorEastAsia"/>
          <w:szCs w:val="16"/>
        </w:rPr>
        <w:t>3.1.</w:t>
      </w:r>
      <w:r w:rsidR="00E1606D" w:rsidRPr="001E6E9D">
        <w:rPr>
          <w:rFonts w:eastAsiaTheme="majorEastAsia"/>
          <w:szCs w:val="16"/>
        </w:rPr>
        <w:t xml:space="preserve"> </w:t>
      </w:r>
      <w:r w:rsidRPr="001E6E9D">
        <w:rPr>
          <w:rFonts w:eastAsiaTheme="majorEastAsia"/>
          <w:szCs w:val="16"/>
        </w:rPr>
        <w:t>Destinação</w:t>
      </w:r>
      <w:r w:rsidRPr="001E6E9D">
        <w:rPr>
          <w:szCs w:val="16"/>
        </w:rPr>
        <w:t xml:space="preserve"> dos Recursos e seu impacto na situação patrimonial e nos resultados da Emissora</w:t>
      </w:r>
      <w:bookmarkEnd w:id="81"/>
      <w:bookmarkEnd w:id="82"/>
      <w:bookmarkEnd w:id="83"/>
      <w:r w:rsidRPr="001E6E9D">
        <w:rPr>
          <w:rFonts w:eastAsiaTheme="majorEastAsia"/>
          <w:i/>
          <w:iCs/>
          <w:szCs w:val="16"/>
        </w:rPr>
        <w:t xml:space="preserve"> </w:t>
      </w:r>
    </w:p>
    <w:p w14:paraId="7A88A525" w14:textId="7B280F7F" w:rsidR="0053704D" w:rsidRPr="001E6E9D" w:rsidRDefault="00B56E18" w:rsidP="00DC7081">
      <w:pPr>
        <w:tabs>
          <w:tab w:val="left" w:pos="0"/>
        </w:tabs>
        <w:autoSpaceDE w:val="0"/>
        <w:autoSpaceDN w:val="0"/>
        <w:adjustRightInd w:val="0"/>
        <w:rPr>
          <w:rFonts w:asciiTheme="minorHAnsi" w:hAnsiTheme="minorHAnsi" w:cstheme="minorHAnsi"/>
          <w:szCs w:val="16"/>
        </w:rPr>
      </w:pPr>
      <w:bookmarkStart w:id="86" w:name="_Ref121954304"/>
      <w:r w:rsidRPr="001E6E9D">
        <w:rPr>
          <w:rFonts w:asciiTheme="minorHAnsi" w:hAnsiTheme="minorHAnsi" w:cstheme="minorHAnsi"/>
          <w:szCs w:val="16"/>
        </w:rPr>
        <w:t>Os recursos obtidos pela Emissora por meio da Oferta serão destinados, nos termos do artigo 2º, parágrafo 1º, da Lei 12.431, do Decreto 8.874 e da Resolução CMN 5.034, exclusivamente para (i) o pagamento de despesas e gastos futuros e/ou (ii) o reembolso de despesas e/ou gastos incorridos em um período igual ou inferior a 24 (vinte e quatro) meses anteriores a data de encerramento da Oferta; em ambos os casos relacionados ao projeto, conforme detalhado abaixo:</w:t>
      </w:r>
      <w:r w:rsidR="00F2087B" w:rsidRPr="001E6E9D">
        <w:rPr>
          <w:rFonts w:asciiTheme="minorHAnsi" w:hAnsiTheme="minorHAnsi" w:cstheme="minorHAnsi"/>
          <w:szCs w:val="16"/>
        </w:rPr>
        <w:t xml:space="preserve"> </w:t>
      </w:r>
      <w:bookmarkEnd w:id="86"/>
    </w:p>
    <w:p w14:paraId="09A99F64"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bookmarkStart w:id="87" w:name="_DV_M106"/>
      <w:bookmarkStart w:id="88" w:name="_DV_M113"/>
      <w:bookmarkStart w:id="89" w:name="_Ref121954446"/>
      <w:bookmarkEnd w:id="87"/>
      <w:bookmarkEnd w:id="88"/>
      <w:r w:rsidRPr="001E6E9D">
        <w:rPr>
          <w:rFonts w:asciiTheme="minorHAnsi" w:hAnsiTheme="minorHAnsi" w:cstheme="minorHAnsi"/>
          <w:b/>
          <w:szCs w:val="20"/>
        </w:rPr>
        <w:t>SPE 1</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6B73D6D8" w14:textId="77777777" w:rsidTr="003E09A8">
        <w:trPr>
          <w:tblHeader/>
          <w:jc w:val="center"/>
        </w:trPr>
        <w:tc>
          <w:tcPr>
            <w:tcW w:w="5000" w:type="pct"/>
            <w:gridSpan w:val="2"/>
            <w:shd w:val="clear" w:color="auto" w:fill="E7E6E6" w:themeFill="background2"/>
          </w:tcPr>
          <w:p w14:paraId="049F39AA" w14:textId="7799C797"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w:t>
            </w:r>
            <w:r w:rsidR="00C70398"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Jaíba</w:t>
            </w:r>
          </w:p>
        </w:tc>
      </w:tr>
      <w:tr w:rsidR="00F049D9" w:rsidRPr="001E6E9D" w14:paraId="4A59A7B1" w14:textId="77777777" w:rsidTr="003E09A8">
        <w:trPr>
          <w:jc w:val="center"/>
        </w:trPr>
        <w:tc>
          <w:tcPr>
            <w:tcW w:w="1865" w:type="pct"/>
            <w:shd w:val="clear" w:color="auto" w:fill="E7E6E6" w:themeFill="background2"/>
          </w:tcPr>
          <w:p w14:paraId="5605FD20"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3ECC9AC1"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UFV MG II EQUIPAMENTOS FOTOVOLTAICOS LTDA.</w:t>
            </w:r>
          </w:p>
        </w:tc>
      </w:tr>
      <w:tr w:rsidR="00F049D9" w:rsidRPr="001E6E9D" w14:paraId="2410775E" w14:textId="77777777" w:rsidTr="003E09A8">
        <w:trPr>
          <w:jc w:val="center"/>
        </w:trPr>
        <w:tc>
          <w:tcPr>
            <w:tcW w:w="1865" w:type="pct"/>
            <w:shd w:val="clear" w:color="auto" w:fill="E7E6E6" w:themeFill="background2"/>
          </w:tcPr>
          <w:p w14:paraId="6C831960"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7C715D2D"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Minas Gerais, voltada para o mercado de minigeração distribuída, possuindo capacidade instalada de 5227,2 MWp.</w:t>
            </w:r>
          </w:p>
        </w:tc>
      </w:tr>
      <w:tr w:rsidR="00F049D9" w:rsidRPr="001E6E9D" w14:paraId="6F7FC772" w14:textId="77777777" w:rsidTr="003E09A8">
        <w:trPr>
          <w:jc w:val="center"/>
        </w:trPr>
        <w:tc>
          <w:tcPr>
            <w:tcW w:w="1865" w:type="pct"/>
            <w:shd w:val="clear" w:color="auto" w:fill="E7E6E6" w:themeFill="background2"/>
          </w:tcPr>
          <w:p w14:paraId="26C019E8"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32AE9B1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56B7F68F" w14:textId="77777777" w:rsidTr="003E09A8">
        <w:trPr>
          <w:jc w:val="center"/>
        </w:trPr>
        <w:tc>
          <w:tcPr>
            <w:tcW w:w="1865" w:type="pct"/>
            <w:shd w:val="clear" w:color="auto" w:fill="E7E6E6" w:themeFill="background2"/>
          </w:tcPr>
          <w:p w14:paraId="14134C50" w14:textId="72ECCC50"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4363621E" w14:textId="59C1F2AD"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53639BA2" w14:textId="77777777" w:rsidTr="003E09A8">
        <w:trPr>
          <w:jc w:val="center"/>
        </w:trPr>
        <w:tc>
          <w:tcPr>
            <w:tcW w:w="1865" w:type="pct"/>
            <w:shd w:val="clear" w:color="auto" w:fill="E7E6E6" w:themeFill="background2"/>
          </w:tcPr>
          <w:p w14:paraId="6A7AA7BC"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7E81C4B0"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449CFE78" w14:textId="77777777" w:rsidTr="003E09A8">
        <w:trPr>
          <w:jc w:val="center"/>
        </w:trPr>
        <w:tc>
          <w:tcPr>
            <w:tcW w:w="1865" w:type="pct"/>
            <w:shd w:val="clear" w:color="auto" w:fill="E7E6E6" w:themeFill="background2"/>
          </w:tcPr>
          <w:p w14:paraId="2F566DE5"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21C2AE14"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3C1F121D" w14:textId="77777777" w:rsidTr="003E09A8">
        <w:trPr>
          <w:jc w:val="center"/>
        </w:trPr>
        <w:tc>
          <w:tcPr>
            <w:tcW w:w="1865" w:type="pct"/>
            <w:shd w:val="clear" w:color="auto" w:fill="E7E6E6" w:themeFill="background2"/>
          </w:tcPr>
          <w:p w14:paraId="55DB2D31" w14:textId="58B3C394"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54618458"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1C77CF98" w14:textId="77777777" w:rsidTr="003E09A8">
        <w:trPr>
          <w:jc w:val="center"/>
        </w:trPr>
        <w:tc>
          <w:tcPr>
            <w:tcW w:w="1865" w:type="pct"/>
            <w:shd w:val="clear" w:color="auto" w:fill="E7E6E6" w:themeFill="background2"/>
          </w:tcPr>
          <w:p w14:paraId="0F06BCD4"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1086BFC6"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Setembro de 2018</w:t>
            </w:r>
          </w:p>
        </w:tc>
      </w:tr>
      <w:tr w:rsidR="00F049D9" w:rsidRPr="001E6E9D" w14:paraId="54946B51" w14:textId="77777777" w:rsidTr="003E09A8">
        <w:trPr>
          <w:jc w:val="center"/>
        </w:trPr>
        <w:tc>
          <w:tcPr>
            <w:tcW w:w="1865" w:type="pct"/>
            <w:shd w:val="clear" w:color="auto" w:fill="E7E6E6" w:themeFill="background2"/>
          </w:tcPr>
          <w:p w14:paraId="3B63CAB1"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7E63C549"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01/02/2020</w:t>
            </w:r>
          </w:p>
        </w:tc>
      </w:tr>
      <w:tr w:rsidR="00F049D9" w:rsidRPr="001E6E9D" w14:paraId="3FC59F96" w14:textId="77777777" w:rsidTr="003E09A8">
        <w:trPr>
          <w:jc w:val="center"/>
        </w:trPr>
        <w:tc>
          <w:tcPr>
            <w:tcW w:w="1865" w:type="pct"/>
            <w:shd w:val="clear" w:color="auto" w:fill="E7E6E6" w:themeFill="background2"/>
          </w:tcPr>
          <w:p w14:paraId="5CE5EE8C"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7BFD4ED1"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15E0FF06" w14:textId="77777777" w:rsidTr="003E09A8">
        <w:trPr>
          <w:jc w:val="center"/>
        </w:trPr>
        <w:tc>
          <w:tcPr>
            <w:tcW w:w="1865" w:type="pct"/>
            <w:shd w:val="clear" w:color="auto" w:fill="E7E6E6" w:themeFill="background2"/>
          </w:tcPr>
          <w:p w14:paraId="1B881A7B" w14:textId="77777777" w:rsidR="00F049D9" w:rsidRPr="001E6E9D" w:rsidRDefault="00F049D9" w:rsidP="00C70398">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4F6CA41E" w14:textId="0087BAA8"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R$ 23.033.068,56 (vinte e três milhões, trinta e três mil, sessenta e oito reais e cinquenta e seis centavos).</w:t>
            </w:r>
            <w:r w:rsidRPr="001E6E9D" w:rsidDel="00EF3A79">
              <w:rPr>
                <w:rFonts w:asciiTheme="minorHAnsi" w:hAnsiTheme="minorHAnsi" w:cstheme="minorHAnsi"/>
                <w:sz w:val="16"/>
                <w:szCs w:val="16"/>
                <w14:ligatures w14:val="standardContextual"/>
              </w:rPr>
              <w:t xml:space="preserve"> </w:t>
            </w:r>
          </w:p>
        </w:tc>
      </w:tr>
      <w:tr w:rsidR="00F049D9" w:rsidRPr="001E6E9D" w14:paraId="1D08F4D8" w14:textId="77777777" w:rsidTr="003E09A8">
        <w:trPr>
          <w:jc w:val="center"/>
        </w:trPr>
        <w:tc>
          <w:tcPr>
            <w:tcW w:w="1865" w:type="pct"/>
            <w:shd w:val="clear" w:color="auto" w:fill="E7E6E6" w:themeFill="background2"/>
          </w:tcPr>
          <w:p w14:paraId="73A440C6" w14:textId="076C5F29"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C05150">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7F55E396" w14:textId="353ABAF8"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6AAE967B" w14:textId="77777777" w:rsidTr="003E09A8">
        <w:trPr>
          <w:trHeight w:val="376"/>
          <w:jc w:val="center"/>
        </w:trPr>
        <w:tc>
          <w:tcPr>
            <w:tcW w:w="1865" w:type="pct"/>
            <w:shd w:val="clear" w:color="auto" w:fill="E7E6E6" w:themeFill="background2"/>
          </w:tcPr>
          <w:p w14:paraId="7BA5C5FA"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21A8FAEA"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12% (doze por cento)</w:t>
            </w:r>
          </w:p>
        </w:tc>
      </w:tr>
    </w:tbl>
    <w:p w14:paraId="46CFE4B8" w14:textId="77777777" w:rsidR="00F049D9" w:rsidRPr="001E6E9D" w:rsidRDefault="00F049D9" w:rsidP="00A94FB3">
      <w:pPr>
        <w:spacing w:before="100" w:after="100"/>
        <w:rPr>
          <w:rFonts w:asciiTheme="minorHAnsi" w:hAnsiTheme="minorHAnsi" w:cstheme="minorHAnsi"/>
          <w:b/>
          <w:kern w:val="21"/>
          <w:sz w:val="16"/>
          <w:szCs w:val="16"/>
        </w:rPr>
      </w:pPr>
    </w:p>
    <w:p w14:paraId="3086403C" w14:textId="77777777" w:rsidR="00F049D9" w:rsidRPr="001E6E9D" w:rsidRDefault="00F049D9" w:rsidP="00C70398">
      <w:pPr>
        <w:pStyle w:val="PargrafodaLista"/>
        <w:keepNext/>
        <w:keepLines/>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lastRenderedPageBreak/>
        <w:t>SPE 2</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1BC855CE" w14:textId="77777777" w:rsidTr="003E09A8">
        <w:trPr>
          <w:tblHeader/>
          <w:jc w:val="center"/>
        </w:trPr>
        <w:tc>
          <w:tcPr>
            <w:tcW w:w="5000" w:type="pct"/>
            <w:gridSpan w:val="2"/>
            <w:shd w:val="clear" w:color="auto" w:fill="E7E6E6" w:themeFill="background2"/>
          </w:tcPr>
          <w:p w14:paraId="24E90DEF" w14:textId="17F9126F"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w:t>
            </w:r>
            <w:r w:rsidR="00C70398"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Janaúba</w:t>
            </w:r>
          </w:p>
        </w:tc>
      </w:tr>
      <w:tr w:rsidR="00F049D9" w:rsidRPr="001E6E9D" w14:paraId="29EC0869" w14:textId="77777777" w:rsidTr="003E09A8">
        <w:trPr>
          <w:jc w:val="center"/>
        </w:trPr>
        <w:tc>
          <w:tcPr>
            <w:tcW w:w="1865" w:type="pct"/>
            <w:shd w:val="clear" w:color="auto" w:fill="E7E6E6" w:themeFill="background2"/>
          </w:tcPr>
          <w:p w14:paraId="6F907A5A"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14B2C995"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UFV MG III EQUIPAMENTOS FOTOVOLTAICOS LTDA.</w:t>
            </w:r>
          </w:p>
        </w:tc>
      </w:tr>
      <w:tr w:rsidR="00F049D9" w:rsidRPr="001E6E9D" w14:paraId="00B20747" w14:textId="77777777" w:rsidTr="003E09A8">
        <w:trPr>
          <w:jc w:val="center"/>
        </w:trPr>
        <w:tc>
          <w:tcPr>
            <w:tcW w:w="1865" w:type="pct"/>
            <w:shd w:val="clear" w:color="auto" w:fill="E7E6E6" w:themeFill="background2"/>
          </w:tcPr>
          <w:p w14:paraId="5F0B6F39"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54B6B7B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Minas Gerais, voltada para o mercado de minigeração distribuída, possuindo capacidade instalada de 5038,8 MWp.</w:t>
            </w:r>
          </w:p>
        </w:tc>
      </w:tr>
      <w:tr w:rsidR="00F049D9" w:rsidRPr="001E6E9D" w14:paraId="321B3633" w14:textId="77777777" w:rsidTr="003E09A8">
        <w:trPr>
          <w:jc w:val="center"/>
        </w:trPr>
        <w:tc>
          <w:tcPr>
            <w:tcW w:w="1865" w:type="pct"/>
            <w:shd w:val="clear" w:color="auto" w:fill="E7E6E6" w:themeFill="background2"/>
          </w:tcPr>
          <w:p w14:paraId="48CDD994"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1C20D1BE"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704CB8C2" w14:textId="77777777" w:rsidTr="003E09A8">
        <w:trPr>
          <w:jc w:val="center"/>
        </w:trPr>
        <w:tc>
          <w:tcPr>
            <w:tcW w:w="1865" w:type="pct"/>
            <w:shd w:val="clear" w:color="auto" w:fill="E7E6E6" w:themeFill="background2"/>
          </w:tcPr>
          <w:p w14:paraId="58FB03A4" w14:textId="68B494BB"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30C77E80" w14:textId="7292E58B"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78C1C0A4" w14:textId="77777777" w:rsidTr="003E09A8">
        <w:trPr>
          <w:jc w:val="center"/>
        </w:trPr>
        <w:tc>
          <w:tcPr>
            <w:tcW w:w="1865" w:type="pct"/>
            <w:shd w:val="clear" w:color="auto" w:fill="E7E6E6" w:themeFill="background2"/>
          </w:tcPr>
          <w:p w14:paraId="4A58D686"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4D2AA9D2"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281940DE" w14:textId="77777777" w:rsidTr="003E09A8">
        <w:trPr>
          <w:jc w:val="center"/>
        </w:trPr>
        <w:tc>
          <w:tcPr>
            <w:tcW w:w="1865" w:type="pct"/>
            <w:shd w:val="clear" w:color="auto" w:fill="E7E6E6" w:themeFill="background2"/>
          </w:tcPr>
          <w:p w14:paraId="3C084E3C"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25AE3AFA"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6199E59A" w14:textId="77777777" w:rsidTr="003E09A8">
        <w:trPr>
          <w:jc w:val="center"/>
        </w:trPr>
        <w:tc>
          <w:tcPr>
            <w:tcW w:w="1865" w:type="pct"/>
            <w:shd w:val="clear" w:color="auto" w:fill="E7E6E6" w:themeFill="background2"/>
          </w:tcPr>
          <w:p w14:paraId="6BDA5964" w14:textId="7F4EC75C"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32A43BE1"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554E157E" w14:textId="77777777" w:rsidTr="003E09A8">
        <w:trPr>
          <w:jc w:val="center"/>
        </w:trPr>
        <w:tc>
          <w:tcPr>
            <w:tcW w:w="1865" w:type="pct"/>
            <w:shd w:val="clear" w:color="auto" w:fill="E7E6E6" w:themeFill="background2"/>
          </w:tcPr>
          <w:p w14:paraId="680A2DFE"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69935C70"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Dezembro de 2018</w:t>
            </w:r>
          </w:p>
        </w:tc>
      </w:tr>
      <w:tr w:rsidR="00F049D9" w:rsidRPr="001E6E9D" w14:paraId="7C0B1F17" w14:textId="77777777" w:rsidTr="003E09A8">
        <w:trPr>
          <w:jc w:val="center"/>
        </w:trPr>
        <w:tc>
          <w:tcPr>
            <w:tcW w:w="1865" w:type="pct"/>
            <w:shd w:val="clear" w:color="auto" w:fill="E7E6E6" w:themeFill="background2"/>
          </w:tcPr>
          <w:p w14:paraId="2F9B76B0"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7A2517B3"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01/06/2020</w:t>
            </w:r>
          </w:p>
        </w:tc>
      </w:tr>
      <w:tr w:rsidR="00F049D9" w:rsidRPr="001E6E9D" w14:paraId="31363B8E" w14:textId="77777777" w:rsidTr="003E09A8">
        <w:trPr>
          <w:jc w:val="center"/>
        </w:trPr>
        <w:tc>
          <w:tcPr>
            <w:tcW w:w="1865" w:type="pct"/>
            <w:shd w:val="clear" w:color="auto" w:fill="E7E6E6" w:themeFill="background2"/>
          </w:tcPr>
          <w:p w14:paraId="51B4B94E"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1D35BA3B"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17C8F716" w14:textId="77777777" w:rsidTr="003E09A8">
        <w:trPr>
          <w:jc w:val="center"/>
        </w:trPr>
        <w:tc>
          <w:tcPr>
            <w:tcW w:w="1865" w:type="pct"/>
            <w:shd w:val="clear" w:color="auto" w:fill="E7E6E6" w:themeFill="background2"/>
          </w:tcPr>
          <w:p w14:paraId="0897936D" w14:textId="77777777" w:rsidR="00F049D9" w:rsidRPr="001E6E9D" w:rsidRDefault="00F049D9" w:rsidP="00C70398">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39FF7219"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R$21.490.382,80 (vinte e um milhões, quatrocentos e noventa mil, trezentos e oitenta e dois reais e oitenta centavos).</w:t>
            </w:r>
          </w:p>
        </w:tc>
      </w:tr>
      <w:tr w:rsidR="00F049D9" w:rsidRPr="001E6E9D" w14:paraId="46CD2A2C" w14:textId="77777777" w:rsidTr="003E09A8">
        <w:trPr>
          <w:jc w:val="center"/>
        </w:trPr>
        <w:tc>
          <w:tcPr>
            <w:tcW w:w="1865" w:type="pct"/>
            <w:shd w:val="clear" w:color="auto" w:fill="E7E6E6" w:themeFill="background2"/>
          </w:tcPr>
          <w:p w14:paraId="13BBBDD8" w14:textId="0601FE4A"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C05150">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246EB973" w14:textId="29237E1B"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6EA178E3" w14:textId="77777777" w:rsidTr="003E09A8">
        <w:trPr>
          <w:trHeight w:val="376"/>
          <w:jc w:val="center"/>
        </w:trPr>
        <w:tc>
          <w:tcPr>
            <w:tcW w:w="1865" w:type="pct"/>
            <w:shd w:val="clear" w:color="auto" w:fill="E7E6E6" w:themeFill="background2"/>
          </w:tcPr>
          <w:p w14:paraId="47D7B911"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39E3AE46"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11% (onze por cento)</w:t>
            </w:r>
          </w:p>
        </w:tc>
      </w:tr>
    </w:tbl>
    <w:p w14:paraId="60826E89"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r w:rsidRPr="001E6E9D">
        <w:rPr>
          <w:rFonts w:asciiTheme="minorHAnsi" w:hAnsiTheme="minorHAnsi" w:cstheme="minorHAnsi"/>
          <w:b/>
          <w:sz w:val="16"/>
          <w:szCs w:val="16"/>
        </w:rPr>
        <w:t>SPE 3</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647068B5" w14:textId="77777777" w:rsidTr="003E09A8">
        <w:trPr>
          <w:tblHeader/>
          <w:jc w:val="center"/>
        </w:trPr>
        <w:tc>
          <w:tcPr>
            <w:tcW w:w="5000" w:type="pct"/>
            <w:gridSpan w:val="2"/>
            <w:shd w:val="clear" w:color="auto" w:fill="E7E6E6" w:themeFill="background2"/>
          </w:tcPr>
          <w:p w14:paraId="1081F3BE" w14:textId="72C62795"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3.</w:t>
            </w:r>
            <w:r w:rsidR="00C70398"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Olinda 1</w:t>
            </w:r>
          </w:p>
        </w:tc>
      </w:tr>
      <w:tr w:rsidR="00F049D9" w:rsidRPr="001E6E9D" w14:paraId="7E2E5FE6" w14:textId="77777777" w:rsidTr="003E09A8">
        <w:trPr>
          <w:jc w:val="center"/>
        </w:trPr>
        <w:tc>
          <w:tcPr>
            <w:tcW w:w="1865" w:type="pct"/>
            <w:shd w:val="clear" w:color="auto" w:fill="E7E6E6" w:themeFill="background2"/>
          </w:tcPr>
          <w:p w14:paraId="476DD9CB"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5C492C1E" w14:textId="3BDB1D9B"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OLINDA LOCAÇÃO E SOLUÇÕES EM ENERGIA SOLAR LTDA.</w:t>
            </w:r>
          </w:p>
        </w:tc>
      </w:tr>
      <w:tr w:rsidR="00F049D9" w:rsidRPr="001E6E9D" w14:paraId="1E7D1960" w14:textId="77777777" w:rsidTr="003E09A8">
        <w:trPr>
          <w:jc w:val="center"/>
        </w:trPr>
        <w:tc>
          <w:tcPr>
            <w:tcW w:w="1865" w:type="pct"/>
            <w:shd w:val="clear" w:color="auto" w:fill="E7E6E6" w:themeFill="background2"/>
          </w:tcPr>
          <w:p w14:paraId="5421F510"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35C3400E"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Pernambuco, voltada para o mercado de minigeração distribuída, possuindo capacidade instalada de 1834,56 MWp.</w:t>
            </w:r>
          </w:p>
        </w:tc>
      </w:tr>
      <w:tr w:rsidR="00F049D9" w:rsidRPr="001E6E9D" w14:paraId="6F188D15" w14:textId="77777777" w:rsidTr="003E09A8">
        <w:trPr>
          <w:jc w:val="center"/>
        </w:trPr>
        <w:tc>
          <w:tcPr>
            <w:tcW w:w="1865" w:type="pct"/>
            <w:shd w:val="clear" w:color="auto" w:fill="E7E6E6" w:themeFill="background2"/>
          </w:tcPr>
          <w:p w14:paraId="40434BDF"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70C2753D"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Possibilitar que os clientes da sociedade que implementará a usina fotovoltaica possam aderir ao Sistema de Compensação de Energia Elétrica (SCEE), por meio das modalidades de “autoconsumo remoto” e “geração compartilhada”, nos termos do </w:t>
            </w:r>
            <w:r w:rsidRPr="001E6E9D">
              <w:rPr>
                <w:rFonts w:asciiTheme="minorHAnsi" w:hAnsiTheme="minorHAnsi" w:cstheme="minorHAnsi"/>
                <w:sz w:val="16"/>
                <w:szCs w:val="16"/>
                <w14:ligatures w14:val="standardContextual"/>
              </w:rPr>
              <w:lastRenderedPageBreak/>
              <w:t>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2C33E67C" w14:textId="77777777" w:rsidTr="003E09A8">
        <w:trPr>
          <w:jc w:val="center"/>
        </w:trPr>
        <w:tc>
          <w:tcPr>
            <w:tcW w:w="1865" w:type="pct"/>
            <w:shd w:val="clear" w:color="auto" w:fill="E7E6E6" w:themeFill="background2"/>
          </w:tcPr>
          <w:p w14:paraId="1BE95C70" w14:textId="2A4AA832"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628BE743" w14:textId="3D5A2D63"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19ABA690" w14:textId="77777777" w:rsidTr="003E09A8">
        <w:trPr>
          <w:jc w:val="center"/>
        </w:trPr>
        <w:tc>
          <w:tcPr>
            <w:tcW w:w="1865" w:type="pct"/>
            <w:shd w:val="clear" w:color="auto" w:fill="E7E6E6" w:themeFill="background2"/>
          </w:tcPr>
          <w:p w14:paraId="5E1DE129"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3B53D1FD"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665313C6" w14:textId="77777777" w:rsidTr="003E09A8">
        <w:trPr>
          <w:jc w:val="center"/>
        </w:trPr>
        <w:tc>
          <w:tcPr>
            <w:tcW w:w="1865" w:type="pct"/>
            <w:shd w:val="clear" w:color="auto" w:fill="E7E6E6" w:themeFill="background2"/>
          </w:tcPr>
          <w:p w14:paraId="69219902"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48F7D27E"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1DED35FE" w14:textId="77777777" w:rsidTr="003E09A8">
        <w:trPr>
          <w:jc w:val="center"/>
        </w:trPr>
        <w:tc>
          <w:tcPr>
            <w:tcW w:w="1865" w:type="pct"/>
            <w:shd w:val="clear" w:color="auto" w:fill="E7E6E6" w:themeFill="background2"/>
          </w:tcPr>
          <w:p w14:paraId="1C2A7144" w14:textId="1C4FEFC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23480B7B"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036101C6" w14:textId="77777777" w:rsidTr="003E09A8">
        <w:trPr>
          <w:jc w:val="center"/>
        </w:trPr>
        <w:tc>
          <w:tcPr>
            <w:tcW w:w="1865" w:type="pct"/>
            <w:shd w:val="clear" w:color="auto" w:fill="E7E6E6" w:themeFill="background2"/>
          </w:tcPr>
          <w:p w14:paraId="303D0F9D"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318CD8AC"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Julho de 2018</w:t>
            </w:r>
          </w:p>
        </w:tc>
      </w:tr>
      <w:tr w:rsidR="00F049D9" w:rsidRPr="001E6E9D" w14:paraId="51C24030" w14:textId="77777777" w:rsidTr="003E09A8">
        <w:trPr>
          <w:jc w:val="center"/>
        </w:trPr>
        <w:tc>
          <w:tcPr>
            <w:tcW w:w="1865" w:type="pct"/>
            <w:shd w:val="clear" w:color="auto" w:fill="E7E6E6" w:themeFill="background2"/>
          </w:tcPr>
          <w:p w14:paraId="3B8DC0C0"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48286BF4"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17/01/2024</w:t>
            </w:r>
          </w:p>
        </w:tc>
      </w:tr>
      <w:tr w:rsidR="00F049D9" w:rsidRPr="001E6E9D" w14:paraId="73CAE9DB" w14:textId="77777777" w:rsidTr="003E09A8">
        <w:trPr>
          <w:jc w:val="center"/>
        </w:trPr>
        <w:tc>
          <w:tcPr>
            <w:tcW w:w="1865" w:type="pct"/>
            <w:shd w:val="clear" w:color="auto" w:fill="E7E6E6" w:themeFill="background2"/>
          </w:tcPr>
          <w:p w14:paraId="24255565"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4749C301"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165CF1FA" w14:textId="77777777" w:rsidTr="003E09A8">
        <w:trPr>
          <w:jc w:val="center"/>
        </w:trPr>
        <w:tc>
          <w:tcPr>
            <w:tcW w:w="1865" w:type="pct"/>
            <w:shd w:val="clear" w:color="auto" w:fill="E7E6E6" w:themeFill="background2"/>
          </w:tcPr>
          <w:p w14:paraId="4A7A775C" w14:textId="77777777" w:rsidR="00F049D9" w:rsidRPr="001E6E9D" w:rsidRDefault="00F049D9" w:rsidP="00C70398">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5741E78D"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R$13.050.059,69 (treze milhões, cinquenta mil, cinquenta e nove reais e sessenta e nove centavos).</w:t>
            </w:r>
          </w:p>
        </w:tc>
      </w:tr>
      <w:tr w:rsidR="00F049D9" w:rsidRPr="001E6E9D" w14:paraId="45500A27" w14:textId="77777777" w:rsidTr="003E09A8">
        <w:trPr>
          <w:jc w:val="center"/>
        </w:trPr>
        <w:tc>
          <w:tcPr>
            <w:tcW w:w="1865" w:type="pct"/>
            <w:shd w:val="clear" w:color="auto" w:fill="E7E6E6" w:themeFill="background2"/>
          </w:tcPr>
          <w:p w14:paraId="06BBD0ED" w14:textId="5A36DC3A"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C05150">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6E4AC40D" w14:textId="51A9AC9F"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7C4C4241" w14:textId="77777777" w:rsidTr="003E09A8">
        <w:trPr>
          <w:trHeight w:val="376"/>
          <w:jc w:val="center"/>
        </w:trPr>
        <w:tc>
          <w:tcPr>
            <w:tcW w:w="1865" w:type="pct"/>
            <w:shd w:val="clear" w:color="auto" w:fill="E7E6E6" w:themeFill="background2"/>
          </w:tcPr>
          <w:p w14:paraId="2AA25582"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30B71FD0"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7% (sete por cento)</w:t>
            </w:r>
          </w:p>
        </w:tc>
      </w:tr>
    </w:tbl>
    <w:p w14:paraId="747885B5"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1497DFAF" w14:textId="77777777" w:rsidTr="003E09A8">
        <w:trPr>
          <w:tblHeader/>
          <w:jc w:val="center"/>
        </w:trPr>
        <w:tc>
          <w:tcPr>
            <w:tcW w:w="5000" w:type="pct"/>
            <w:gridSpan w:val="2"/>
            <w:shd w:val="clear" w:color="auto" w:fill="E7E6E6" w:themeFill="background2"/>
          </w:tcPr>
          <w:p w14:paraId="4EAE6CFC" w14:textId="36E96721"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4.</w:t>
            </w:r>
            <w:r w:rsidR="00F049D9" w:rsidRPr="001E6E9D">
              <w:rPr>
                <w:rFonts w:asciiTheme="minorHAnsi" w:hAnsiTheme="minorHAnsi" w:cstheme="minorHAnsi"/>
                <w:b/>
                <w:sz w:val="16"/>
                <w:szCs w:val="16"/>
                <w14:ligatures w14:val="standardContextual"/>
              </w:rPr>
              <w:t>Projeto Ponta da Pedra 1</w:t>
            </w:r>
          </w:p>
        </w:tc>
      </w:tr>
      <w:tr w:rsidR="00F049D9" w:rsidRPr="001E6E9D" w14:paraId="449D2391" w14:textId="77777777" w:rsidTr="003E09A8">
        <w:trPr>
          <w:jc w:val="center"/>
        </w:trPr>
        <w:tc>
          <w:tcPr>
            <w:tcW w:w="1865" w:type="pct"/>
            <w:shd w:val="clear" w:color="auto" w:fill="E7E6E6" w:themeFill="background2"/>
          </w:tcPr>
          <w:p w14:paraId="216CF1C7"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6B84116B" w14:textId="478C07E8"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OLINDA LOCAÇÃO E SOLUÇÕES EM ENERGIA SOLAR LTDA.</w:t>
            </w:r>
          </w:p>
        </w:tc>
      </w:tr>
      <w:tr w:rsidR="00F049D9" w:rsidRPr="001E6E9D" w14:paraId="4685BFE3" w14:textId="77777777" w:rsidTr="003E09A8">
        <w:trPr>
          <w:jc w:val="center"/>
        </w:trPr>
        <w:tc>
          <w:tcPr>
            <w:tcW w:w="1865" w:type="pct"/>
            <w:shd w:val="clear" w:color="auto" w:fill="E7E6E6" w:themeFill="background2"/>
          </w:tcPr>
          <w:p w14:paraId="5B6A4884"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176CDDCD"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Pernambuco, voltada para o mercado de minigeração distribuída, possuindo capacidade instalada de 1339,8 MWp.</w:t>
            </w:r>
          </w:p>
        </w:tc>
      </w:tr>
      <w:tr w:rsidR="00F049D9" w:rsidRPr="001E6E9D" w14:paraId="15F659F4" w14:textId="77777777" w:rsidTr="003E09A8">
        <w:trPr>
          <w:jc w:val="center"/>
        </w:trPr>
        <w:tc>
          <w:tcPr>
            <w:tcW w:w="1865" w:type="pct"/>
            <w:shd w:val="clear" w:color="auto" w:fill="E7E6E6" w:themeFill="background2"/>
          </w:tcPr>
          <w:p w14:paraId="141F4D12" w14:textId="77777777" w:rsidR="00F049D9" w:rsidRPr="001E6E9D" w:rsidRDefault="00F049D9" w:rsidP="00C70398">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0FDC6AB5"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09FBBA88" w14:textId="77777777" w:rsidTr="003E09A8">
        <w:trPr>
          <w:jc w:val="center"/>
        </w:trPr>
        <w:tc>
          <w:tcPr>
            <w:tcW w:w="1865" w:type="pct"/>
            <w:shd w:val="clear" w:color="auto" w:fill="E7E6E6" w:themeFill="background2"/>
          </w:tcPr>
          <w:p w14:paraId="26E5A1F6" w14:textId="14228C44" w:rsidR="00F049D9" w:rsidRPr="001E6E9D" w:rsidRDefault="00F049D9" w:rsidP="00C05150">
            <w:pPr>
              <w:keepNext/>
              <w:keepLines/>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5283164F" w14:textId="65009530" w:rsidR="00F049D9" w:rsidRPr="001E6E9D" w:rsidRDefault="00F049D9" w:rsidP="00C0515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0BE394BE" w14:textId="77777777" w:rsidTr="003E09A8">
        <w:trPr>
          <w:jc w:val="center"/>
        </w:trPr>
        <w:tc>
          <w:tcPr>
            <w:tcW w:w="1865" w:type="pct"/>
            <w:shd w:val="clear" w:color="auto" w:fill="E7E6E6" w:themeFill="background2"/>
          </w:tcPr>
          <w:p w14:paraId="192FA11D" w14:textId="77777777" w:rsidR="00F049D9" w:rsidRPr="001E6E9D" w:rsidRDefault="00F049D9" w:rsidP="00C0515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5344A7BB" w14:textId="77777777" w:rsidR="00F049D9" w:rsidRPr="001E6E9D" w:rsidRDefault="00F049D9" w:rsidP="00C0515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35E14C70" w14:textId="77777777" w:rsidTr="003E09A8">
        <w:trPr>
          <w:jc w:val="center"/>
        </w:trPr>
        <w:tc>
          <w:tcPr>
            <w:tcW w:w="1865" w:type="pct"/>
            <w:shd w:val="clear" w:color="auto" w:fill="E7E6E6" w:themeFill="background2"/>
          </w:tcPr>
          <w:p w14:paraId="34CDEE67" w14:textId="77777777" w:rsidR="00F049D9" w:rsidRPr="001E6E9D" w:rsidRDefault="00F049D9" w:rsidP="00C0515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B3FB3CB" w14:textId="77777777" w:rsidR="00F049D9" w:rsidRPr="001E6E9D" w:rsidRDefault="00F049D9" w:rsidP="00C0515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08724A21" w14:textId="77777777" w:rsidTr="003E09A8">
        <w:trPr>
          <w:jc w:val="center"/>
        </w:trPr>
        <w:tc>
          <w:tcPr>
            <w:tcW w:w="1865" w:type="pct"/>
            <w:shd w:val="clear" w:color="auto" w:fill="E7E6E6" w:themeFill="background2"/>
          </w:tcPr>
          <w:p w14:paraId="1F3E286D" w14:textId="1D620EC1" w:rsidR="00F049D9" w:rsidRPr="001E6E9D" w:rsidRDefault="00F049D9" w:rsidP="00C0515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2EA198DE" w14:textId="77777777" w:rsidR="00F049D9" w:rsidRPr="001E6E9D" w:rsidRDefault="00F049D9" w:rsidP="00C05150">
            <w:pPr>
              <w:widowControl w:val="0"/>
              <w:tabs>
                <w:tab w:val="left" w:pos="1418"/>
                <w:tab w:val="left" w:pos="2366"/>
              </w:tabs>
              <w:spacing w:before="90" w:after="9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58D1E295" w14:textId="77777777" w:rsidTr="003E09A8">
        <w:trPr>
          <w:jc w:val="center"/>
        </w:trPr>
        <w:tc>
          <w:tcPr>
            <w:tcW w:w="1865" w:type="pct"/>
            <w:shd w:val="clear" w:color="auto" w:fill="E7E6E6" w:themeFill="background2"/>
          </w:tcPr>
          <w:p w14:paraId="2392806C" w14:textId="77777777" w:rsidR="00F049D9" w:rsidRPr="001E6E9D" w:rsidRDefault="00F049D9" w:rsidP="00C0515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46557E0F" w14:textId="77777777" w:rsidR="00F049D9" w:rsidRPr="001E6E9D" w:rsidRDefault="00F049D9" w:rsidP="00C05150">
            <w:pPr>
              <w:widowControl w:val="0"/>
              <w:tabs>
                <w:tab w:val="left" w:pos="1418"/>
                <w:tab w:val="left" w:pos="2366"/>
              </w:tabs>
              <w:spacing w:before="90" w:after="9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Julho de 2019</w:t>
            </w:r>
          </w:p>
        </w:tc>
      </w:tr>
      <w:tr w:rsidR="00F049D9" w:rsidRPr="001E6E9D" w14:paraId="1BD430F8" w14:textId="77777777" w:rsidTr="003E09A8">
        <w:trPr>
          <w:jc w:val="center"/>
        </w:trPr>
        <w:tc>
          <w:tcPr>
            <w:tcW w:w="1865" w:type="pct"/>
            <w:shd w:val="clear" w:color="auto" w:fill="E7E6E6" w:themeFill="background2"/>
          </w:tcPr>
          <w:p w14:paraId="06EE65DE" w14:textId="77777777" w:rsidR="00F049D9" w:rsidRPr="001E6E9D" w:rsidRDefault="00F049D9" w:rsidP="00C0515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02C6B32B" w14:textId="77777777" w:rsidR="00F049D9" w:rsidRPr="001E6E9D" w:rsidRDefault="00F049D9" w:rsidP="00C0515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07/06/2021</w:t>
            </w:r>
          </w:p>
        </w:tc>
      </w:tr>
      <w:tr w:rsidR="00F049D9" w:rsidRPr="001E6E9D" w14:paraId="02337592" w14:textId="77777777" w:rsidTr="003E09A8">
        <w:trPr>
          <w:jc w:val="center"/>
        </w:trPr>
        <w:tc>
          <w:tcPr>
            <w:tcW w:w="1865" w:type="pct"/>
            <w:shd w:val="clear" w:color="auto" w:fill="E7E6E6" w:themeFill="background2"/>
          </w:tcPr>
          <w:p w14:paraId="3667645A" w14:textId="77777777" w:rsidR="00F049D9" w:rsidRPr="001E6E9D" w:rsidRDefault="00F049D9" w:rsidP="00C0515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37819B66" w14:textId="77777777" w:rsidR="00F049D9" w:rsidRPr="001E6E9D" w:rsidRDefault="00F049D9" w:rsidP="00C0515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4F83CE00" w14:textId="77777777" w:rsidTr="003E09A8">
        <w:trPr>
          <w:jc w:val="center"/>
        </w:trPr>
        <w:tc>
          <w:tcPr>
            <w:tcW w:w="1865" w:type="pct"/>
            <w:shd w:val="clear" w:color="auto" w:fill="E7E6E6" w:themeFill="background2"/>
          </w:tcPr>
          <w:p w14:paraId="0B320988" w14:textId="77777777" w:rsidR="00F049D9" w:rsidRPr="001E6E9D" w:rsidRDefault="00F049D9" w:rsidP="00C05150">
            <w:pPr>
              <w:widowControl w:val="0"/>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19A44F52" w14:textId="77777777" w:rsidR="00F049D9" w:rsidRPr="001E6E9D" w:rsidRDefault="00F049D9" w:rsidP="00C05150">
            <w:pPr>
              <w:widowControl w:val="0"/>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R$5.000.867,83 (cinco milhões, oitocentos e sessenta e sete reais e oitenta e três centavos).</w:t>
            </w:r>
          </w:p>
        </w:tc>
      </w:tr>
      <w:tr w:rsidR="00F049D9" w:rsidRPr="001E6E9D" w14:paraId="183700B4" w14:textId="77777777" w:rsidTr="003E09A8">
        <w:trPr>
          <w:jc w:val="center"/>
        </w:trPr>
        <w:tc>
          <w:tcPr>
            <w:tcW w:w="1865" w:type="pct"/>
            <w:shd w:val="clear" w:color="auto" w:fill="E7E6E6" w:themeFill="background2"/>
          </w:tcPr>
          <w:p w14:paraId="0E82C310" w14:textId="12EC6877" w:rsidR="00F049D9" w:rsidRPr="001E6E9D" w:rsidRDefault="00F049D9" w:rsidP="00C0515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C05150">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4981EB91" w14:textId="75502F4B" w:rsidR="00F049D9" w:rsidRPr="001E6E9D" w:rsidRDefault="00F049D9" w:rsidP="00C0515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67C240DD" w14:textId="77777777" w:rsidTr="003E09A8">
        <w:trPr>
          <w:trHeight w:val="376"/>
          <w:jc w:val="center"/>
        </w:trPr>
        <w:tc>
          <w:tcPr>
            <w:tcW w:w="1865" w:type="pct"/>
            <w:shd w:val="clear" w:color="auto" w:fill="E7E6E6" w:themeFill="background2"/>
          </w:tcPr>
          <w:p w14:paraId="1122C9DE" w14:textId="77777777" w:rsidR="00F049D9" w:rsidRPr="001E6E9D" w:rsidRDefault="00F049D9" w:rsidP="00C0515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7EA70045" w14:textId="77777777" w:rsidR="00F049D9" w:rsidRPr="001E6E9D" w:rsidRDefault="00F049D9" w:rsidP="00C05150">
            <w:pPr>
              <w:widowControl w:val="0"/>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00E42B53"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t>SPE 4</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3498A528" w14:textId="77777777" w:rsidTr="003E09A8">
        <w:trPr>
          <w:tblHeader/>
          <w:jc w:val="center"/>
        </w:trPr>
        <w:tc>
          <w:tcPr>
            <w:tcW w:w="5000" w:type="pct"/>
            <w:gridSpan w:val="2"/>
            <w:shd w:val="clear" w:color="auto" w:fill="E7E6E6" w:themeFill="background2"/>
          </w:tcPr>
          <w:p w14:paraId="6AD626BA" w14:textId="25094B69" w:rsidR="00F049D9" w:rsidRPr="001E6E9D" w:rsidRDefault="00305A23" w:rsidP="00FA2FC0">
            <w:pPr>
              <w:widowControl w:val="0"/>
              <w:tabs>
                <w:tab w:val="left" w:pos="787"/>
                <w:tab w:val="left" w:pos="2366"/>
                <w:tab w:val="left" w:pos="3600"/>
              </w:tabs>
              <w:autoSpaceDE w:val="0"/>
              <w:autoSpaceDN w:val="0"/>
              <w:adjustRightInd w:val="0"/>
              <w:spacing w:before="80" w:after="8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5.</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Rio do Fogo 2</w:t>
            </w:r>
          </w:p>
        </w:tc>
      </w:tr>
      <w:tr w:rsidR="00F049D9" w:rsidRPr="001E6E9D" w14:paraId="2BD54927" w14:textId="77777777" w:rsidTr="003E09A8">
        <w:trPr>
          <w:jc w:val="center"/>
        </w:trPr>
        <w:tc>
          <w:tcPr>
            <w:tcW w:w="1865" w:type="pct"/>
            <w:shd w:val="clear" w:color="auto" w:fill="E7E6E6" w:themeFill="background2"/>
          </w:tcPr>
          <w:p w14:paraId="5F04C579"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551899E8" w14:textId="77777777"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PRAIA DO FUTURO LOCACAO E SOLUCOES EM ENERGIA SOLAR LTDA.</w:t>
            </w:r>
          </w:p>
        </w:tc>
      </w:tr>
      <w:tr w:rsidR="00F049D9" w:rsidRPr="001E6E9D" w14:paraId="21788ED2" w14:textId="77777777" w:rsidTr="003E09A8">
        <w:trPr>
          <w:jc w:val="center"/>
        </w:trPr>
        <w:tc>
          <w:tcPr>
            <w:tcW w:w="1865" w:type="pct"/>
            <w:shd w:val="clear" w:color="auto" w:fill="E7E6E6" w:themeFill="background2"/>
          </w:tcPr>
          <w:p w14:paraId="306417EA"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0AF62F12" w14:textId="77777777"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Tocantins, voltada para o mercado de minigeração distribuída, possuindo capacidade instalada de 1263,6 MWp.</w:t>
            </w:r>
          </w:p>
        </w:tc>
      </w:tr>
      <w:tr w:rsidR="00F049D9" w:rsidRPr="001E6E9D" w14:paraId="4A1DE3AF" w14:textId="77777777" w:rsidTr="003E09A8">
        <w:trPr>
          <w:jc w:val="center"/>
        </w:trPr>
        <w:tc>
          <w:tcPr>
            <w:tcW w:w="1865" w:type="pct"/>
            <w:shd w:val="clear" w:color="auto" w:fill="E7E6E6" w:themeFill="background2"/>
          </w:tcPr>
          <w:p w14:paraId="290BDA7E"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46C9E333" w14:textId="77777777"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4A9486A8" w14:textId="77777777" w:rsidTr="003E09A8">
        <w:trPr>
          <w:jc w:val="center"/>
        </w:trPr>
        <w:tc>
          <w:tcPr>
            <w:tcW w:w="1865" w:type="pct"/>
            <w:shd w:val="clear" w:color="auto" w:fill="E7E6E6" w:themeFill="background2"/>
          </w:tcPr>
          <w:p w14:paraId="77B48757" w14:textId="7B141311"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63B8FB7B" w14:textId="65B44282" w:rsidR="00F049D9" w:rsidRPr="001E6E9D" w:rsidRDefault="00F049D9" w:rsidP="00FA2FC0">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2E1D8A2D" w14:textId="77777777" w:rsidTr="003E09A8">
        <w:trPr>
          <w:jc w:val="center"/>
        </w:trPr>
        <w:tc>
          <w:tcPr>
            <w:tcW w:w="1865" w:type="pct"/>
            <w:shd w:val="clear" w:color="auto" w:fill="E7E6E6" w:themeFill="background2"/>
          </w:tcPr>
          <w:p w14:paraId="3EFEC73A"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4F2DE100" w14:textId="77777777" w:rsidR="00F049D9" w:rsidRPr="001E6E9D" w:rsidRDefault="00F049D9" w:rsidP="00FA2FC0">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146D3389" w14:textId="77777777" w:rsidTr="003E09A8">
        <w:trPr>
          <w:jc w:val="center"/>
        </w:trPr>
        <w:tc>
          <w:tcPr>
            <w:tcW w:w="1865" w:type="pct"/>
            <w:shd w:val="clear" w:color="auto" w:fill="E7E6E6" w:themeFill="background2"/>
          </w:tcPr>
          <w:p w14:paraId="3E4ABDA2"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459CF29" w14:textId="77777777"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28459924" w14:textId="77777777" w:rsidTr="003E09A8">
        <w:trPr>
          <w:jc w:val="center"/>
        </w:trPr>
        <w:tc>
          <w:tcPr>
            <w:tcW w:w="1865" w:type="pct"/>
            <w:shd w:val="clear" w:color="auto" w:fill="E7E6E6" w:themeFill="background2"/>
          </w:tcPr>
          <w:p w14:paraId="3C5EC7DE" w14:textId="60B1FDA4"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1B2652DD"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1383A751" w14:textId="77777777" w:rsidTr="003E09A8">
        <w:trPr>
          <w:jc w:val="center"/>
        </w:trPr>
        <w:tc>
          <w:tcPr>
            <w:tcW w:w="1865" w:type="pct"/>
            <w:shd w:val="clear" w:color="auto" w:fill="E7E6E6" w:themeFill="background2"/>
          </w:tcPr>
          <w:p w14:paraId="1110BE0B"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4A5755CE"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Fevereiro de 2022</w:t>
            </w:r>
          </w:p>
        </w:tc>
      </w:tr>
      <w:tr w:rsidR="00F049D9" w:rsidRPr="001E6E9D" w14:paraId="25A668E2" w14:textId="77777777" w:rsidTr="003E09A8">
        <w:trPr>
          <w:jc w:val="center"/>
        </w:trPr>
        <w:tc>
          <w:tcPr>
            <w:tcW w:w="1865" w:type="pct"/>
            <w:shd w:val="clear" w:color="auto" w:fill="E7E6E6" w:themeFill="background2"/>
          </w:tcPr>
          <w:p w14:paraId="3CB67BFC"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3FBF36CF"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17/05/2024</w:t>
            </w:r>
          </w:p>
        </w:tc>
      </w:tr>
      <w:tr w:rsidR="00F049D9" w:rsidRPr="001E6E9D" w14:paraId="342B3641" w14:textId="77777777" w:rsidTr="003E09A8">
        <w:trPr>
          <w:jc w:val="center"/>
        </w:trPr>
        <w:tc>
          <w:tcPr>
            <w:tcW w:w="1865" w:type="pct"/>
            <w:shd w:val="clear" w:color="auto" w:fill="E7E6E6" w:themeFill="background2"/>
          </w:tcPr>
          <w:p w14:paraId="7C127D17"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6C55D72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2657DEB7" w14:textId="77777777" w:rsidTr="003E09A8">
        <w:trPr>
          <w:jc w:val="center"/>
        </w:trPr>
        <w:tc>
          <w:tcPr>
            <w:tcW w:w="1865" w:type="pct"/>
            <w:shd w:val="clear" w:color="auto" w:fill="E7E6E6" w:themeFill="background2"/>
          </w:tcPr>
          <w:p w14:paraId="78CD1BAD" w14:textId="77777777" w:rsidR="00F049D9" w:rsidRPr="001E6E9D" w:rsidRDefault="00F049D9" w:rsidP="00FA2FC0">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6FABA14C"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R$8.663.148,68 (oito milhões, seiscentos e sessenta e três mil, cento e quarenta e oito reais e sessenta e oito centavos).</w:t>
            </w:r>
          </w:p>
        </w:tc>
      </w:tr>
      <w:tr w:rsidR="00F049D9" w:rsidRPr="001E6E9D" w14:paraId="5AE4C3E0" w14:textId="77777777" w:rsidTr="003E09A8">
        <w:trPr>
          <w:jc w:val="center"/>
        </w:trPr>
        <w:tc>
          <w:tcPr>
            <w:tcW w:w="1865" w:type="pct"/>
            <w:shd w:val="clear" w:color="auto" w:fill="E7E6E6" w:themeFill="background2"/>
          </w:tcPr>
          <w:p w14:paraId="1407E0EF" w14:textId="1EF89B30"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C05150">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0D4CEB1F" w14:textId="203340CA"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2F423B24" w14:textId="77777777" w:rsidTr="003E09A8">
        <w:trPr>
          <w:trHeight w:val="376"/>
          <w:jc w:val="center"/>
        </w:trPr>
        <w:tc>
          <w:tcPr>
            <w:tcW w:w="1865" w:type="pct"/>
            <w:shd w:val="clear" w:color="auto" w:fill="E7E6E6" w:themeFill="background2"/>
          </w:tcPr>
          <w:p w14:paraId="153B4A62"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1EA15B8F"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4% (quatro por cento)</w:t>
            </w:r>
          </w:p>
        </w:tc>
      </w:tr>
    </w:tbl>
    <w:p w14:paraId="55C522B9"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t>SPE 5</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55DAA8FA" w14:textId="77777777" w:rsidTr="003E09A8">
        <w:trPr>
          <w:tblHeader/>
          <w:jc w:val="center"/>
        </w:trPr>
        <w:tc>
          <w:tcPr>
            <w:tcW w:w="5000" w:type="pct"/>
            <w:gridSpan w:val="2"/>
            <w:shd w:val="clear" w:color="auto" w:fill="E7E6E6" w:themeFill="background2"/>
          </w:tcPr>
          <w:p w14:paraId="41683589" w14:textId="154FBC66"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6.</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Ponta do Céu</w:t>
            </w:r>
          </w:p>
        </w:tc>
      </w:tr>
      <w:tr w:rsidR="00F049D9" w:rsidRPr="001E6E9D" w14:paraId="4166E9E2" w14:textId="77777777" w:rsidTr="003E09A8">
        <w:trPr>
          <w:jc w:val="center"/>
        </w:trPr>
        <w:tc>
          <w:tcPr>
            <w:tcW w:w="1865" w:type="pct"/>
            <w:shd w:val="clear" w:color="auto" w:fill="E7E6E6" w:themeFill="background2"/>
          </w:tcPr>
          <w:p w14:paraId="4091615A"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24508E11" w14:textId="4F685D3A"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TRINDADE LOCAÇÃO E SOLUÇÕES EM ENERGIA SOLAR LTDA.</w:t>
            </w:r>
          </w:p>
        </w:tc>
      </w:tr>
      <w:tr w:rsidR="00F049D9" w:rsidRPr="001E6E9D" w14:paraId="5B3B769C" w14:textId="77777777" w:rsidTr="003E09A8">
        <w:trPr>
          <w:jc w:val="center"/>
        </w:trPr>
        <w:tc>
          <w:tcPr>
            <w:tcW w:w="1865" w:type="pct"/>
            <w:shd w:val="clear" w:color="auto" w:fill="E7E6E6" w:themeFill="background2"/>
          </w:tcPr>
          <w:p w14:paraId="2427566D"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142B467A"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Distrito Federal, voltada para o mercado de minigeração distribuída, possuindo capacidade instalada de 1187,26 MWp.</w:t>
            </w:r>
          </w:p>
        </w:tc>
      </w:tr>
      <w:tr w:rsidR="00F049D9" w:rsidRPr="001E6E9D" w14:paraId="001B3F43" w14:textId="77777777" w:rsidTr="003E09A8">
        <w:trPr>
          <w:jc w:val="center"/>
        </w:trPr>
        <w:tc>
          <w:tcPr>
            <w:tcW w:w="1865" w:type="pct"/>
            <w:shd w:val="clear" w:color="auto" w:fill="E7E6E6" w:themeFill="background2"/>
          </w:tcPr>
          <w:p w14:paraId="134212AB"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68D2F559"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186E85F8" w14:textId="77777777" w:rsidTr="003E09A8">
        <w:trPr>
          <w:jc w:val="center"/>
        </w:trPr>
        <w:tc>
          <w:tcPr>
            <w:tcW w:w="1865" w:type="pct"/>
            <w:shd w:val="clear" w:color="auto" w:fill="E7E6E6" w:themeFill="background2"/>
          </w:tcPr>
          <w:p w14:paraId="30569E58" w14:textId="695AA1B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060567DF" w14:textId="47564568"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3EC3D983" w14:textId="77777777" w:rsidTr="003E09A8">
        <w:trPr>
          <w:jc w:val="center"/>
        </w:trPr>
        <w:tc>
          <w:tcPr>
            <w:tcW w:w="1865" w:type="pct"/>
            <w:shd w:val="clear" w:color="auto" w:fill="E7E6E6" w:themeFill="background2"/>
          </w:tcPr>
          <w:p w14:paraId="63163829"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66755828"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4F75BE44" w14:textId="77777777" w:rsidTr="003E09A8">
        <w:trPr>
          <w:jc w:val="center"/>
        </w:trPr>
        <w:tc>
          <w:tcPr>
            <w:tcW w:w="1865" w:type="pct"/>
            <w:shd w:val="clear" w:color="auto" w:fill="E7E6E6" w:themeFill="background2"/>
          </w:tcPr>
          <w:p w14:paraId="7A7C4E67"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0DD8C121"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06CA74A6" w14:textId="77777777" w:rsidTr="003E09A8">
        <w:trPr>
          <w:jc w:val="center"/>
        </w:trPr>
        <w:tc>
          <w:tcPr>
            <w:tcW w:w="1865" w:type="pct"/>
            <w:shd w:val="clear" w:color="auto" w:fill="E7E6E6" w:themeFill="background2"/>
          </w:tcPr>
          <w:p w14:paraId="73112824" w14:textId="37B5DDD3"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743DED6D"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7D2F674F" w14:textId="77777777" w:rsidTr="003E09A8">
        <w:trPr>
          <w:jc w:val="center"/>
        </w:trPr>
        <w:tc>
          <w:tcPr>
            <w:tcW w:w="1865" w:type="pct"/>
            <w:shd w:val="clear" w:color="auto" w:fill="E7E6E6" w:themeFill="background2"/>
          </w:tcPr>
          <w:p w14:paraId="1FE9B622"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63FD082C"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Julho de 2019</w:t>
            </w:r>
          </w:p>
        </w:tc>
      </w:tr>
      <w:tr w:rsidR="00F049D9" w:rsidRPr="001E6E9D" w14:paraId="04DDF8F7" w14:textId="77777777" w:rsidTr="003E09A8">
        <w:trPr>
          <w:jc w:val="center"/>
        </w:trPr>
        <w:tc>
          <w:tcPr>
            <w:tcW w:w="1865" w:type="pct"/>
            <w:shd w:val="clear" w:color="auto" w:fill="E7E6E6" w:themeFill="background2"/>
          </w:tcPr>
          <w:p w14:paraId="1E9B2E0C"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42424F03"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15/07/2021</w:t>
            </w:r>
          </w:p>
        </w:tc>
      </w:tr>
      <w:tr w:rsidR="00F049D9" w:rsidRPr="001E6E9D" w14:paraId="44E60864" w14:textId="77777777" w:rsidTr="003E09A8">
        <w:trPr>
          <w:jc w:val="center"/>
        </w:trPr>
        <w:tc>
          <w:tcPr>
            <w:tcW w:w="1865" w:type="pct"/>
            <w:shd w:val="clear" w:color="auto" w:fill="E7E6E6" w:themeFill="background2"/>
          </w:tcPr>
          <w:p w14:paraId="52A4CB29"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1712BCEA"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6D8E981F" w14:textId="77777777" w:rsidTr="003E09A8">
        <w:trPr>
          <w:jc w:val="center"/>
        </w:trPr>
        <w:tc>
          <w:tcPr>
            <w:tcW w:w="1865" w:type="pct"/>
            <w:shd w:val="clear" w:color="auto" w:fill="E7E6E6" w:themeFill="background2"/>
          </w:tcPr>
          <w:p w14:paraId="47DCC4B0" w14:textId="77777777" w:rsidR="00F049D9" w:rsidRPr="001E6E9D" w:rsidRDefault="00F049D9" w:rsidP="00FA2FC0">
            <w:pPr>
              <w:keepNext/>
              <w:keepLines/>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Volume estimado de recursos financeiros necessários para realização do Projeto</w:t>
            </w:r>
          </w:p>
        </w:tc>
        <w:tc>
          <w:tcPr>
            <w:tcW w:w="3135" w:type="pct"/>
            <w:vAlign w:val="center"/>
          </w:tcPr>
          <w:p w14:paraId="7B725E0A"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R$4.987.749,07 (quatro milhões, novecentos e oitenta e sete mil, setecentos e quarenta e nove reais e sete centavos).</w:t>
            </w:r>
          </w:p>
        </w:tc>
      </w:tr>
      <w:tr w:rsidR="00F049D9" w:rsidRPr="001E6E9D" w14:paraId="475D338B" w14:textId="77777777" w:rsidTr="003E09A8">
        <w:trPr>
          <w:jc w:val="center"/>
        </w:trPr>
        <w:tc>
          <w:tcPr>
            <w:tcW w:w="1865" w:type="pct"/>
            <w:shd w:val="clear" w:color="auto" w:fill="E7E6E6" w:themeFill="background2"/>
          </w:tcPr>
          <w:p w14:paraId="126ECC15" w14:textId="7A949EB9"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C05150">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3F980DFB" w14:textId="694958A0"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00789540" w14:textId="77777777" w:rsidTr="003E09A8">
        <w:trPr>
          <w:trHeight w:val="376"/>
          <w:jc w:val="center"/>
        </w:trPr>
        <w:tc>
          <w:tcPr>
            <w:tcW w:w="1865" w:type="pct"/>
            <w:shd w:val="clear" w:color="auto" w:fill="E7E6E6" w:themeFill="background2"/>
          </w:tcPr>
          <w:p w14:paraId="5D8F41C6"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5BDB2072"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2% (dois por cento)</w:t>
            </w:r>
          </w:p>
        </w:tc>
      </w:tr>
    </w:tbl>
    <w:p w14:paraId="2EDEEB98"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t>SPE 6</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5E5DC421" w14:textId="77777777" w:rsidTr="003E09A8">
        <w:trPr>
          <w:tblHeader/>
          <w:jc w:val="center"/>
        </w:trPr>
        <w:tc>
          <w:tcPr>
            <w:tcW w:w="5000" w:type="pct"/>
            <w:gridSpan w:val="2"/>
            <w:shd w:val="clear" w:color="auto" w:fill="E7E6E6" w:themeFill="background2"/>
          </w:tcPr>
          <w:p w14:paraId="748646F9" w14:textId="331C9EB3"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7.</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Rio do Fogo 3</w:t>
            </w:r>
          </w:p>
        </w:tc>
      </w:tr>
      <w:tr w:rsidR="00F049D9" w:rsidRPr="001E6E9D" w14:paraId="6D03DBB3" w14:textId="77777777" w:rsidTr="003E09A8">
        <w:trPr>
          <w:jc w:val="center"/>
        </w:trPr>
        <w:tc>
          <w:tcPr>
            <w:tcW w:w="1865" w:type="pct"/>
            <w:shd w:val="clear" w:color="auto" w:fill="E7E6E6" w:themeFill="background2"/>
          </w:tcPr>
          <w:p w14:paraId="4E3A01A0"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225D3696" w14:textId="53B17322"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CAPITANIA LOCACAO E SOLUCOES EM ENERGIA SOLAR LTDA.</w:t>
            </w:r>
          </w:p>
        </w:tc>
      </w:tr>
      <w:tr w:rsidR="00F049D9" w:rsidRPr="001E6E9D" w14:paraId="609BC206" w14:textId="77777777" w:rsidTr="003E09A8">
        <w:trPr>
          <w:jc w:val="center"/>
        </w:trPr>
        <w:tc>
          <w:tcPr>
            <w:tcW w:w="1865" w:type="pct"/>
            <w:shd w:val="clear" w:color="auto" w:fill="E7E6E6" w:themeFill="background2"/>
          </w:tcPr>
          <w:p w14:paraId="48105F9B"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3730A7A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Tocantins, voltada para o mercado de minigeração distribuída, possuindo capacidade instalada de 1263,6 MWp.</w:t>
            </w:r>
          </w:p>
        </w:tc>
      </w:tr>
      <w:tr w:rsidR="00F049D9" w:rsidRPr="001E6E9D" w14:paraId="75C913E6" w14:textId="77777777" w:rsidTr="003E09A8">
        <w:trPr>
          <w:jc w:val="center"/>
        </w:trPr>
        <w:tc>
          <w:tcPr>
            <w:tcW w:w="1865" w:type="pct"/>
            <w:shd w:val="clear" w:color="auto" w:fill="E7E6E6" w:themeFill="background2"/>
          </w:tcPr>
          <w:p w14:paraId="526F47A8"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121CCBF4"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0A0FA85A" w14:textId="77777777" w:rsidTr="003E09A8">
        <w:trPr>
          <w:jc w:val="center"/>
        </w:trPr>
        <w:tc>
          <w:tcPr>
            <w:tcW w:w="1865" w:type="pct"/>
            <w:shd w:val="clear" w:color="auto" w:fill="E7E6E6" w:themeFill="background2"/>
          </w:tcPr>
          <w:p w14:paraId="3E0D4A9A" w14:textId="5F435EFD"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1EF3CD17" w14:textId="4A859235"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44FC8783" w14:textId="77777777" w:rsidTr="003E09A8">
        <w:trPr>
          <w:jc w:val="center"/>
        </w:trPr>
        <w:tc>
          <w:tcPr>
            <w:tcW w:w="1865" w:type="pct"/>
            <w:shd w:val="clear" w:color="auto" w:fill="E7E6E6" w:themeFill="background2"/>
          </w:tcPr>
          <w:p w14:paraId="15BA32A1"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23350B3A"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285AEEAA" w14:textId="77777777" w:rsidTr="003E09A8">
        <w:trPr>
          <w:jc w:val="center"/>
        </w:trPr>
        <w:tc>
          <w:tcPr>
            <w:tcW w:w="1865" w:type="pct"/>
            <w:shd w:val="clear" w:color="auto" w:fill="E7E6E6" w:themeFill="background2"/>
          </w:tcPr>
          <w:p w14:paraId="26E78575"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1AF79D51"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07FECB10" w14:textId="77777777" w:rsidTr="003E09A8">
        <w:trPr>
          <w:jc w:val="center"/>
        </w:trPr>
        <w:tc>
          <w:tcPr>
            <w:tcW w:w="1865" w:type="pct"/>
            <w:shd w:val="clear" w:color="auto" w:fill="E7E6E6" w:themeFill="background2"/>
          </w:tcPr>
          <w:p w14:paraId="4382B91D" w14:textId="3241409E"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090460B6"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1099743C" w14:textId="77777777" w:rsidTr="003E09A8">
        <w:trPr>
          <w:jc w:val="center"/>
        </w:trPr>
        <w:tc>
          <w:tcPr>
            <w:tcW w:w="1865" w:type="pct"/>
            <w:shd w:val="clear" w:color="auto" w:fill="E7E6E6" w:themeFill="background2"/>
          </w:tcPr>
          <w:p w14:paraId="54C0C6FB"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029E5E6F"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Fevereiro de 2022</w:t>
            </w:r>
          </w:p>
        </w:tc>
      </w:tr>
      <w:tr w:rsidR="00F049D9" w:rsidRPr="001E6E9D" w14:paraId="6E32A26B" w14:textId="77777777" w:rsidTr="003E09A8">
        <w:trPr>
          <w:jc w:val="center"/>
        </w:trPr>
        <w:tc>
          <w:tcPr>
            <w:tcW w:w="1865" w:type="pct"/>
            <w:shd w:val="clear" w:color="auto" w:fill="E7E6E6" w:themeFill="background2"/>
          </w:tcPr>
          <w:p w14:paraId="6A0CE635" w14:textId="0146DB1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0BE869E1"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21/05/2024</w:t>
            </w:r>
          </w:p>
        </w:tc>
      </w:tr>
      <w:tr w:rsidR="00F049D9" w:rsidRPr="001E6E9D" w14:paraId="109D05D2" w14:textId="77777777" w:rsidTr="003E09A8">
        <w:trPr>
          <w:jc w:val="center"/>
        </w:trPr>
        <w:tc>
          <w:tcPr>
            <w:tcW w:w="1865" w:type="pct"/>
            <w:shd w:val="clear" w:color="auto" w:fill="E7E6E6" w:themeFill="background2"/>
          </w:tcPr>
          <w:p w14:paraId="278DE03A"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08DFE691"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1FD60AAC" w14:textId="77777777" w:rsidTr="003E09A8">
        <w:trPr>
          <w:jc w:val="center"/>
        </w:trPr>
        <w:tc>
          <w:tcPr>
            <w:tcW w:w="1865" w:type="pct"/>
            <w:shd w:val="clear" w:color="auto" w:fill="E7E6E6" w:themeFill="background2"/>
          </w:tcPr>
          <w:p w14:paraId="72F50527" w14:textId="77777777" w:rsidR="00F049D9" w:rsidRPr="001E6E9D" w:rsidRDefault="00F049D9" w:rsidP="00FA2FC0">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3CD3AE64"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R$8.118.251,57 (oito milhões, cento e dezoito mil, duzentos e cinquenta e um reais e cinquenta e sete centavos).</w:t>
            </w:r>
          </w:p>
        </w:tc>
      </w:tr>
      <w:tr w:rsidR="00F049D9" w:rsidRPr="001E6E9D" w14:paraId="7857CC75" w14:textId="77777777" w:rsidTr="003E09A8">
        <w:trPr>
          <w:jc w:val="center"/>
        </w:trPr>
        <w:tc>
          <w:tcPr>
            <w:tcW w:w="1865" w:type="pct"/>
            <w:shd w:val="clear" w:color="auto" w:fill="E7E6E6" w:themeFill="background2"/>
          </w:tcPr>
          <w:p w14:paraId="716421E0" w14:textId="444227F2"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C05150">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297493D3" w14:textId="3DD9EAC3"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2DA1758F" w14:textId="77777777" w:rsidTr="003E09A8">
        <w:trPr>
          <w:trHeight w:val="376"/>
          <w:jc w:val="center"/>
        </w:trPr>
        <w:tc>
          <w:tcPr>
            <w:tcW w:w="1865" w:type="pct"/>
            <w:shd w:val="clear" w:color="auto" w:fill="E7E6E6" w:themeFill="background2"/>
          </w:tcPr>
          <w:p w14:paraId="5B4B974B"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7DF7FC92"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4% (quatro por cento)</w:t>
            </w:r>
          </w:p>
        </w:tc>
      </w:tr>
    </w:tbl>
    <w:p w14:paraId="146A681A"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lastRenderedPageBreak/>
        <w:t>SPE 7</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615AEA42" w14:textId="77777777" w:rsidTr="003E09A8">
        <w:trPr>
          <w:tblHeader/>
          <w:jc w:val="center"/>
        </w:trPr>
        <w:tc>
          <w:tcPr>
            <w:tcW w:w="5000" w:type="pct"/>
            <w:gridSpan w:val="2"/>
            <w:shd w:val="clear" w:color="auto" w:fill="E7E6E6" w:themeFill="background2"/>
          </w:tcPr>
          <w:p w14:paraId="17C450C2" w14:textId="7D2FC37E"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8.</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Morro Branco 8</w:t>
            </w:r>
          </w:p>
        </w:tc>
      </w:tr>
      <w:tr w:rsidR="00F049D9" w:rsidRPr="001E6E9D" w14:paraId="79FEF050" w14:textId="77777777" w:rsidTr="003E09A8">
        <w:trPr>
          <w:jc w:val="center"/>
        </w:trPr>
        <w:tc>
          <w:tcPr>
            <w:tcW w:w="1865" w:type="pct"/>
            <w:shd w:val="clear" w:color="auto" w:fill="E7E6E6" w:themeFill="background2"/>
          </w:tcPr>
          <w:p w14:paraId="77D9C043"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77B1C5D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TITAN LOCACAO E SOLUCOES EM ENERGIA SOLAR LTDA.</w:t>
            </w:r>
          </w:p>
        </w:tc>
      </w:tr>
      <w:tr w:rsidR="00F049D9" w:rsidRPr="001E6E9D" w14:paraId="4C8CE0B1" w14:textId="77777777" w:rsidTr="003E09A8">
        <w:trPr>
          <w:jc w:val="center"/>
        </w:trPr>
        <w:tc>
          <w:tcPr>
            <w:tcW w:w="1865" w:type="pct"/>
            <w:shd w:val="clear" w:color="auto" w:fill="E7E6E6" w:themeFill="background2"/>
          </w:tcPr>
          <w:p w14:paraId="445623F9"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37AEEB7D"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Ceará, voltada para o mercado de minigeração distribuída, possuindo capacidade instalada de 1264,4 MWp.</w:t>
            </w:r>
          </w:p>
        </w:tc>
      </w:tr>
      <w:tr w:rsidR="00F049D9" w:rsidRPr="001E6E9D" w14:paraId="67B23BED" w14:textId="77777777" w:rsidTr="003E09A8">
        <w:trPr>
          <w:jc w:val="center"/>
        </w:trPr>
        <w:tc>
          <w:tcPr>
            <w:tcW w:w="1865" w:type="pct"/>
            <w:shd w:val="clear" w:color="auto" w:fill="E7E6E6" w:themeFill="background2"/>
          </w:tcPr>
          <w:p w14:paraId="5394CEAD"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0EC99DAA"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1522FA2F" w14:textId="77777777" w:rsidTr="003E09A8">
        <w:trPr>
          <w:jc w:val="center"/>
        </w:trPr>
        <w:tc>
          <w:tcPr>
            <w:tcW w:w="1865" w:type="pct"/>
            <w:shd w:val="clear" w:color="auto" w:fill="E7E6E6" w:themeFill="background2"/>
          </w:tcPr>
          <w:p w14:paraId="3BB1E3A4" w14:textId="4D728CA4"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3276DDAD" w14:textId="7DAB40CA"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1FA01FFF" w14:textId="77777777" w:rsidTr="003E09A8">
        <w:trPr>
          <w:jc w:val="center"/>
        </w:trPr>
        <w:tc>
          <w:tcPr>
            <w:tcW w:w="1865" w:type="pct"/>
            <w:shd w:val="clear" w:color="auto" w:fill="E7E6E6" w:themeFill="background2"/>
          </w:tcPr>
          <w:p w14:paraId="79E4A9B9"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54501771"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29C3C483" w14:textId="77777777" w:rsidTr="003E09A8">
        <w:trPr>
          <w:jc w:val="center"/>
        </w:trPr>
        <w:tc>
          <w:tcPr>
            <w:tcW w:w="1865" w:type="pct"/>
            <w:shd w:val="clear" w:color="auto" w:fill="E7E6E6" w:themeFill="background2"/>
          </w:tcPr>
          <w:p w14:paraId="5CF83A39"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39DE8C93"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34DCC17B" w14:textId="77777777" w:rsidTr="003E09A8">
        <w:trPr>
          <w:jc w:val="center"/>
        </w:trPr>
        <w:tc>
          <w:tcPr>
            <w:tcW w:w="1865" w:type="pct"/>
            <w:shd w:val="clear" w:color="auto" w:fill="E7E6E6" w:themeFill="background2"/>
          </w:tcPr>
          <w:p w14:paraId="565698A6" w14:textId="585AD49F"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532B07F2"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25C5B249" w14:textId="77777777" w:rsidTr="003E09A8">
        <w:trPr>
          <w:jc w:val="center"/>
        </w:trPr>
        <w:tc>
          <w:tcPr>
            <w:tcW w:w="1865" w:type="pct"/>
            <w:shd w:val="clear" w:color="auto" w:fill="E7E6E6" w:themeFill="background2"/>
          </w:tcPr>
          <w:p w14:paraId="13F75B1C"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136F0955"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Setembro de 2023</w:t>
            </w:r>
          </w:p>
        </w:tc>
      </w:tr>
      <w:tr w:rsidR="00F049D9" w:rsidRPr="001E6E9D" w14:paraId="3F810610" w14:textId="77777777" w:rsidTr="003E09A8">
        <w:trPr>
          <w:jc w:val="center"/>
        </w:trPr>
        <w:tc>
          <w:tcPr>
            <w:tcW w:w="1865" w:type="pct"/>
            <w:shd w:val="clear" w:color="auto" w:fill="E7E6E6" w:themeFill="background2"/>
          </w:tcPr>
          <w:p w14:paraId="2C555B09"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61922ACE"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Outubro de 2024</w:t>
            </w:r>
          </w:p>
        </w:tc>
      </w:tr>
      <w:tr w:rsidR="00F049D9" w:rsidRPr="001E6E9D" w14:paraId="056FE7CE" w14:textId="77777777" w:rsidTr="003E09A8">
        <w:trPr>
          <w:jc w:val="center"/>
        </w:trPr>
        <w:tc>
          <w:tcPr>
            <w:tcW w:w="1865" w:type="pct"/>
            <w:shd w:val="clear" w:color="auto" w:fill="E7E6E6" w:themeFill="background2"/>
          </w:tcPr>
          <w:p w14:paraId="53D27CDC"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4D0CF716"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574B2A9E" w14:textId="77777777" w:rsidTr="003E09A8">
        <w:trPr>
          <w:jc w:val="center"/>
        </w:trPr>
        <w:tc>
          <w:tcPr>
            <w:tcW w:w="1865" w:type="pct"/>
            <w:shd w:val="clear" w:color="auto" w:fill="E7E6E6" w:themeFill="background2"/>
          </w:tcPr>
          <w:p w14:paraId="311C7106" w14:textId="77777777" w:rsidR="00F049D9" w:rsidRPr="001E6E9D" w:rsidRDefault="00F049D9" w:rsidP="00FA2FC0">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2B28CCF2"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R$6.614.566,48 (seis milhões, seiscentos e quatorze mil, quinhentos e sessenta e seis reais e quarenta e oito centavos).</w:t>
            </w:r>
          </w:p>
        </w:tc>
      </w:tr>
      <w:tr w:rsidR="00F049D9" w:rsidRPr="001E6E9D" w14:paraId="5B9FDB7C" w14:textId="77777777" w:rsidTr="003E09A8">
        <w:trPr>
          <w:jc w:val="center"/>
        </w:trPr>
        <w:tc>
          <w:tcPr>
            <w:tcW w:w="1865" w:type="pct"/>
            <w:shd w:val="clear" w:color="auto" w:fill="E7E6E6" w:themeFill="background2"/>
          </w:tcPr>
          <w:p w14:paraId="79AECCE8" w14:textId="05D631A5"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C05150">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41F7D47F" w14:textId="6C0FFF3F"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034A2D1A" w14:textId="77777777" w:rsidTr="003E09A8">
        <w:trPr>
          <w:trHeight w:val="376"/>
          <w:jc w:val="center"/>
        </w:trPr>
        <w:tc>
          <w:tcPr>
            <w:tcW w:w="1865" w:type="pct"/>
            <w:shd w:val="clear" w:color="auto" w:fill="E7E6E6" w:themeFill="background2"/>
          </w:tcPr>
          <w:p w14:paraId="1EB40B9A"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7C2DC777"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6CD49F09"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t>SPE 8</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3B4F4B4F" w14:textId="77777777" w:rsidTr="003E09A8">
        <w:trPr>
          <w:tblHeader/>
          <w:jc w:val="center"/>
        </w:trPr>
        <w:tc>
          <w:tcPr>
            <w:tcW w:w="5000" w:type="pct"/>
            <w:gridSpan w:val="2"/>
            <w:shd w:val="clear" w:color="auto" w:fill="E7E6E6" w:themeFill="background2"/>
          </w:tcPr>
          <w:p w14:paraId="1D32A777" w14:textId="3CDA929A"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9.</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Praia Grande 8</w:t>
            </w:r>
          </w:p>
        </w:tc>
      </w:tr>
      <w:tr w:rsidR="00F049D9" w:rsidRPr="001E6E9D" w14:paraId="08345603" w14:textId="77777777" w:rsidTr="003E09A8">
        <w:trPr>
          <w:jc w:val="center"/>
        </w:trPr>
        <w:tc>
          <w:tcPr>
            <w:tcW w:w="1865" w:type="pct"/>
            <w:shd w:val="clear" w:color="auto" w:fill="E7E6E6" w:themeFill="background2"/>
          </w:tcPr>
          <w:p w14:paraId="6C08EFB0"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2DE0128C"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ITAÚNA LOCAÇÃO E SOLUÇÕES EM ENERGIA SOLAR LTDA.</w:t>
            </w:r>
          </w:p>
        </w:tc>
      </w:tr>
      <w:tr w:rsidR="00F049D9" w:rsidRPr="001E6E9D" w14:paraId="5C239593" w14:textId="77777777" w:rsidTr="003E09A8">
        <w:trPr>
          <w:jc w:val="center"/>
        </w:trPr>
        <w:tc>
          <w:tcPr>
            <w:tcW w:w="1865" w:type="pct"/>
            <w:shd w:val="clear" w:color="auto" w:fill="E7E6E6" w:themeFill="background2"/>
          </w:tcPr>
          <w:p w14:paraId="5AD459B3"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1F82131A"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Maranhão, voltada para o mercado de minigeração distribuída, possuindo capacidade instalada de 1264,4 MWp.</w:t>
            </w:r>
          </w:p>
        </w:tc>
      </w:tr>
      <w:tr w:rsidR="00F049D9" w:rsidRPr="001E6E9D" w14:paraId="1779A5D0" w14:textId="77777777" w:rsidTr="00FA2FC0">
        <w:trPr>
          <w:trHeight w:val="20"/>
          <w:jc w:val="center"/>
        </w:trPr>
        <w:tc>
          <w:tcPr>
            <w:tcW w:w="1865" w:type="pct"/>
            <w:shd w:val="clear" w:color="auto" w:fill="E7E6E6" w:themeFill="background2"/>
          </w:tcPr>
          <w:p w14:paraId="5C2E0D08" w14:textId="77777777" w:rsidR="00F049D9" w:rsidRPr="001E6E9D" w:rsidRDefault="00F049D9" w:rsidP="00FA2FC0">
            <w:pPr>
              <w:widowControl w:val="0"/>
              <w:tabs>
                <w:tab w:val="left" w:pos="1418"/>
                <w:tab w:val="left" w:pos="2366"/>
              </w:tabs>
              <w:spacing w:before="90" w:after="90"/>
              <w:rPr>
                <w:rFonts w:asciiTheme="minorHAnsi" w:hAnsiTheme="minorHAnsi" w:cstheme="minorHAnsi"/>
                <w:b/>
                <w:sz w:val="16"/>
                <w:szCs w:val="16"/>
              </w:rPr>
            </w:pPr>
            <w:r w:rsidRPr="001E6E9D">
              <w:rPr>
                <w:rFonts w:asciiTheme="minorHAnsi" w:hAnsiTheme="minorHAnsi" w:cstheme="minorHAnsi"/>
                <w:b/>
                <w:sz w:val="16"/>
                <w:szCs w:val="16"/>
              </w:rPr>
              <w:lastRenderedPageBreak/>
              <w:t>Objetivo do Projeto</w:t>
            </w:r>
          </w:p>
        </w:tc>
        <w:tc>
          <w:tcPr>
            <w:tcW w:w="3135" w:type="pct"/>
            <w:vAlign w:val="center"/>
          </w:tcPr>
          <w:p w14:paraId="6DB6C392" w14:textId="77777777" w:rsidR="00F049D9" w:rsidRPr="001E6E9D" w:rsidRDefault="00F049D9" w:rsidP="00FA2FC0">
            <w:pPr>
              <w:keepLines/>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69899CD2" w14:textId="77777777" w:rsidTr="00FA2FC0">
        <w:trPr>
          <w:trHeight w:val="20"/>
          <w:jc w:val="center"/>
        </w:trPr>
        <w:tc>
          <w:tcPr>
            <w:tcW w:w="1865" w:type="pct"/>
            <w:shd w:val="clear" w:color="auto" w:fill="E7E6E6" w:themeFill="background2"/>
          </w:tcPr>
          <w:p w14:paraId="30DAD416" w14:textId="49E9E750"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56071A52" w14:textId="5F1BCAE0"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7F140335" w14:textId="77777777" w:rsidTr="00FA2FC0">
        <w:trPr>
          <w:trHeight w:val="20"/>
          <w:jc w:val="center"/>
        </w:trPr>
        <w:tc>
          <w:tcPr>
            <w:tcW w:w="1865" w:type="pct"/>
            <w:shd w:val="clear" w:color="auto" w:fill="E7E6E6" w:themeFill="background2"/>
          </w:tcPr>
          <w:p w14:paraId="5F5206BE"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68D99AC9"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744563AA" w14:textId="77777777" w:rsidTr="00FA2FC0">
        <w:trPr>
          <w:trHeight w:val="20"/>
          <w:jc w:val="center"/>
        </w:trPr>
        <w:tc>
          <w:tcPr>
            <w:tcW w:w="1865" w:type="pct"/>
            <w:shd w:val="clear" w:color="auto" w:fill="E7E6E6" w:themeFill="background2"/>
          </w:tcPr>
          <w:p w14:paraId="3DCC0190"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664CE26" w14:textId="77777777"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5FDF612B" w14:textId="77777777" w:rsidTr="00FA2FC0">
        <w:trPr>
          <w:trHeight w:val="20"/>
          <w:jc w:val="center"/>
        </w:trPr>
        <w:tc>
          <w:tcPr>
            <w:tcW w:w="1865" w:type="pct"/>
            <w:shd w:val="clear" w:color="auto" w:fill="E7E6E6" w:themeFill="background2"/>
          </w:tcPr>
          <w:p w14:paraId="250D6520" w14:textId="35751DB8"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0DED338D"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1E79BCE7" w14:textId="77777777" w:rsidTr="00FA2FC0">
        <w:trPr>
          <w:trHeight w:val="20"/>
          <w:jc w:val="center"/>
        </w:trPr>
        <w:tc>
          <w:tcPr>
            <w:tcW w:w="1865" w:type="pct"/>
            <w:shd w:val="clear" w:color="auto" w:fill="E7E6E6" w:themeFill="background2"/>
          </w:tcPr>
          <w:p w14:paraId="179F8A43"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5E87E56F"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Julho de 2023</w:t>
            </w:r>
          </w:p>
        </w:tc>
      </w:tr>
      <w:tr w:rsidR="00F049D9" w:rsidRPr="001E6E9D" w14:paraId="640E3800" w14:textId="77777777" w:rsidTr="00FA2FC0">
        <w:trPr>
          <w:trHeight w:val="20"/>
          <w:jc w:val="center"/>
        </w:trPr>
        <w:tc>
          <w:tcPr>
            <w:tcW w:w="1865" w:type="pct"/>
            <w:shd w:val="clear" w:color="auto" w:fill="E7E6E6" w:themeFill="background2"/>
          </w:tcPr>
          <w:p w14:paraId="3F509AC6"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124E61E5"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28/06/2024</w:t>
            </w:r>
          </w:p>
        </w:tc>
      </w:tr>
      <w:tr w:rsidR="00F049D9" w:rsidRPr="001E6E9D" w14:paraId="683EB1C8" w14:textId="77777777" w:rsidTr="00FA2FC0">
        <w:trPr>
          <w:trHeight w:val="20"/>
          <w:jc w:val="center"/>
        </w:trPr>
        <w:tc>
          <w:tcPr>
            <w:tcW w:w="1865" w:type="pct"/>
            <w:shd w:val="clear" w:color="auto" w:fill="E7E6E6" w:themeFill="background2"/>
          </w:tcPr>
          <w:p w14:paraId="10873F7B"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2F9AFF3E" w14:textId="77777777"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62F48E05" w14:textId="77777777" w:rsidTr="00FA2FC0">
        <w:trPr>
          <w:trHeight w:val="20"/>
          <w:jc w:val="center"/>
        </w:trPr>
        <w:tc>
          <w:tcPr>
            <w:tcW w:w="1865" w:type="pct"/>
            <w:shd w:val="clear" w:color="auto" w:fill="E7E6E6" w:themeFill="background2"/>
          </w:tcPr>
          <w:p w14:paraId="483731B4" w14:textId="77777777" w:rsidR="00F049D9" w:rsidRPr="001E6E9D" w:rsidRDefault="00F049D9" w:rsidP="00FA2FC0">
            <w:pPr>
              <w:widowControl w:val="0"/>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087A9D63" w14:textId="77777777" w:rsidR="00F049D9" w:rsidRPr="001E6E9D" w:rsidRDefault="00F049D9" w:rsidP="00FA2FC0">
            <w:pPr>
              <w:widowControl w:val="0"/>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R$6.496.456,40 (seis milhões, quatrocentos e noventa e seis mil, quatrocentos e cinquenta e seis reais e quatro centavos).</w:t>
            </w:r>
          </w:p>
        </w:tc>
      </w:tr>
      <w:tr w:rsidR="00F049D9" w:rsidRPr="001E6E9D" w14:paraId="13E8E3D9" w14:textId="77777777" w:rsidTr="00FA2FC0">
        <w:trPr>
          <w:trHeight w:val="20"/>
          <w:jc w:val="center"/>
        </w:trPr>
        <w:tc>
          <w:tcPr>
            <w:tcW w:w="1865" w:type="pct"/>
            <w:shd w:val="clear" w:color="auto" w:fill="E7E6E6" w:themeFill="background2"/>
          </w:tcPr>
          <w:p w14:paraId="5AF9325A" w14:textId="0921846F"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C05150">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250D8D0D" w14:textId="3CC00DDF"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4F9DDC2B" w14:textId="77777777" w:rsidTr="00FA2FC0">
        <w:trPr>
          <w:trHeight w:val="20"/>
          <w:jc w:val="center"/>
        </w:trPr>
        <w:tc>
          <w:tcPr>
            <w:tcW w:w="1865" w:type="pct"/>
            <w:shd w:val="clear" w:color="auto" w:fill="E7E6E6" w:themeFill="background2"/>
          </w:tcPr>
          <w:p w14:paraId="6879B12E"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1F8F1824" w14:textId="77777777" w:rsidR="00F049D9" w:rsidRPr="001E6E9D" w:rsidRDefault="00F049D9" w:rsidP="00FA2FC0">
            <w:pPr>
              <w:widowControl w:val="0"/>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3B6FCDCE" w14:textId="77777777" w:rsidR="00F049D9" w:rsidRPr="001E6E9D" w:rsidRDefault="00F049D9" w:rsidP="00A94FB3">
      <w:pPr>
        <w:pStyle w:val="PargrafodaLista"/>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t>SPE 9</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352E0539" w14:textId="77777777" w:rsidTr="003E09A8">
        <w:trPr>
          <w:tblHeader/>
          <w:jc w:val="center"/>
        </w:trPr>
        <w:tc>
          <w:tcPr>
            <w:tcW w:w="5000" w:type="pct"/>
            <w:gridSpan w:val="2"/>
            <w:shd w:val="clear" w:color="auto" w:fill="E7E6E6" w:themeFill="background2"/>
          </w:tcPr>
          <w:p w14:paraId="1C0CE15A" w14:textId="698D33C3" w:rsidR="00F049D9" w:rsidRPr="001E6E9D" w:rsidRDefault="00305A23" w:rsidP="00A94FB3">
            <w:pPr>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10.</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Ponta do Mato 2</w:t>
            </w:r>
          </w:p>
        </w:tc>
      </w:tr>
      <w:tr w:rsidR="00F049D9" w:rsidRPr="001E6E9D" w14:paraId="6F51CE8C" w14:textId="77777777" w:rsidTr="003E09A8">
        <w:trPr>
          <w:jc w:val="center"/>
        </w:trPr>
        <w:tc>
          <w:tcPr>
            <w:tcW w:w="1865" w:type="pct"/>
            <w:shd w:val="clear" w:color="auto" w:fill="E7E6E6" w:themeFill="background2"/>
          </w:tcPr>
          <w:p w14:paraId="418B3925"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151C0754" w14:textId="3BC1DE3A"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COLARES LOCACAO E SOLUCOES EM ENERGIA SOLAR LTDA.</w:t>
            </w:r>
          </w:p>
        </w:tc>
      </w:tr>
      <w:tr w:rsidR="00F049D9" w:rsidRPr="001E6E9D" w14:paraId="4AE3E31F" w14:textId="77777777" w:rsidTr="003E09A8">
        <w:trPr>
          <w:jc w:val="center"/>
        </w:trPr>
        <w:tc>
          <w:tcPr>
            <w:tcW w:w="1865" w:type="pct"/>
            <w:shd w:val="clear" w:color="auto" w:fill="E7E6E6" w:themeFill="background2"/>
          </w:tcPr>
          <w:p w14:paraId="306DB112"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7B2EBBB4"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Mato Grosso do Sul, voltada para o mercado de minigeração distribuída, possuindo capacidade instalada de 1249,56 MWp.</w:t>
            </w:r>
          </w:p>
        </w:tc>
      </w:tr>
      <w:tr w:rsidR="00F049D9" w:rsidRPr="001E6E9D" w14:paraId="1B697B8D" w14:textId="77777777" w:rsidTr="003E09A8">
        <w:trPr>
          <w:jc w:val="center"/>
        </w:trPr>
        <w:tc>
          <w:tcPr>
            <w:tcW w:w="1865" w:type="pct"/>
            <w:shd w:val="clear" w:color="auto" w:fill="E7E6E6" w:themeFill="background2"/>
          </w:tcPr>
          <w:p w14:paraId="238D0A7C"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74D7F1F0"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06306385" w14:textId="77777777" w:rsidTr="003E09A8">
        <w:trPr>
          <w:jc w:val="center"/>
        </w:trPr>
        <w:tc>
          <w:tcPr>
            <w:tcW w:w="1865" w:type="pct"/>
            <w:shd w:val="clear" w:color="auto" w:fill="E7E6E6" w:themeFill="background2"/>
          </w:tcPr>
          <w:p w14:paraId="38B59156" w14:textId="35A62A1A"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Protocolo de Enquadramento no Ministério de</w:t>
            </w:r>
            <w:r w:rsidR="00C05150">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2895642A" w14:textId="1ADEE183" w:rsidR="00F049D9" w:rsidRPr="001E6E9D" w:rsidRDefault="00F049D9" w:rsidP="00FA2FC0">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197BE6B2" w14:textId="77777777" w:rsidTr="003E09A8">
        <w:trPr>
          <w:jc w:val="center"/>
        </w:trPr>
        <w:tc>
          <w:tcPr>
            <w:tcW w:w="1865" w:type="pct"/>
            <w:shd w:val="clear" w:color="auto" w:fill="E7E6E6" w:themeFill="background2"/>
          </w:tcPr>
          <w:p w14:paraId="0966AB01"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42BAF5FE" w14:textId="77777777" w:rsidR="00F049D9" w:rsidRPr="001E6E9D" w:rsidRDefault="00F049D9" w:rsidP="00FA2FC0">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0797FF35" w14:textId="77777777" w:rsidTr="003E09A8">
        <w:trPr>
          <w:jc w:val="center"/>
        </w:trPr>
        <w:tc>
          <w:tcPr>
            <w:tcW w:w="1865" w:type="pct"/>
            <w:shd w:val="clear" w:color="auto" w:fill="E7E6E6" w:themeFill="background2"/>
          </w:tcPr>
          <w:p w14:paraId="414DF0D6"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661D2818" w14:textId="77777777"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3C3D450A" w14:textId="77777777" w:rsidTr="003E09A8">
        <w:trPr>
          <w:jc w:val="center"/>
        </w:trPr>
        <w:tc>
          <w:tcPr>
            <w:tcW w:w="1865" w:type="pct"/>
            <w:shd w:val="clear" w:color="auto" w:fill="E7E6E6" w:themeFill="background2"/>
          </w:tcPr>
          <w:p w14:paraId="6D26499A" w14:textId="0DD80C84"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C05150">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70E27F5F" w14:textId="77777777" w:rsidR="00F049D9" w:rsidRPr="001E6E9D" w:rsidRDefault="00F049D9" w:rsidP="00FA2FC0">
            <w:pPr>
              <w:widowControl w:val="0"/>
              <w:tabs>
                <w:tab w:val="left" w:pos="1418"/>
                <w:tab w:val="left" w:pos="2366"/>
              </w:tabs>
              <w:spacing w:before="80" w:after="8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4622F3E1" w14:textId="77777777" w:rsidTr="003E09A8">
        <w:trPr>
          <w:jc w:val="center"/>
        </w:trPr>
        <w:tc>
          <w:tcPr>
            <w:tcW w:w="1865" w:type="pct"/>
            <w:shd w:val="clear" w:color="auto" w:fill="E7E6E6" w:themeFill="background2"/>
          </w:tcPr>
          <w:p w14:paraId="158E6F45"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144F6D5B" w14:textId="77777777" w:rsidR="00F049D9" w:rsidRPr="001E6E9D" w:rsidRDefault="00F049D9" w:rsidP="00FA2FC0">
            <w:pPr>
              <w:widowControl w:val="0"/>
              <w:tabs>
                <w:tab w:val="left" w:pos="1418"/>
                <w:tab w:val="left" w:pos="2366"/>
              </w:tabs>
              <w:spacing w:before="80" w:after="8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Fevereiro de 2022</w:t>
            </w:r>
          </w:p>
        </w:tc>
      </w:tr>
      <w:tr w:rsidR="00F049D9" w:rsidRPr="001E6E9D" w14:paraId="19341D0A" w14:textId="77777777" w:rsidTr="003E09A8">
        <w:trPr>
          <w:jc w:val="center"/>
        </w:trPr>
        <w:tc>
          <w:tcPr>
            <w:tcW w:w="1865" w:type="pct"/>
            <w:shd w:val="clear" w:color="auto" w:fill="E7E6E6" w:themeFill="background2"/>
          </w:tcPr>
          <w:p w14:paraId="45F2E4F1"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1245C21A" w14:textId="77777777" w:rsidR="00F049D9" w:rsidRPr="001E6E9D" w:rsidRDefault="00F049D9" w:rsidP="00FA2FC0">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04/01/2024</w:t>
            </w:r>
          </w:p>
        </w:tc>
      </w:tr>
      <w:tr w:rsidR="00F049D9" w:rsidRPr="001E6E9D" w14:paraId="68BC4595" w14:textId="77777777" w:rsidTr="003E09A8">
        <w:trPr>
          <w:jc w:val="center"/>
        </w:trPr>
        <w:tc>
          <w:tcPr>
            <w:tcW w:w="1865" w:type="pct"/>
            <w:shd w:val="clear" w:color="auto" w:fill="E7E6E6" w:themeFill="background2"/>
          </w:tcPr>
          <w:p w14:paraId="7F4AC7F2"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72E57B68" w14:textId="77777777"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2C1C6009" w14:textId="77777777" w:rsidTr="003E09A8">
        <w:trPr>
          <w:jc w:val="center"/>
        </w:trPr>
        <w:tc>
          <w:tcPr>
            <w:tcW w:w="1865" w:type="pct"/>
            <w:shd w:val="clear" w:color="auto" w:fill="E7E6E6" w:themeFill="background2"/>
          </w:tcPr>
          <w:p w14:paraId="19C64843" w14:textId="77777777" w:rsidR="00F049D9" w:rsidRPr="001E6E9D" w:rsidRDefault="00F049D9" w:rsidP="00FA2FC0">
            <w:pPr>
              <w:widowControl w:val="0"/>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66CEF1BA" w14:textId="77777777" w:rsidR="00F049D9" w:rsidRPr="001E6E9D" w:rsidRDefault="00F049D9" w:rsidP="00FA2FC0">
            <w:pPr>
              <w:widowControl w:val="0"/>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R$7.145.068,63 (sete milhões, cento e quarenta e cinco mil, sessenta e oito reais e sessenta e três centavos).</w:t>
            </w:r>
          </w:p>
        </w:tc>
      </w:tr>
      <w:tr w:rsidR="00F049D9" w:rsidRPr="001E6E9D" w14:paraId="263AC900" w14:textId="77777777" w:rsidTr="003E09A8">
        <w:trPr>
          <w:jc w:val="center"/>
        </w:trPr>
        <w:tc>
          <w:tcPr>
            <w:tcW w:w="1865" w:type="pct"/>
            <w:shd w:val="clear" w:color="auto" w:fill="E7E6E6" w:themeFill="background2"/>
          </w:tcPr>
          <w:p w14:paraId="579D0F96" w14:textId="486F6FF6"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FF6165">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3F6BD0EC" w14:textId="2EE0F2C3"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2210ED53" w14:textId="77777777" w:rsidTr="003E09A8">
        <w:trPr>
          <w:trHeight w:val="376"/>
          <w:jc w:val="center"/>
        </w:trPr>
        <w:tc>
          <w:tcPr>
            <w:tcW w:w="1865" w:type="pct"/>
            <w:shd w:val="clear" w:color="auto" w:fill="E7E6E6" w:themeFill="background2"/>
          </w:tcPr>
          <w:p w14:paraId="383DC19E"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3439A237" w14:textId="77777777" w:rsidR="00F049D9" w:rsidRPr="001E6E9D" w:rsidRDefault="00F049D9" w:rsidP="00FA2FC0">
            <w:pPr>
              <w:widowControl w:val="0"/>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4% (quatro por cento)</w:t>
            </w:r>
          </w:p>
        </w:tc>
      </w:tr>
    </w:tbl>
    <w:p w14:paraId="7E6D5EB8"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07059EE1" w14:textId="77777777" w:rsidTr="003E09A8">
        <w:trPr>
          <w:tblHeader/>
          <w:jc w:val="center"/>
        </w:trPr>
        <w:tc>
          <w:tcPr>
            <w:tcW w:w="5000" w:type="pct"/>
            <w:gridSpan w:val="2"/>
            <w:shd w:val="clear" w:color="auto" w:fill="E7E6E6" w:themeFill="background2"/>
          </w:tcPr>
          <w:p w14:paraId="1FA1389D" w14:textId="65E13FE3"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11.</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Ponta do Mato 4</w:t>
            </w:r>
          </w:p>
        </w:tc>
      </w:tr>
      <w:tr w:rsidR="00F049D9" w:rsidRPr="001E6E9D" w14:paraId="59E821C4" w14:textId="77777777" w:rsidTr="003E09A8">
        <w:trPr>
          <w:jc w:val="center"/>
        </w:trPr>
        <w:tc>
          <w:tcPr>
            <w:tcW w:w="1865" w:type="pct"/>
            <w:shd w:val="clear" w:color="auto" w:fill="E7E6E6" w:themeFill="background2"/>
          </w:tcPr>
          <w:p w14:paraId="7DACC7EB"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687E8CB0" w14:textId="1DE9EFB1"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COLARES LOCACAO E SOLUCOES EM ENERGIA SOLAR</w:t>
            </w:r>
            <w:r w:rsidRPr="001E6E9D">
              <w:rPr>
                <w:rFonts w:asciiTheme="minorHAnsi" w:hAnsiTheme="minorHAnsi" w:cstheme="minorHAnsi"/>
                <w:bCs/>
                <w:sz w:val="16"/>
                <w:szCs w:val="16"/>
                <w14:ligatures w14:val="standardContextual"/>
              </w:rPr>
              <w:t xml:space="preserve"> </w:t>
            </w:r>
            <w:r w:rsidRPr="001E6E9D">
              <w:rPr>
                <w:rFonts w:asciiTheme="minorHAnsi" w:hAnsiTheme="minorHAnsi" w:cstheme="minorHAnsi"/>
                <w:sz w:val="16"/>
                <w:szCs w:val="16"/>
                <w14:ligatures w14:val="standardContextual"/>
              </w:rPr>
              <w:t>LTDA.</w:t>
            </w:r>
          </w:p>
        </w:tc>
      </w:tr>
      <w:tr w:rsidR="00F049D9" w:rsidRPr="001E6E9D" w14:paraId="3F7040EE" w14:textId="77777777" w:rsidTr="003E09A8">
        <w:trPr>
          <w:jc w:val="center"/>
        </w:trPr>
        <w:tc>
          <w:tcPr>
            <w:tcW w:w="1865" w:type="pct"/>
            <w:shd w:val="clear" w:color="auto" w:fill="E7E6E6" w:themeFill="background2"/>
          </w:tcPr>
          <w:p w14:paraId="39643046"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539CBFA0" w14:textId="77777777"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Mato Grosso do Sul, voltada para o mercado de minigeração distribuída, possuindo capacidade instalada de 1263,6 MWp.</w:t>
            </w:r>
          </w:p>
        </w:tc>
      </w:tr>
      <w:tr w:rsidR="00F049D9" w:rsidRPr="001E6E9D" w14:paraId="5689F164" w14:textId="77777777" w:rsidTr="003E09A8">
        <w:trPr>
          <w:jc w:val="center"/>
        </w:trPr>
        <w:tc>
          <w:tcPr>
            <w:tcW w:w="1865" w:type="pct"/>
            <w:shd w:val="clear" w:color="auto" w:fill="E7E6E6" w:themeFill="background2"/>
          </w:tcPr>
          <w:p w14:paraId="5077C234"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1D621345" w14:textId="77777777"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5E8BEAE8" w14:textId="77777777" w:rsidTr="003E09A8">
        <w:trPr>
          <w:jc w:val="center"/>
        </w:trPr>
        <w:tc>
          <w:tcPr>
            <w:tcW w:w="1865" w:type="pct"/>
            <w:shd w:val="clear" w:color="auto" w:fill="E7E6E6" w:themeFill="background2"/>
          </w:tcPr>
          <w:p w14:paraId="04FE736E" w14:textId="5063C015"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FF6165">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309EFE3B" w14:textId="4F601ADC" w:rsidR="00F049D9" w:rsidRPr="001E6E9D" w:rsidRDefault="00F049D9" w:rsidP="00FA2FC0">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7E9A0E82" w14:textId="77777777" w:rsidTr="003E09A8">
        <w:trPr>
          <w:jc w:val="center"/>
        </w:trPr>
        <w:tc>
          <w:tcPr>
            <w:tcW w:w="1865" w:type="pct"/>
            <w:shd w:val="clear" w:color="auto" w:fill="E7E6E6" w:themeFill="background2"/>
          </w:tcPr>
          <w:p w14:paraId="38BFBF71"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2F2020E0" w14:textId="77777777" w:rsidR="00F049D9" w:rsidRPr="001E6E9D" w:rsidRDefault="00F049D9" w:rsidP="00FA2FC0">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0B6AF46A" w14:textId="77777777" w:rsidTr="003E09A8">
        <w:trPr>
          <w:jc w:val="center"/>
        </w:trPr>
        <w:tc>
          <w:tcPr>
            <w:tcW w:w="1865" w:type="pct"/>
            <w:shd w:val="clear" w:color="auto" w:fill="E7E6E6" w:themeFill="background2"/>
          </w:tcPr>
          <w:p w14:paraId="772B88F5" w14:textId="77777777" w:rsidR="00F049D9" w:rsidRPr="001E6E9D" w:rsidRDefault="00F049D9" w:rsidP="00FA2FC0">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C322965" w14:textId="77777777" w:rsidR="00F049D9" w:rsidRPr="001E6E9D" w:rsidRDefault="00F049D9" w:rsidP="00FA2FC0">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11ACD65B" w14:textId="77777777" w:rsidTr="003E09A8">
        <w:trPr>
          <w:jc w:val="center"/>
        </w:trPr>
        <w:tc>
          <w:tcPr>
            <w:tcW w:w="1865" w:type="pct"/>
            <w:shd w:val="clear" w:color="auto" w:fill="E7E6E6" w:themeFill="background2"/>
          </w:tcPr>
          <w:p w14:paraId="212F4F7D" w14:textId="55FF0C0E"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Data Estimada para Início (para projeto não</w:t>
            </w:r>
            <w:r w:rsidR="00FF6165">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2F09451B"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5496B573" w14:textId="77777777" w:rsidTr="003E09A8">
        <w:trPr>
          <w:jc w:val="center"/>
        </w:trPr>
        <w:tc>
          <w:tcPr>
            <w:tcW w:w="1865" w:type="pct"/>
            <w:shd w:val="clear" w:color="auto" w:fill="E7E6E6" w:themeFill="background2"/>
          </w:tcPr>
          <w:p w14:paraId="2EA827B8"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04087C57"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Fevereiro de 2022</w:t>
            </w:r>
          </w:p>
        </w:tc>
      </w:tr>
      <w:tr w:rsidR="00F049D9" w:rsidRPr="001E6E9D" w14:paraId="226C7BE3" w14:textId="77777777" w:rsidTr="003E09A8">
        <w:trPr>
          <w:jc w:val="center"/>
        </w:trPr>
        <w:tc>
          <w:tcPr>
            <w:tcW w:w="1865" w:type="pct"/>
            <w:shd w:val="clear" w:color="auto" w:fill="E7E6E6" w:themeFill="background2"/>
          </w:tcPr>
          <w:p w14:paraId="34BBDE2F"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26479003"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04/01/2024</w:t>
            </w:r>
          </w:p>
        </w:tc>
      </w:tr>
      <w:tr w:rsidR="00F049D9" w:rsidRPr="001E6E9D" w14:paraId="2E9A12D4" w14:textId="77777777" w:rsidTr="003E09A8">
        <w:trPr>
          <w:jc w:val="center"/>
        </w:trPr>
        <w:tc>
          <w:tcPr>
            <w:tcW w:w="1865" w:type="pct"/>
            <w:shd w:val="clear" w:color="auto" w:fill="E7E6E6" w:themeFill="background2"/>
          </w:tcPr>
          <w:p w14:paraId="36D9812B"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513D0FF5" w14:textId="77777777"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70D6B75F" w14:textId="77777777" w:rsidTr="003E09A8">
        <w:trPr>
          <w:jc w:val="center"/>
        </w:trPr>
        <w:tc>
          <w:tcPr>
            <w:tcW w:w="1865" w:type="pct"/>
            <w:shd w:val="clear" w:color="auto" w:fill="E7E6E6" w:themeFill="background2"/>
          </w:tcPr>
          <w:p w14:paraId="67D12D46" w14:textId="77777777" w:rsidR="00F049D9" w:rsidRPr="001E6E9D" w:rsidRDefault="00F049D9" w:rsidP="00FA2FC0">
            <w:pPr>
              <w:widowControl w:val="0"/>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5EC2C399" w14:textId="77777777" w:rsidR="00F049D9" w:rsidRPr="001E6E9D" w:rsidRDefault="00F049D9" w:rsidP="00FA2FC0">
            <w:pPr>
              <w:widowControl w:val="0"/>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R$7.570.281,96 (sete milhões, quinhentos e setenta mil, duzentos e oitenta e um reais e noventa e seis centavos).</w:t>
            </w:r>
          </w:p>
        </w:tc>
      </w:tr>
      <w:tr w:rsidR="00F049D9" w:rsidRPr="001E6E9D" w14:paraId="236DE72E" w14:textId="77777777" w:rsidTr="003E09A8">
        <w:trPr>
          <w:jc w:val="center"/>
        </w:trPr>
        <w:tc>
          <w:tcPr>
            <w:tcW w:w="1865" w:type="pct"/>
            <w:shd w:val="clear" w:color="auto" w:fill="E7E6E6" w:themeFill="background2"/>
          </w:tcPr>
          <w:p w14:paraId="78459BD6" w14:textId="6C2271B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FF6165">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21786957" w14:textId="06CDF903"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13875BCD" w14:textId="77777777" w:rsidTr="003E09A8">
        <w:trPr>
          <w:trHeight w:val="376"/>
          <w:jc w:val="center"/>
        </w:trPr>
        <w:tc>
          <w:tcPr>
            <w:tcW w:w="1865" w:type="pct"/>
            <w:shd w:val="clear" w:color="auto" w:fill="E7E6E6" w:themeFill="background2"/>
          </w:tcPr>
          <w:p w14:paraId="4A4A8882"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2863B0EE" w14:textId="77777777" w:rsidR="00F049D9" w:rsidRPr="001E6E9D" w:rsidRDefault="00F049D9" w:rsidP="00FA2FC0">
            <w:pPr>
              <w:widowControl w:val="0"/>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4% (quatro por cento)</w:t>
            </w:r>
          </w:p>
        </w:tc>
      </w:tr>
    </w:tbl>
    <w:p w14:paraId="4AD989EF"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026222E7" w14:textId="77777777" w:rsidTr="003E09A8">
        <w:trPr>
          <w:tblHeader/>
          <w:jc w:val="center"/>
        </w:trPr>
        <w:tc>
          <w:tcPr>
            <w:tcW w:w="5000" w:type="pct"/>
            <w:gridSpan w:val="2"/>
            <w:shd w:val="clear" w:color="auto" w:fill="E7E6E6" w:themeFill="background2"/>
          </w:tcPr>
          <w:p w14:paraId="4BAB36CD" w14:textId="3CB824C1"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12.</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Colares 2</w:t>
            </w:r>
          </w:p>
        </w:tc>
      </w:tr>
      <w:tr w:rsidR="00F049D9" w:rsidRPr="001E6E9D" w14:paraId="5B6AAFDC" w14:textId="77777777" w:rsidTr="003E09A8">
        <w:trPr>
          <w:jc w:val="center"/>
        </w:trPr>
        <w:tc>
          <w:tcPr>
            <w:tcW w:w="1865" w:type="pct"/>
            <w:shd w:val="clear" w:color="auto" w:fill="E7E6E6" w:themeFill="background2"/>
          </w:tcPr>
          <w:p w14:paraId="09E1B5E3"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330B8143" w14:textId="744747A9"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COLARES LOCAÇÃO E SOLUÇÕES EM ENERGIA SOLAR LTDA.</w:t>
            </w:r>
          </w:p>
        </w:tc>
      </w:tr>
      <w:tr w:rsidR="00F049D9" w:rsidRPr="001E6E9D" w14:paraId="2A9A65F0" w14:textId="77777777" w:rsidTr="003E09A8">
        <w:trPr>
          <w:jc w:val="center"/>
        </w:trPr>
        <w:tc>
          <w:tcPr>
            <w:tcW w:w="1865" w:type="pct"/>
            <w:shd w:val="clear" w:color="auto" w:fill="E7E6E6" w:themeFill="background2"/>
          </w:tcPr>
          <w:p w14:paraId="26E97549"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654531F5" w14:textId="77777777"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Mato Grosso do Sul, voltada para o mercado de minigeração distribuída, possuindo capacidade instalada de 1264,4 MWp.</w:t>
            </w:r>
          </w:p>
        </w:tc>
      </w:tr>
      <w:tr w:rsidR="00F049D9" w:rsidRPr="001E6E9D" w14:paraId="21BBA6B9" w14:textId="77777777" w:rsidTr="003E09A8">
        <w:trPr>
          <w:jc w:val="center"/>
        </w:trPr>
        <w:tc>
          <w:tcPr>
            <w:tcW w:w="1865" w:type="pct"/>
            <w:shd w:val="clear" w:color="auto" w:fill="E7E6E6" w:themeFill="background2"/>
          </w:tcPr>
          <w:p w14:paraId="00456B2D"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022D5FAA" w14:textId="77777777"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32B34471" w14:textId="77777777" w:rsidTr="003E09A8">
        <w:trPr>
          <w:jc w:val="center"/>
        </w:trPr>
        <w:tc>
          <w:tcPr>
            <w:tcW w:w="1865" w:type="pct"/>
            <w:shd w:val="clear" w:color="auto" w:fill="E7E6E6" w:themeFill="background2"/>
          </w:tcPr>
          <w:p w14:paraId="36F7BE45" w14:textId="1BEE84FB"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FF6165">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594B240F" w14:textId="05EC4F18"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1629BCB4" w14:textId="77777777" w:rsidTr="003E09A8">
        <w:trPr>
          <w:jc w:val="center"/>
        </w:trPr>
        <w:tc>
          <w:tcPr>
            <w:tcW w:w="1865" w:type="pct"/>
            <w:shd w:val="clear" w:color="auto" w:fill="E7E6E6" w:themeFill="background2"/>
          </w:tcPr>
          <w:p w14:paraId="22557998"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44268E31"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439C8433" w14:textId="77777777" w:rsidTr="003E09A8">
        <w:trPr>
          <w:jc w:val="center"/>
        </w:trPr>
        <w:tc>
          <w:tcPr>
            <w:tcW w:w="1865" w:type="pct"/>
            <w:shd w:val="clear" w:color="auto" w:fill="E7E6E6" w:themeFill="background2"/>
          </w:tcPr>
          <w:p w14:paraId="5A390321"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839FC9A" w14:textId="77777777"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7E7B30B5" w14:textId="77777777" w:rsidTr="003E09A8">
        <w:trPr>
          <w:jc w:val="center"/>
        </w:trPr>
        <w:tc>
          <w:tcPr>
            <w:tcW w:w="1865" w:type="pct"/>
            <w:shd w:val="clear" w:color="auto" w:fill="E7E6E6" w:themeFill="background2"/>
          </w:tcPr>
          <w:p w14:paraId="668873B7" w14:textId="763D821C"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FF6165">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1BCC0F7F"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2EC55216" w14:textId="77777777" w:rsidTr="003E09A8">
        <w:trPr>
          <w:jc w:val="center"/>
        </w:trPr>
        <w:tc>
          <w:tcPr>
            <w:tcW w:w="1865" w:type="pct"/>
            <w:shd w:val="clear" w:color="auto" w:fill="E7E6E6" w:themeFill="background2"/>
          </w:tcPr>
          <w:p w14:paraId="57088B16"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7DCCA43A"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Setembro de 2023</w:t>
            </w:r>
          </w:p>
        </w:tc>
      </w:tr>
      <w:tr w:rsidR="00F049D9" w:rsidRPr="001E6E9D" w14:paraId="4F5EAC6C" w14:textId="77777777" w:rsidTr="003E09A8">
        <w:trPr>
          <w:jc w:val="center"/>
        </w:trPr>
        <w:tc>
          <w:tcPr>
            <w:tcW w:w="1865" w:type="pct"/>
            <w:shd w:val="clear" w:color="auto" w:fill="E7E6E6" w:themeFill="background2"/>
          </w:tcPr>
          <w:p w14:paraId="62EAEA23"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692519E1" w14:textId="77777777" w:rsidR="00F049D9" w:rsidRPr="001E6E9D" w:rsidRDefault="00F049D9" w:rsidP="00FA2FC0">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12/01/2024</w:t>
            </w:r>
          </w:p>
        </w:tc>
      </w:tr>
      <w:tr w:rsidR="00F049D9" w:rsidRPr="001E6E9D" w14:paraId="12668C62" w14:textId="77777777" w:rsidTr="003E09A8">
        <w:trPr>
          <w:jc w:val="center"/>
        </w:trPr>
        <w:tc>
          <w:tcPr>
            <w:tcW w:w="1865" w:type="pct"/>
            <w:shd w:val="clear" w:color="auto" w:fill="E7E6E6" w:themeFill="background2"/>
          </w:tcPr>
          <w:p w14:paraId="7E098359" w14:textId="77777777" w:rsidR="00F049D9" w:rsidRPr="001E6E9D" w:rsidRDefault="00F049D9" w:rsidP="00FA2FC0">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4E00DE8C" w14:textId="77777777" w:rsidR="00F049D9" w:rsidRPr="001E6E9D" w:rsidRDefault="00F049D9" w:rsidP="00FA2FC0">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51EC68F3" w14:textId="77777777" w:rsidTr="003E09A8">
        <w:trPr>
          <w:jc w:val="center"/>
        </w:trPr>
        <w:tc>
          <w:tcPr>
            <w:tcW w:w="1865" w:type="pct"/>
            <w:shd w:val="clear" w:color="auto" w:fill="E7E6E6" w:themeFill="background2"/>
          </w:tcPr>
          <w:p w14:paraId="0324582F" w14:textId="77777777" w:rsidR="00F049D9" w:rsidRPr="001E6E9D" w:rsidRDefault="00F049D9" w:rsidP="00FA2FC0">
            <w:pPr>
              <w:widowControl w:val="0"/>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2457A89E" w14:textId="77777777" w:rsidR="00F049D9" w:rsidRPr="001E6E9D" w:rsidRDefault="00F049D9" w:rsidP="00FA2FC0">
            <w:pPr>
              <w:widowControl w:val="0"/>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R$6.721.933,45 (seis milhões, setecentos e vinte e um mil, novecentos e trinta e três reais e quarenta e cinco centavos).</w:t>
            </w:r>
          </w:p>
        </w:tc>
      </w:tr>
      <w:tr w:rsidR="00F049D9" w:rsidRPr="001E6E9D" w14:paraId="541794AF" w14:textId="77777777" w:rsidTr="003E09A8">
        <w:trPr>
          <w:jc w:val="center"/>
        </w:trPr>
        <w:tc>
          <w:tcPr>
            <w:tcW w:w="1865" w:type="pct"/>
            <w:shd w:val="clear" w:color="auto" w:fill="E7E6E6" w:themeFill="background2"/>
          </w:tcPr>
          <w:p w14:paraId="758321EB" w14:textId="37300D02"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Valor das Debêntures que será destinado ao</w:t>
            </w:r>
            <w:r w:rsidR="00FF6165">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42B926F0" w14:textId="26D69739"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0E8292C2" w14:textId="77777777" w:rsidTr="003E09A8">
        <w:trPr>
          <w:trHeight w:val="376"/>
          <w:jc w:val="center"/>
        </w:trPr>
        <w:tc>
          <w:tcPr>
            <w:tcW w:w="1865" w:type="pct"/>
            <w:shd w:val="clear" w:color="auto" w:fill="E7E6E6" w:themeFill="background2"/>
          </w:tcPr>
          <w:p w14:paraId="27AFF310"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240C7F76"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4244DB7E"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36002A98" w14:textId="77777777" w:rsidTr="003E09A8">
        <w:trPr>
          <w:tblHeader/>
          <w:jc w:val="center"/>
        </w:trPr>
        <w:tc>
          <w:tcPr>
            <w:tcW w:w="5000" w:type="pct"/>
            <w:gridSpan w:val="2"/>
            <w:shd w:val="clear" w:color="auto" w:fill="E7E6E6" w:themeFill="background2"/>
          </w:tcPr>
          <w:p w14:paraId="6CCAAA9D" w14:textId="28CF8B49"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13.</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Colares 5</w:t>
            </w:r>
          </w:p>
        </w:tc>
      </w:tr>
      <w:tr w:rsidR="00F049D9" w:rsidRPr="001E6E9D" w14:paraId="6E4E02A4" w14:textId="77777777" w:rsidTr="003E09A8">
        <w:trPr>
          <w:jc w:val="center"/>
        </w:trPr>
        <w:tc>
          <w:tcPr>
            <w:tcW w:w="1865" w:type="pct"/>
            <w:shd w:val="clear" w:color="auto" w:fill="E7E6E6" w:themeFill="background2"/>
          </w:tcPr>
          <w:p w14:paraId="3F6ECFE0"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1929A93B" w14:textId="53A2DAFC"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COLARES LOCAÇÃO E SOLUÇÕES EM ENERGIA SOLAR</w:t>
            </w:r>
            <w:r w:rsidRPr="001E6E9D">
              <w:rPr>
                <w:rFonts w:asciiTheme="minorHAnsi" w:hAnsiTheme="minorHAnsi" w:cstheme="minorHAnsi"/>
                <w:bCs/>
                <w:sz w:val="16"/>
                <w:szCs w:val="16"/>
                <w14:ligatures w14:val="standardContextual"/>
              </w:rPr>
              <w:t xml:space="preserve"> </w:t>
            </w:r>
            <w:r w:rsidRPr="001E6E9D">
              <w:rPr>
                <w:rFonts w:asciiTheme="minorHAnsi" w:hAnsiTheme="minorHAnsi" w:cstheme="minorHAnsi"/>
                <w:sz w:val="16"/>
                <w:szCs w:val="16"/>
                <w14:ligatures w14:val="standardContextual"/>
              </w:rPr>
              <w:t>LTDA.</w:t>
            </w:r>
          </w:p>
        </w:tc>
      </w:tr>
      <w:tr w:rsidR="00F049D9" w:rsidRPr="001E6E9D" w14:paraId="42B245D8" w14:textId="77777777" w:rsidTr="003E09A8">
        <w:trPr>
          <w:jc w:val="center"/>
        </w:trPr>
        <w:tc>
          <w:tcPr>
            <w:tcW w:w="1865" w:type="pct"/>
            <w:shd w:val="clear" w:color="auto" w:fill="E7E6E6" w:themeFill="background2"/>
          </w:tcPr>
          <w:p w14:paraId="41C82EFC"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37BF587B"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Mato Grosso do Sul, voltada para o mercado de minigeração distribuída, possuindo capacidade instalada de 3034,56 MWp.</w:t>
            </w:r>
          </w:p>
        </w:tc>
      </w:tr>
      <w:tr w:rsidR="00F049D9" w:rsidRPr="001E6E9D" w14:paraId="46AD6C9D" w14:textId="77777777" w:rsidTr="003E09A8">
        <w:trPr>
          <w:jc w:val="center"/>
        </w:trPr>
        <w:tc>
          <w:tcPr>
            <w:tcW w:w="1865" w:type="pct"/>
            <w:shd w:val="clear" w:color="auto" w:fill="E7E6E6" w:themeFill="background2"/>
          </w:tcPr>
          <w:p w14:paraId="4C2E3D2B"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24ED8253"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7407804C" w14:textId="77777777" w:rsidTr="003E09A8">
        <w:trPr>
          <w:jc w:val="center"/>
        </w:trPr>
        <w:tc>
          <w:tcPr>
            <w:tcW w:w="1865" w:type="pct"/>
            <w:shd w:val="clear" w:color="auto" w:fill="E7E6E6" w:themeFill="background2"/>
          </w:tcPr>
          <w:p w14:paraId="062CA14C" w14:textId="63C0F0C5"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FF6165">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7934A76A" w14:textId="7CBB08DB"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07B1FBBC" w14:textId="77777777" w:rsidTr="003E09A8">
        <w:trPr>
          <w:jc w:val="center"/>
        </w:trPr>
        <w:tc>
          <w:tcPr>
            <w:tcW w:w="1865" w:type="pct"/>
            <w:shd w:val="clear" w:color="auto" w:fill="E7E6E6" w:themeFill="background2"/>
          </w:tcPr>
          <w:p w14:paraId="5ED1C7F0"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30F0246B"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42603ABE" w14:textId="77777777" w:rsidTr="003E09A8">
        <w:trPr>
          <w:jc w:val="center"/>
        </w:trPr>
        <w:tc>
          <w:tcPr>
            <w:tcW w:w="1865" w:type="pct"/>
            <w:shd w:val="clear" w:color="auto" w:fill="E7E6E6" w:themeFill="background2"/>
          </w:tcPr>
          <w:p w14:paraId="52130D20"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3FEB567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6FA44A5E" w14:textId="77777777" w:rsidTr="003E09A8">
        <w:trPr>
          <w:jc w:val="center"/>
        </w:trPr>
        <w:tc>
          <w:tcPr>
            <w:tcW w:w="1865" w:type="pct"/>
            <w:shd w:val="clear" w:color="auto" w:fill="E7E6E6" w:themeFill="background2"/>
          </w:tcPr>
          <w:p w14:paraId="00BA5103" w14:textId="18416F34"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FF6165">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06C2863B"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44952D6B" w14:textId="77777777" w:rsidTr="003E09A8">
        <w:trPr>
          <w:jc w:val="center"/>
        </w:trPr>
        <w:tc>
          <w:tcPr>
            <w:tcW w:w="1865" w:type="pct"/>
            <w:shd w:val="clear" w:color="auto" w:fill="E7E6E6" w:themeFill="background2"/>
          </w:tcPr>
          <w:p w14:paraId="0CC5E1B0"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1E6FDD9A"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Setembro de 2023</w:t>
            </w:r>
          </w:p>
        </w:tc>
      </w:tr>
      <w:tr w:rsidR="00F049D9" w:rsidRPr="001E6E9D" w14:paraId="374C2C2E" w14:textId="77777777" w:rsidTr="003E09A8">
        <w:trPr>
          <w:jc w:val="center"/>
        </w:trPr>
        <w:tc>
          <w:tcPr>
            <w:tcW w:w="1865" w:type="pct"/>
            <w:shd w:val="clear" w:color="auto" w:fill="E7E6E6" w:themeFill="background2"/>
          </w:tcPr>
          <w:p w14:paraId="29FC3EDC"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4D04415B"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08/02/2024</w:t>
            </w:r>
          </w:p>
        </w:tc>
      </w:tr>
      <w:tr w:rsidR="00F049D9" w:rsidRPr="001E6E9D" w14:paraId="2433DE92" w14:textId="77777777" w:rsidTr="003E09A8">
        <w:trPr>
          <w:jc w:val="center"/>
        </w:trPr>
        <w:tc>
          <w:tcPr>
            <w:tcW w:w="1865" w:type="pct"/>
            <w:shd w:val="clear" w:color="auto" w:fill="E7E6E6" w:themeFill="background2"/>
          </w:tcPr>
          <w:p w14:paraId="0047BEAD"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5B6A9DC8"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2861008E" w14:textId="77777777" w:rsidTr="003E09A8">
        <w:trPr>
          <w:jc w:val="center"/>
        </w:trPr>
        <w:tc>
          <w:tcPr>
            <w:tcW w:w="1865" w:type="pct"/>
            <w:shd w:val="clear" w:color="auto" w:fill="E7E6E6" w:themeFill="background2"/>
          </w:tcPr>
          <w:p w14:paraId="74EE51E4" w14:textId="77777777" w:rsidR="00F049D9" w:rsidRPr="001E6E9D" w:rsidRDefault="00F049D9" w:rsidP="00FA2FC0">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75C88346"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R$13.801.735,50 (treze milhões, oitocentos e um mil, setecentos e trinta e cinco reais e cinquenta centavos).</w:t>
            </w:r>
          </w:p>
        </w:tc>
      </w:tr>
      <w:tr w:rsidR="00F049D9" w:rsidRPr="001E6E9D" w14:paraId="0C19A651" w14:textId="77777777" w:rsidTr="003E09A8">
        <w:trPr>
          <w:jc w:val="center"/>
        </w:trPr>
        <w:tc>
          <w:tcPr>
            <w:tcW w:w="1865" w:type="pct"/>
            <w:shd w:val="clear" w:color="auto" w:fill="E7E6E6" w:themeFill="background2"/>
          </w:tcPr>
          <w:p w14:paraId="2C5EFF42" w14:textId="2B486A25"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FF6165">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53735F3E" w14:textId="117422DA"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3CE8C594" w14:textId="77777777" w:rsidTr="003E09A8">
        <w:trPr>
          <w:trHeight w:val="376"/>
          <w:jc w:val="center"/>
        </w:trPr>
        <w:tc>
          <w:tcPr>
            <w:tcW w:w="1865" w:type="pct"/>
            <w:shd w:val="clear" w:color="auto" w:fill="E7E6E6" w:themeFill="background2"/>
          </w:tcPr>
          <w:p w14:paraId="4F0E2E44"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6E11D36C"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7% (sete por cento)</w:t>
            </w:r>
          </w:p>
        </w:tc>
      </w:tr>
    </w:tbl>
    <w:p w14:paraId="630B41F2" w14:textId="77777777" w:rsidR="00F049D9" w:rsidRPr="001E6E9D" w:rsidRDefault="00F049D9" w:rsidP="00FA2FC0">
      <w:pPr>
        <w:pStyle w:val="PargrafodaLista"/>
        <w:keepNext/>
        <w:keepLines/>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lastRenderedPageBreak/>
        <w:t>SPE 10</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588A9C3E" w14:textId="77777777" w:rsidTr="003E09A8">
        <w:trPr>
          <w:tblHeader/>
          <w:jc w:val="center"/>
        </w:trPr>
        <w:tc>
          <w:tcPr>
            <w:tcW w:w="5000" w:type="pct"/>
            <w:gridSpan w:val="2"/>
            <w:shd w:val="clear" w:color="auto" w:fill="E7E6E6" w:themeFill="background2"/>
          </w:tcPr>
          <w:p w14:paraId="59E59B7B" w14:textId="0568897B"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14.</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Ilha das Palmas 20</w:t>
            </w:r>
          </w:p>
        </w:tc>
      </w:tr>
      <w:tr w:rsidR="00F049D9" w:rsidRPr="001E6E9D" w14:paraId="527C9DFE" w14:textId="77777777" w:rsidTr="003E09A8">
        <w:trPr>
          <w:jc w:val="center"/>
        </w:trPr>
        <w:tc>
          <w:tcPr>
            <w:tcW w:w="1865" w:type="pct"/>
            <w:shd w:val="clear" w:color="auto" w:fill="E7E6E6" w:themeFill="background2"/>
          </w:tcPr>
          <w:p w14:paraId="5898D934"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7AD18231" w14:textId="4AA34A2F"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UBATUBA LOCAÇÃO E SOLUÇÕES EM ENERGIA SOLAR LTDA.</w:t>
            </w:r>
          </w:p>
        </w:tc>
      </w:tr>
      <w:tr w:rsidR="00F049D9" w:rsidRPr="001E6E9D" w14:paraId="257867F4" w14:textId="77777777" w:rsidTr="003E09A8">
        <w:trPr>
          <w:jc w:val="center"/>
        </w:trPr>
        <w:tc>
          <w:tcPr>
            <w:tcW w:w="1865" w:type="pct"/>
            <w:shd w:val="clear" w:color="auto" w:fill="E7E6E6" w:themeFill="background2"/>
          </w:tcPr>
          <w:p w14:paraId="11C5ED6C"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7131FB08"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São Paulo, voltada para o mercado de minigeração distribuída, possuindo capacidade instalada de 1264,4 MWp.</w:t>
            </w:r>
          </w:p>
        </w:tc>
      </w:tr>
      <w:tr w:rsidR="00F049D9" w:rsidRPr="001E6E9D" w14:paraId="3AC7DFDB" w14:textId="77777777" w:rsidTr="003E09A8">
        <w:trPr>
          <w:jc w:val="center"/>
        </w:trPr>
        <w:tc>
          <w:tcPr>
            <w:tcW w:w="1865" w:type="pct"/>
            <w:shd w:val="clear" w:color="auto" w:fill="E7E6E6" w:themeFill="background2"/>
          </w:tcPr>
          <w:p w14:paraId="1738D3D6"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7A236433"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23D695D4" w14:textId="77777777" w:rsidTr="003E09A8">
        <w:trPr>
          <w:jc w:val="center"/>
        </w:trPr>
        <w:tc>
          <w:tcPr>
            <w:tcW w:w="1865" w:type="pct"/>
            <w:shd w:val="clear" w:color="auto" w:fill="E7E6E6" w:themeFill="background2"/>
          </w:tcPr>
          <w:p w14:paraId="20E39A9E" w14:textId="313B255A"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FF6165">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56AF72DE" w14:textId="0C4BFC94"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4A165235" w14:textId="77777777" w:rsidTr="003E09A8">
        <w:trPr>
          <w:jc w:val="center"/>
        </w:trPr>
        <w:tc>
          <w:tcPr>
            <w:tcW w:w="1865" w:type="pct"/>
            <w:shd w:val="clear" w:color="auto" w:fill="E7E6E6" w:themeFill="background2"/>
          </w:tcPr>
          <w:p w14:paraId="7A3E9E0F"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4F42A08E"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1756D827" w14:textId="77777777" w:rsidTr="003E09A8">
        <w:trPr>
          <w:jc w:val="center"/>
        </w:trPr>
        <w:tc>
          <w:tcPr>
            <w:tcW w:w="1865" w:type="pct"/>
            <w:shd w:val="clear" w:color="auto" w:fill="E7E6E6" w:themeFill="background2"/>
          </w:tcPr>
          <w:p w14:paraId="555CA74D"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E8B0BF6"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08F11EA4" w14:textId="77777777" w:rsidTr="003E09A8">
        <w:trPr>
          <w:jc w:val="center"/>
        </w:trPr>
        <w:tc>
          <w:tcPr>
            <w:tcW w:w="1865" w:type="pct"/>
            <w:shd w:val="clear" w:color="auto" w:fill="E7E6E6" w:themeFill="background2"/>
          </w:tcPr>
          <w:p w14:paraId="79AF0657" w14:textId="456C102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FF6165">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4A931DF5"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1F2F89CC" w14:textId="77777777" w:rsidTr="003E09A8">
        <w:trPr>
          <w:jc w:val="center"/>
        </w:trPr>
        <w:tc>
          <w:tcPr>
            <w:tcW w:w="1865" w:type="pct"/>
            <w:shd w:val="clear" w:color="auto" w:fill="E7E6E6" w:themeFill="background2"/>
          </w:tcPr>
          <w:p w14:paraId="25313CDE"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6CF8C878"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Julho de 2024</w:t>
            </w:r>
          </w:p>
        </w:tc>
      </w:tr>
      <w:tr w:rsidR="00F049D9" w:rsidRPr="001E6E9D" w14:paraId="42C61860" w14:textId="77777777" w:rsidTr="003E09A8">
        <w:trPr>
          <w:jc w:val="center"/>
        </w:trPr>
        <w:tc>
          <w:tcPr>
            <w:tcW w:w="1865" w:type="pct"/>
            <w:shd w:val="clear" w:color="auto" w:fill="E7E6E6" w:themeFill="background2"/>
          </w:tcPr>
          <w:p w14:paraId="7DC627A7"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35EC3BFD"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19/04/2024</w:t>
            </w:r>
          </w:p>
        </w:tc>
      </w:tr>
      <w:tr w:rsidR="00F049D9" w:rsidRPr="001E6E9D" w14:paraId="4703F1FA" w14:textId="77777777" w:rsidTr="003E09A8">
        <w:trPr>
          <w:jc w:val="center"/>
        </w:trPr>
        <w:tc>
          <w:tcPr>
            <w:tcW w:w="1865" w:type="pct"/>
            <w:shd w:val="clear" w:color="auto" w:fill="E7E6E6" w:themeFill="background2"/>
          </w:tcPr>
          <w:p w14:paraId="44A1EEF2"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13588C1D"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5BA1C6C6" w14:textId="77777777" w:rsidTr="003E09A8">
        <w:trPr>
          <w:jc w:val="center"/>
        </w:trPr>
        <w:tc>
          <w:tcPr>
            <w:tcW w:w="1865" w:type="pct"/>
            <w:shd w:val="clear" w:color="auto" w:fill="E7E6E6" w:themeFill="background2"/>
          </w:tcPr>
          <w:p w14:paraId="7D66DB8F" w14:textId="77777777" w:rsidR="00F049D9" w:rsidRPr="001E6E9D" w:rsidRDefault="00F049D9" w:rsidP="00FA2FC0">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6E01F1AF"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R$5.056.862,00 (cinco milhões, cinquenta e seis mil, oitocentos e sessenta e dois reais).</w:t>
            </w:r>
          </w:p>
        </w:tc>
      </w:tr>
      <w:tr w:rsidR="00F049D9" w:rsidRPr="001E6E9D" w14:paraId="1BECFF61" w14:textId="77777777" w:rsidTr="003E09A8">
        <w:trPr>
          <w:jc w:val="center"/>
        </w:trPr>
        <w:tc>
          <w:tcPr>
            <w:tcW w:w="1865" w:type="pct"/>
            <w:shd w:val="clear" w:color="auto" w:fill="E7E6E6" w:themeFill="background2"/>
          </w:tcPr>
          <w:p w14:paraId="6853920A" w14:textId="72A144BD"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FF6165">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691669FD" w14:textId="2F69C110"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31EA64A9" w14:textId="77777777" w:rsidTr="003E09A8">
        <w:trPr>
          <w:trHeight w:val="376"/>
          <w:jc w:val="center"/>
        </w:trPr>
        <w:tc>
          <w:tcPr>
            <w:tcW w:w="1865" w:type="pct"/>
            <w:shd w:val="clear" w:color="auto" w:fill="E7E6E6" w:themeFill="background2"/>
          </w:tcPr>
          <w:p w14:paraId="6E0DF85D" w14:textId="77777777" w:rsidR="00F049D9" w:rsidRPr="001E6E9D" w:rsidRDefault="00F049D9" w:rsidP="00FA2FC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28FDF69B"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082484C2"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73515B4D" w14:textId="77777777" w:rsidTr="003E09A8">
        <w:trPr>
          <w:tblHeader/>
          <w:jc w:val="center"/>
        </w:trPr>
        <w:tc>
          <w:tcPr>
            <w:tcW w:w="5000" w:type="pct"/>
            <w:gridSpan w:val="2"/>
            <w:shd w:val="clear" w:color="auto" w:fill="E7E6E6" w:themeFill="background2"/>
          </w:tcPr>
          <w:p w14:paraId="0498C1D9" w14:textId="35201EAA"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15.</w:t>
            </w:r>
            <w:r w:rsidR="00FA2FC0"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Ilha das Palmas 21</w:t>
            </w:r>
          </w:p>
        </w:tc>
      </w:tr>
      <w:tr w:rsidR="00F049D9" w:rsidRPr="001E6E9D" w14:paraId="2D656E1B" w14:textId="77777777" w:rsidTr="003E09A8">
        <w:trPr>
          <w:jc w:val="center"/>
        </w:trPr>
        <w:tc>
          <w:tcPr>
            <w:tcW w:w="1865" w:type="pct"/>
            <w:shd w:val="clear" w:color="auto" w:fill="E7E6E6" w:themeFill="background2"/>
          </w:tcPr>
          <w:p w14:paraId="13287F07"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139DF24F" w14:textId="0FF1B359"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UBATUBA LOCAÇÃO E SOLUÇÕES EM ENERGIA SOLAR LTDA.</w:t>
            </w:r>
          </w:p>
        </w:tc>
      </w:tr>
      <w:tr w:rsidR="00F049D9" w:rsidRPr="001E6E9D" w14:paraId="4DDD480E" w14:textId="77777777" w:rsidTr="003E09A8">
        <w:trPr>
          <w:jc w:val="center"/>
        </w:trPr>
        <w:tc>
          <w:tcPr>
            <w:tcW w:w="1865" w:type="pct"/>
            <w:shd w:val="clear" w:color="auto" w:fill="E7E6E6" w:themeFill="background2"/>
          </w:tcPr>
          <w:p w14:paraId="273DDE7F"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0B8D7C11"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São Paulo, voltada para o mercado de minigeração distribuída, possuindo capacidade instalada de 1264,4 MWp.</w:t>
            </w:r>
          </w:p>
        </w:tc>
      </w:tr>
      <w:tr w:rsidR="00F049D9" w:rsidRPr="001E6E9D" w14:paraId="4EF02421" w14:textId="77777777" w:rsidTr="003E09A8">
        <w:trPr>
          <w:jc w:val="center"/>
        </w:trPr>
        <w:tc>
          <w:tcPr>
            <w:tcW w:w="1865" w:type="pct"/>
            <w:shd w:val="clear" w:color="auto" w:fill="E7E6E6" w:themeFill="background2"/>
          </w:tcPr>
          <w:p w14:paraId="3D221D8C" w14:textId="77777777"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Objetivo do Projeto</w:t>
            </w:r>
          </w:p>
        </w:tc>
        <w:tc>
          <w:tcPr>
            <w:tcW w:w="3135" w:type="pct"/>
            <w:vAlign w:val="center"/>
          </w:tcPr>
          <w:p w14:paraId="60D4633E" w14:textId="77777777" w:rsidR="00F049D9" w:rsidRPr="001E6E9D" w:rsidRDefault="00F049D9" w:rsidP="004F4DCA">
            <w:pPr>
              <w:keepLines/>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61C6144A" w14:textId="77777777" w:rsidTr="003E09A8">
        <w:trPr>
          <w:jc w:val="center"/>
        </w:trPr>
        <w:tc>
          <w:tcPr>
            <w:tcW w:w="1865" w:type="pct"/>
            <w:shd w:val="clear" w:color="auto" w:fill="E7E6E6" w:themeFill="background2"/>
          </w:tcPr>
          <w:p w14:paraId="6DA6E153" w14:textId="653AF488"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FF6165">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361F171A" w14:textId="35A30B5A" w:rsidR="00F049D9" w:rsidRPr="001E6E9D" w:rsidRDefault="00F049D9" w:rsidP="004F4DCA">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11E6B6CF" w14:textId="77777777" w:rsidTr="003E09A8">
        <w:trPr>
          <w:jc w:val="center"/>
        </w:trPr>
        <w:tc>
          <w:tcPr>
            <w:tcW w:w="1865" w:type="pct"/>
            <w:shd w:val="clear" w:color="auto" w:fill="E7E6E6" w:themeFill="background2"/>
          </w:tcPr>
          <w:p w14:paraId="07053E8B" w14:textId="77777777"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6F3CFDEF" w14:textId="77777777" w:rsidR="00F049D9" w:rsidRPr="001E6E9D" w:rsidRDefault="00F049D9" w:rsidP="004F4DCA">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0AF7DD05" w14:textId="77777777" w:rsidTr="003E09A8">
        <w:trPr>
          <w:jc w:val="center"/>
        </w:trPr>
        <w:tc>
          <w:tcPr>
            <w:tcW w:w="1865" w:type="pct"/>
            <w:shd w:val="clear" w:color="auto" w:fill="E7E6E6" w:themeFill="background2"/>
          </w:tcPr>
          <w:p w14:paraId="5AFFD5C6" w14:textId="77777777"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23B8FE13" w14:textId="77777777" w:rsidR="00F049D9" w:rsidRPr="001E6E9D" w:rsidRDefault="00F049D9" w:rsidP="004F4DCA">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6FA79C49" w14:textId="77777777" w:rsidTr="003E09A8">
        <w:trPr>
          <w:jc w:val="center"/>
        </w:trPr>
        <w:tc>
          <w:tcPr>
            <w:tcW w:w="1865" w:type="pct"/>
            <w:shd w:val="clear" w:color="auto" w:fill="E7E6E6" w:themeFill="background2"/>
          </w:tcPr>
          <w:p w14:paraId="61E6D28B" w14:textId="774BEC86"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FF6165">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6F281481" w14:textId="77777777" w:rsidR="00F049D9" w:rsidRPr="001E6E9D" w:rsidRDefault="00F049D9" w:rsidP="004F4DCA">
            <w:pPr>
              <w:widowControl w:val="0"/>
              <w:tabs>
                <w:tab w:val="left" w:pos="1418"/>
                <w:tab w:val="left" w:pos="2366"/>
              </w:tabs>
              <w:spacing w:before="90" w:after="9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536CAD4D" w14:textId="77777777" w:rsidTr="003E09A8">
        <w:trPr>
          <w:jc w:val="center"/>
        </w:trPr>
        <w:tc>
          <w:tcPr>
            <w:tcW w:w="1865" w:type="pct"/>
            <w:shd w:val="clear" w:color="auto" w:fill="E7E6E6" w:themeFill="background2"/>
          </w:tcPr>
          <w:p w14:paraId="0C238D71" w14:textId="77777777"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4AF5D156" w14:textId="77777777" w:rsidR="00F049D9" w:rsidRPr="001E6E9D" w:rsidRDefault="00F049D9" w:rsidP="004F4DCA">
            <w:pPr>
              <w:widowControl w:val="0"/>
              <w:tabs>
                <w:tab w:val="left" w:pos="1418"/>
                <w:tab w:val="left" w:pos="2366"/>
              </w:tabs>
              <w:spacing w:before="90" w:after="9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Julho de 2024</w:t>
            </w:r>
          </w:p>
        </w:tc>
      </w:tr>
      <w:tr w:rsidR="00F049D9" w:rsidRPr="001E6E9D" w14:paraId="154D6EBB" w14:textId="77777777" w:rsidTr="003E09A8">
        <w:trPr>
          <w:jc w:val="center"/>
        </w:trPr>
        <w:tc>
          <w:tcPr>
            <w:tcW w:w="1865" w:type="pct"/>
            <w:shd w:val="clear" w:color="auto" w:fill="E7E6E6" w:themeFill="background2"/>
          </w:tcPr>
          <w:p w14:paraId="0B4153BE" w14:textId="77777777"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643661A9" w14:textId="77777777" w:rsidR="00F049D9" w:rsidRPr="001E6E9D" w:rsidRDefault="00F049D9" w:rsidP="004F4DCA">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19/04/2024</w:t>
            </w:r>
          </w:p>
        </w:tc>
      </w:tr>
      <w:tr w:rsidR="00F049D9" w:rsidRPr="001E6E9D" w14:paraId="6105FAF0" w14:textId="77777777" w:rsidTr="003E09A8">
        <w:trPr>
          <w:jc w:val="center"/>
        </w:trPr>
        <w:tc>
          <w:tcPr>
            <w:tcW w:w="1865" w:type="pct"/>
            <w:shd w:val="clear" w:color="auto" w:fill="E7E6E6" w:themeFill="background2"/>
          </w:tcPr>
          <w:p w14:paraId="569DC9B5" w14:textId="77777777"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7E50136B" w14:textId="77777777" w:rsidR="00F049D9" w:rsidRPr="001E6E9D" w:rsidRDefault="00F049D9" w:rsidP="004F4DCA">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00BC3160" w14:textId="77777777" w:rsidTr="003E09A8">
        <w:trPr>
          <w:jc w:val="center"/>
        </w:trPr>
        <w:tc>
          <w:tcPr>
            <w:tcW w:w="1865" w:type="pct"/>
            <w:shd w:val="clear" w:color="auto" w:fill="E7E6E6" w:themeFill="background2"/>
          </w:tcPr>
          <w:p w14:paraId="3D78A7D3" w14:textId="77777777" w:rsidR="00F049D9" w:rsidRPr="001E6E9D" w:rsidRDefault="00F049D9" w:rsidP="004F4DCA">
            <w:pPr>
              <w:widowControl w:val="0"/>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58CB0CF0" w14:textId="77777777" w:rsidR="00F049D9" w:rsidRPr="001E6E9D" w:rsidRDefault="00F049D9" w:rsidP="004F4DCA">
            <w:pPr>
              <w:widowControl w:val="0"/>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R$5.063.548,00 (cinco milhões, sessenta e três mil, quinhentos e quarenta e oito reais)</w:t>
            </w:r>
          </w:p>
        </w:tc>
      </w:tr>
      <w:tr w:rsidR="00F049D9" w:rsidRPr="001E6E9D" w14:paraId="0D16CBF7" w14:textId="77777777" w:rsidTr="003E09A8">
        <w:trPr>
          <w:jc w:val="center"/>
        </w:trPr>
        <w:tc>
          <w:tcPr>
            <w:tcW w:w="1865" w:type="pct"/>
            <w:shd w:val="clear" w:color="auto" w:fill="E7E6E6" w:themeFill="background2"/>
          </w:tcPr>
          <w:p w14:paraId="4EBEEFB7" w14:textId="28CCF967"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FF6165">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0DFF1008" w14:textId="072061AD" w:rsidR="00F049D9" w:rsidRPr="001E6E9D" w:rsidRDefault="00F049D9" w:rsidP="004F4DCA">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76BB95E8" w14:textId="77777777" w:rsidTr="003E09A8">
        <w:trPr>
          <w:trHeight w:val="376"/>
          <w:jc w:val="center"/>
        </w:trPr>
        <w:tc>
          <w:tcPr>
            <w:tcW w:w="1865" w:type="pct"/>
            <w:shd w:val="clear" w:color="auto" w:fill="E7E6E6" w:themeFill="background2"/>
          </w:tcPr>
          <w:p w14:paraId="3E9B7A07" w14:textId="77777777" w:rsidR="00F049D9" w:rsidRPr="001E6E9D" w:rsidRDefault="00F049D9" w:rsidP="004F4DCA">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6DA53A54" w14:textId="77777777" w:rsidR="00F049D9" w:rsidRPr="001E6E9D" w:rsidRDefault="00F049D9" w:rsidP="004F4DCA">
            <w:pPr>
              <w:widowControl w:val="0"/>
              <w:spacing w:before="90" w:after="9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377F842C"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t>SPE 11</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3AA94699" w14:textId="77777777" w:rsidTr="003E09A8">
        <w:trPr>
          <w:tblHeader/>
          <w:jc w:val="center"/>
        </w:trPr>
        <w:tc>
          <w:tcPr>
            <w:tcW w:w="5000" w:type="pct"/>
            <w:gridSpan w:val="2"/>
            <w:shd w:val="clear" w:color="auto" w:fill="E7E6E6" w:themeFill="background2"/>
          </w:tcPr>
          <w:p w14:paraId="051CBDC8" w14:textId="724CC2D1"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16.</w:t>
            </w:r>
            <w:r w:rsidR="004F4DCA"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Ilha do Mel 17</w:t>
            </w:r>
          </w:p>
        </w:tc>
      </w:tr>
      <w:tr w:rsidR="00F049D9" w:rsidRPr="001E6E9D" w14:paraId="092FADEE" w14:textId="77777777" w:rsidTr="003E09A8">
        <w:trPr>
          <w:jc w:val="center"/>
        </w:trPr>
        <w:tc>
          <w:tcPr>
            <w:tcW w:w="1865" w:type="pct"/>
            <w:shd w:val="clear" w:color="auto" w:fill="E7E6E6" w:themeFill="background2"/>
          </w:tcPr>
          <w:p w14:paraId="0B06241E" w14:textId="77777777" w:rsidR="00F049D9" w:rsidRPr="001E6E9D" w:rsidRDefault="00F049D9" w:rsidP="004F4DCA">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05A43FC9" w14:textId="0DD9C213"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CONCHAS LOCAÇÃO E SOLUÇÕES EM ENERGIA SOLAR LTDA.</w:t>
            </w:r>
          </w:p>
        </w:tc>
      </w:tr>
      <w:tr w:rsidR="00F049D9" w:rsidRPr="001E6E9D" w14:paraId="08785A9B" w14:textId="77777777" w:rsidTr="003E09A8">
        <w:trPr>
          <w:jc w:val="center"/>
        </w:trPr>
        <w:tc>
          <w:tcPr>
            <w:tcW w:w="1865" w:type="pct"/>
            <w:shd w:val="clear" w:color="auto" w:fill="E7E6E6" w:themeFill="background2"/>
          </w:tcPr>
          <w:p w14:paraId="053047E0" w14:textId="77777777" w:rsidR="00F049D9" w:rsidRPr="001E6E9D" w:rsidRDefault="00F049D9" w:rsidP="004F4DCA">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284209A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Paraná, voltada para o mercado de minigeração distribuída, possuindo capacidade instalada de 3035,87 MWp.</w:t>
            </w:r>
          </w:p>
        </w:tc>
      </w:tr>
      <w:tr w:rsidR="00F049D9" w:rsidRPr="001E6E9D" w14:paraId="44BE220C" w14:textId="77777777" w:rsidTr="003E09A8">
        <w:trPr>
          <w:jc w:val="center"/>
        </w:trPr>
        <w:tc>
          <w:tcPr>
            <w:tcW w:w="1865" w:type="pct"/>
            <w:shd w:val="clear" w:color="auto" w:fill="E7E6E6" w:themeFill="background2"/>
          </w:tcPr>
          <w:p w14:paraId="0C389C1E" w14:textId="77777777" w:rsidR="00F049D9" w:rsidRPr="001E6E9D" w:rsidRDefault="00F049D9" w:rsidP="004F4DCA">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72C9DA07"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0B2AAFAD" w14:textId="77777777" w:rsidTr="003E09A8">
        <w:trPr>
          <w:jc w:val="center"/>
        </w:trPr>
        <w:tc>
          <w:tcPr>
            <w:tcW w:w="1865" w:type="pct"/>
            <w:shd w:val="clear" w:color="auto" w:fill="E7E6E6" w:themeFill="background2"/>
          </w:tcPr>
          <w:p w14:paraId="4D2D0897" w14:textId="482BFBDA"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Protocolo de Enquadramento no Ministério de</w:t>
            </w:r>
            <w:r w:rsidR="00FF6165">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53AF67B7" w14:textId="2F03ED31" w:rsidR="00F049D9" w:rsidRPr="001E6E9D" w:rsidRDefault="00F049D9" w:rsidP="004F4DCA">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1E91DDD1" w14:textId="77777777" w:rsidTr="003E09A8">
        <w:trPr>
          <w:jc w:val="center"/>
        </w:trPr>
        <w:tc>
          <w:tcPr>
            <w:tcW w:w="1865" w:type="pct"/>
            <w:shd w:val="clear" w:color="auto" w:fill="E7E6E6" w:themeFill="background2"/>
          </w:tcPr>
          <w:p w14:paraId="7FA22B4D"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0B6436AA" w14:textId="77777777" w:rsidR="00F049D9" w:rsidRPr="001E6E9D" w:rsidRDefault="00F049D9" w:rsidP="004F4DCA">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5A2EC60F" w14:textId="77777777" w:rsidTr="003E09A8">
        <w:trPr>
          <w:jc w:val="center"/>
        </w:trPr>
        <w:tc>
          <w:tcPr>
            <w:tcW w:w="1865" w:type="pct"/>
            <w:shd w:val="clear" w:color="auto" w:fill="E7E6E6" w:themeFill="background2"/>
          </w:tcPr>
          <w:p w14:paraId="5CF76E65"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1B52FFDF" w14:textId="77777777" w:rsidR="00F049D9" w:rsidRPr="001E6E9D" w:rsidRDefault="00F049D9" w:rsidP="004F4DCA">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3F76C769" w14:textId="77777777" w:rsidTr="003E09A8">
        <w:trPr>
          <w:jc w:val="center"/>
        </w:trPr>
        <w:tc>
          <w:tcPr>
            <w:tcW w:w="1865" w:type="pct"/>
            <w:shd w:val="clear" w:color="auto" w:fill="E7E6E6" w:themeFill="background2"/>
          </w:tcPr>
          <w:p w14:paraId="4F710231" w14:textId="22A8806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FF6165">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3D6DFC59" w14:textId="77777777" w:rsidR="00F049D9" w:rsidRPr="001E6E9D" w:rsidRDefault="00F049D9" w:rsidP="004F4DCA">
            <w:pPr>
              <w:widowControl w:val="0"/>
              <w:tabs>
                <w:tab w:val="left" w:pos="1418"/>
                <w:tab w:val="left" w:pos="2366"/>
              </w:tabs>
              <w:spacing w:before="80" w:after="8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6D7C46DF" w14:textId="77777777" w:rsidTr="003E09A8">
        <w:trPr>
          <w:jc w:val="center"/>
        </w:trPr>
        <w:tc>
          <w:tcPr>
            <w:tcW w:w="1865" w:type="pct"/>
            <w:shd w:val="clear" w:color="auto" w:fill="E7E6E6" w:themeFill="background2"/>
          </w:tcPr>
          <w:p w14:paraId="4ACCE242"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3110D305" w14:textId="77777777" w:rsidR="00F049D9" w:rsidRPr="001E6E9D" w:rsidRDefault="00F049D9" w:rsidP="004F4DCA">
            <w:pPr>
              <w:widowControl w:val="0"/>
              <w:tabs>
                <w:tab w:val="left" w:pos="1418"/>
                <w:tab w:val="left" w:pos="2366"/>
              </w:tabs>
              <w:spacing w:before="80" w:after="8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Janeiro de 2024</w:t>
            </w:r>
          </w:p>
        </w:tc>
      </w:tr>
      <w:tr w:rsidR="00F049D9" w:rsidRPr="001E6E9D" w14:paraId="48569F95" w14:textId="77777777" w:rsidTr="003E09A8">
        <w:trPr>
          <w:jc w:val="center"/>
        </w:trPr>
        <w:tc>
          <w:tcPr>
            <w:tcW w:w="1865" w:type="pct"/>
            <w:shd w:val="clear" w:color="auto" w:fill="E7E6E6" w:themeFill="background2"/>
          </w:tcPr>
          <w:p w14:paraId="53B7D3F8"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4E4BADC8" w14:textId="77777777" w:rsidR="00F049D9" w:rsidRPr="001E6E9D" w:rsidRDefault="00F049D9" w:rsidP="004F4DCA">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20/09/2024</w:t>
            </w:r>
          </w:p>
        </w:tc>
      </w:tr>
      <w:tr w:rsidR="00F049D9" w:rsidRPr="001E6E9D" w14:paraId="3720FCD7" w14:textId="77777777" w:rsidTr="003E09A8">
        <w:trPr>
          <w:jc w:val="center"/>
        </w:trPr>
        <w:tc>
          <w:tcPr>
            <w:tcW w:w="1865" w:type="pct"/>
            <w:shd w:val="clear" w:color="auto" w:fill="E7E6E6" w:themeFill="background2"/>
          </w:tcPr>
          <w:p w14:paraId="3E34ED5F"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0F8331FA" w14:textId="77777777" w:rsidR="00F049D9" w:rsidRPr="001E6E9D" w:rsidRDefault="00F049D9" w:rsidP="004F4DCA">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02B89F18" w14:textId="77777777" w:rsidTr="003E09A8">
        <w:trPr>
          <w:jc w:val="center"/>
        </w:trPr>
        <w:tc>
          <w:tcPr>
            <w:tcW w:w="1865" w:type="pct"/>
            <w:shd w:val="clear" w:color="auto" w:fill="E7E6E6" w:themeFill="background2"/>
          </w:tcPr>
          <w:p w14:paraId="0790A6B7" w14:textId="77777777" w:rsidR="00F049D9" w:rsidRPr="001E6E9D" w:rsidRDefault="00F049D9" w:rsidP="004F4DCA">
            <w:pPr>
              <w:widowControl w:val="0"/>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53586F74" w14:textId="77777777" w:rsidR="00F049D9" w:rsidRPr="001E6E9D" w:rsidRDefault="00F049D9" w:rsidP="004F4DCA">
            <w:pPr>
              <w:widowControl w:val="0"/>
              <w:spacing w:before="80" w:after="80"/>
              <w:rPr>
                <w:rFonts w:asciiTheme="minorHAnsi" w:hAnsiTheme="minorHAnsi" w:cstheme="minorHAnsi"/>
                <w:sz w:val="16"/>
                <w:szCs w:val="16"/>
              </w:rPr>
            </w:pPr>
            <w:r w:rsidRPr="001E6E9D">
              <w:rPr>
                <w:rFonts w:asciiTheme="minorHAnsi" w:hAnsiTheme="minorHAnsi" w:cstheme="minorHAnsi"/>
                <w:sz w:val="16"/>
                <w:szCs w:val="16"/>
              </w:rPr>
              <w:t>R$13.180.885,65 (treze milhões, cento e oitenta mil, oitocentos e oitenta e cinco reais e sessenta e cinco centavos).</w:t>
            </w:r>
          </w:p>
        </w:tc>
      </w:tr>
      <w:tr w:rsidR="00F049D9" w:rsidRPr="001E6E9D" w14:paraId="7574912C" w14:textId="77777777" w:rsidTr="003E09A8">
        <w:trPr>
          <w:jc w:val="center"/>
        </w:trPr>
        <w:tc>
          <w:tcPr>
            <w:tcW w:w="1865" w:type="pct"/>
            <w:shd w:val="clear" w:color="auto" w:fill="E7E6E6" w:themeFill="background2"/>
          </w:tcPr>
          <w:p w14:paraId="7FBC090C" w14:textId="41117C6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FF6165">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6BB40D71" w14:textId="12AB4DAC" w:rsidR="00F049D9" w:rsidRPr="001E6E9D" w:rsidRDefault="00F049D9" w:rsidP="004F4DCA">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74F3182D" w14:textId="77777777" w:rsidTr="003E09A8">
        <w:trPr>
          <w:trHeight w:val="376"/>
          <w:jc w:val="center"/>
        </w:trPr>
        <w:tc>
          <w:tcPr>
            <w:tcW w:w="1865" w:type="pct"/>
            <w:shd w:val="clear" w:color="auto" w:fill="E7E6E6" w:themeFill="background2"/>
          </w:tcPr>
          <w:p w14:paraId="13F23F32"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4F6F1E88" w14:textId="77777777" w:rsidR="00F049D9" w:rsidRPr="001E6E9D" w:rsidRDefault="00F049D9" w:rsidP="004F4DCA">
            <w:pPr>
              <w:widowControl w:val="0"/>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7% (sete por cento)</w:t>
            </w:r>
          </w:p>
        </w:tc>
      </w:tr>
    </w:tbl>
    <w:p w14:paraId="5CC4112A"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t>SPE 12</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76217C13" w14:textId="77777777" w:rsidTr="003E09A8">
        <w:trPr>
          <w:tblHeader/>
          <w:jc w:val="center"/>
        </w:trPr>
        <w:tc>
          <w:tcPr>
            <w:tcW w:w="5000" w:type="pct"/>
            <w:gridSpan w:val="2"/>
            <w:shd w:val="clear" w:color="auto" w:fill="E7E6E6" w:themeFill="background2"/>
          </w:tcPr>
          <w:p w14:paraId="11A4B0DB" w14:textId="35742422"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17.</w:t>
            </w:r>
            <w:r w:rsidR="004F4DCA"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Ilha das Palmas 35</w:t>
            </w:r>
          </w:p>
        </w:tc>
      </w:tr>
      <w:tr w:rsidR="00F049D9" w:rsidRPr="001E6E9D" w14:paraId="60B3FFE9" w14:textId="77777777" w:rsidTr="003E09A8">
        <w:trPr>
          <w:jc w:val="center"/>
        </w:trPr>
        <w:tc>
          <w:tcPr>
            <w:tcW w:w="1865" w:type="pct"/>
            <w:shd w:val="clear" w:color="auto" w:fill="E7E6E6" w:themeFill="background2"/>
          </w:tcPr>
          <w:p w14:paraId="7DA1DFC8"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4612F7AA" w14:textId="77777777" w:rsidR="00F049D9" w:rsidRPr="001E6E9D" w:rsidRDefault="00F049D9" w:rsidP="004F4DCA">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SAO ROQUE LOCACAO E SOLUCOES EM ENERGIA SOLAR LTDA.</w:t>
            </w:r>
          </w:p>
        </w:tc>
      </w:tr>
      <w:tr w:rsidR="00F049D9" w:rsidRPr="001E6E9D" w14:paraId="12C6A4ED" w14:textId="77777777" w:rsidTr="003E09A8">
        <w:trPr>
          <w:jc w:val="center"/>
        </w:trPr>
        <w:tc>
          <w:tcPr>
            <w:tcW w:w="1865" w:type="pct"/>
            <w:shd w:val="clear" w:color="auto" w:fill="E7E6E6" w:themeFill="background2"/>
          </w:tcPr>
          <w:p w14:paraId="746D6E99"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2538E56F" w14:textId="77777777" w:rsidR="00F049D9" w:rsidRPr="001E6E9D" w:rsidRDefault="00F049D9" w:rsidP="004F4DCA">
            <w:pPr>
              <w:widowControl w:val="0"/>
              <w:tabs>
                <w:tab w:val="left" w:pos="1418"/>
                <w:tab w:val="left" w:pos="2366"/>
              </w:tabs>
              <w:spacing w:before="80" w:after="8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São Paulo, voltada para o mercado de minigeração distribuída, possuindo capacidade instalada de 3042,68 MWp.</w:t>
            </w:r>
          </w:p>
        </w:tc>
      </w:tr>
      <w:tr w:rsidR="00F049D9" w:rsidRPr="001E6E9D" w14:paraId="322AF71E" w14:textId="77777777" w:rsidTr="003E09A8">
        <w:trPr>
          <w:jc w:val="center"/>
        </w:trPr>
        <w:tc>
          <w:tcPr>
            <w:tcW w:w="1865" w:type="pct"/>
            <w:shd w:val="clear" w:color="auto" w:fill="E7E6E6" w:themeFill="background2"/>
          </w:tcPr>
          <w:p w14:paraId="69B1C427"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63BF04E0" w14:textId="77777777" w:rsidR="00F049D9" w:rsidRPr="001E6E9D" w:rsidRDefault="00F049D9" w:rsidP="004F4DCA">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79D3805B" w14:textId="77777777" w:rsidTr="003E09A8">
        <w:trPr>
          <w:jc w:val="center"/>
        </w:trPr>
        <w:tc>
          <w:tcPr>
            <w:tcW w:w="1865" w:type="pct"/>
            <w:shd w:val="clear" w:color="auto" w:fill="E7E6E6" w:themeFill="background2"/>
          </w:tcPr>
          <w:p w14:paraId="35570966" w14:textId="1193F399"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1C0B3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67105D2D" w14:textId="1B43325E" w:rsidR="00F049D9" w:rsidRPr="001E6E9D" w:rsidRDefault="00F049D9" w:rsidP="004F4DCA">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11D3B5A2" w14:textId="77777777" w:rsidTr="003E09A8">
        <w:trPr>
          <w:jc w:val="center"/>
        </w:trPr>
        <w:tc>
          <w:tcPr>
            <w:tcW w:w="1865" w:type="pct"/>
            <w:shd w:val="clear" w:color="auto" w:fill="E7E6E6" w:themeFill="background2"/>
          </w:tcPr>
          <w:p w14:paraId="41F00A4F"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30C85E3A" w14:textId="77777777" w:rsidR="00F049D9" w:rsidRPr="001E6E9D" w:rsidRDefault="00F049D9" w:rsidP="004F4DCA">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1D5874EE" w14:textId="77777777" w:rsidTr="003E09A8">
        <w:trPr>
          <w:jc w:val="center"/>
        </w:trPr>
        <w:tc>
          <w:tcPr>
            <w:tcW w:w="1865" w:type="pct"/>
            <w:shd w:val="clear" w:color="auto" w:fill="E7E6E6" w:themeFill="background2"/>
          </w:tcPr>
          <w:p w14:paraId="01EBC42C" w14:textId="77777777" w:rsidR="00F049D9" w:rsidRPr="001E6E9D" w:rsidRDefault="00F049D9" w:rsidP="004F4DCA">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4CD187ED" w14:textId="77777777" w:rsidR="00F049D9" w:rsidRPr="001E6E9D" w:rsidRDefault="00F049D9" w:rsidP="004F4DCA">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06D5E52B" w14:textId="77777777" w:rsidTr="003E09A8">
        <w:trPr>
          <w:jc w:val="center"/>
        </w:trPr>
        <w:tc>
          <w:tcPr>
            <w:tcW w:w="1865" w:type="pct"/>
            <w:shd w:val="clear" w:color="auto" w:fill="E7E6E6" w:themeFill="background2"/>
          </w:tcPr>
          <w:p w14:paraId="658A932B" w14:textId="17C77E7C" w:rsidR="00F049D9" w:rsidRPr="001E6E9D" w:rsidRDefault="00F049D9" w:rsidP="004F4DCA">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Data Estimada para Início (para projeto não</w:t>
            </w:r>
            <w:r w:rsidR="001C0B3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103CC81E"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63029CAC" w14:textId="77777777" w:rsidTr="003E09A8">
        <w:trPr>
          <w:jc w:val="center"/>
        </w:trPr>
        <w:tc>
          <w:tcPr>
            <w:tcW w:w="1865" w:type="pct"/>
            <w:shd w:val="clear" w:color="auto" w:fill="E7E6E6" w:themeFill="background2"/>
          </w:tcPr>
          <w:p w14:paraId="56C553EC" w14:textId="77777777" w:rsidR="00F049D9" w:rsidRPr="001E6E9D" w:rsidRDefault="00F049D9" w:rsidP="004F4DCA">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6B317281"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Maio de 2024</w:t>
            </w:r>
          </w:p>
        </w:tc>
      </w:tr>
      <w:tr w:rsidR="00F049D9" w:rsidRPr="001E6E9D" w14:paraId="47AF7203" w14:textId="77777777" w:rsidTr="003E09A8">
        <w:trPr>
          <w:jc w:val="center"/>
        </w:trPr>
        <w:tc>
          <w:tcPr>
            <w:tcW w:w="1865" w:type="pct"/>
            <w:shd w:val="clear" w:color="auto" w:fill="E7E6E6" w:themeFill="background2"/>
          </w:tcPr>
          <w:p w14:paraId="76415C35" w14:textId="77777777" w:rsidR="00F049D9" w:rsidRPr="001E6E9D" w:rsidRDefault="00F049D9" w:rsidP="004F4DCA">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447B4268"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30/09/2024</w:t>
            </w:r>
          </w:p>
        </w:tc>
      </w:tr>
      <w:tr w:rsidR="00F049D9" w:rsidRPr="001E6E9D" w14:paraId="3A8E9A6B" w14:textId="77777777" w:rsidTr="003E09A8">
        <w:trPr>
          <w:jc w:val="center"/>
        </w:trPr>
        <w:tc>
          <w:tcPr>
            <w:tcW w:w="1865" w:type="pct"/>
            <w:shd w:val="clear" w:color="auto" w:fill="E7E6E6" w:themeFill="background2"/>
          </w:tcPr>
          <w:p w14:paraId="30B5BBF3" w14:textId="77777777" w:rsidR="00F049D9" w:rsidRPr="001E6E9D" w:rsidRDefault="00F049D9" w:rsidP="004F4DCA">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46F83178"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Finalizado e conectado.</w:t>
            </w:r>
          </w:p>
        </w:tc>
      </w:tr>
      <w:tr w:rsidR="00F049D9" w:rsidRPr="001E6E9D" w14:paraId="1E749A13" w14:textId="77777777" w:rsidTr="003E09A8">
        <w:trPr>
          <w:jc w:val="center"/>
        </w:trPr>
        <w:tc>
          <w:tcPr>
            <w:tcW w:w="1865" w:type="pct"/>
            <w:shd w:val="clear" w:color="auto" w:fill="E7E6E6" w:themeFill="background2"/>
          </w:tcPr>
          <w:p w14:paraId="0BC6BBD6" w14:textId="77777777" w:rsidR="00F049D9" w:rsidRPr="001E6E9D" w:rsidRDefault="00F049D9" w:rsidP="004F4DCA">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6220C6B9"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R$10.640.513,00 (dez milhões, seiscentos e quarenta mil, quinhentos e treze reais).</w:t>
            </w:r>
          </w:p>
        </w:tc>
      </w:tr>
      <w:tr w:rsidR="00F049D9" w:rsidRPr="001E6E9D" w14:paraId="2DB9C4A3" w14:textId="77777777" w:rsidTr="003E09A8">
        <w:trPr>
          <w:jc w:val="center"/>
        </w:trPr>
        <w:tc>
          <w:tcPr>
            <w:tcW w:w="1865" w:type="pct"/>
            <w:shd w:val="clear" w:color="auto" w:fill="E7E6E6" w:themeFill="background2"/>
          </w:tcPr>
          <w:p w14:paraId="7A478FD5" w14:textId="0F0705AB" w:rsidR="00F049D9" w:rsidRPr="001E6E9D" w:rsidRDefault="00F049D9" w:rsidP="004F4DCA">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1C0B3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2665E2C7" w14:textId="50CF8073"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01A86637" w14:textId="77777777" w:rsidTr="003E09A8">
        <w:trPr>
          <w:trHeight w:val="376"/>
          <w:jc w:val="center"/>
        </w:trPr>
        <w:tc>
          <w:tcPr>
            <w:tcW w:w="1865" w:type="pct"/>
            <w:shd w:val="clear" w:color="auto" w:fill="E7E6E6" w:themeFill="background2"/>
          </w:tcPr>
          <w:p w14:paraId="4AB95A9C" w14:textId="77777777" w:rsidR="00F049D9" w:rsidRPr="001E6E9D" w:rsidRDefault="00F049D9" w:rsidP="004F4DCA">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43D5F1C2"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5% (cinco por cento)</w:t>
            </w:r>
          </w:p>
        </w:tc>
      </w:tr>
    </w:tbl>
    <w:p w14:paraId="44F8205B"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15D1A5EC" w14:textId="77777777" w:rsidTr="003E09A8">
        <w:trPr>
          <w:tblHeader/>
          <w:jc w:val="center"/>
        </w:trPr>
        <w:tc>
          <w:tcPr>
            <w:tcW w:w="5000" w:type="pct"/>
            <w:gridSpan w:val="2"/>
            <w:shd w:val="clear" w:color="auto" w:fill="E7E6E6" w:themeFill="background2"/>
          </w:tcPr>
          <w:p w14:paraId="7DFE09FA" w14:textId="7EA84822"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18.</w:t>
            </w:r>
            <w:r w:rsidR="00BA2902"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Ilha das Palmas 3</w:t>
            </w:r>
          </w:p>
        </w:tc>
      </w:tr>
      <w:tr w:rsidR="00F049D9" w:rsidRPr="001E6E9D" w14:paraId="122C2BE8" w14:textId="77777777" w:rsidTr="003E09A8">
        <w:trPr>
          <w:jc w:val="center"/>
        </w:trPr>
        <w:tc>
          <w:tcPr>
            <w:tcW w:w="1865" w:type="pct"/>
            <w:shd w:val="clear" w:color="auto" w:fill="E7E6E6" w:themeFill="background2"/>
          </w:tcPr>
          <w:p w14:paraId="26D70A01" w14:textId="77777777"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22A795D7" w14:textId="59447E2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SAO ROQUE LOCACAO E SOLUCOES EM ENERGIA SOLAR LTDA.</w:t>
            </w:r>
          </w:p>
        </w:tc>
      </w:tr>
      <w:tr w:rsidR="00F049D9" w:rsidRPr="001E6E9D" w14:paraId="5847D744" w14:textId="77777777" w:rsidTr="003E09A8">
        <w:trPr>
          <w:jc w:val="center"/>
        </w:trPr>
        <w:tc>
          <w:tcPr>
            <w:tcW w:w="1865" w:type="pct"/>
            <w:shd w:val="clear" w:color="auto" w:fill="E7E6E6" w:themeFill="background2"/>
          </w:tcPr>
          <w:p w14:paraId="439D0BBE" w14:textId="77777777"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7AD85528" w14:textId="77777777" w:rsidR="00F049D9" w:rsidRPr="001E6E9D" w:rsidRDefault="00F049D9" w:rsidP="00A94FB3">
            <w:pPr>
              <w:widowControl w:val="0"/>
              <w:tabs>
                <w:tab w:val="left" w:pos="1418"/>
                <w:tab w:val="left" w:pos="2366"/>
              </w:tabs>
              <w:spacing w:before="100" w:after="100"/>
              <w:rPr>
                <w:rFonts w:asciiTheme="minorHAnsi" w:hAnsiTheme="minorHAnsi" w:cstheme="minorHAnsi"/>
                <w:bCs/>
                <w:sz w:val="16"/>
                <w:szCs w:val="16"/>
                <w14:ligatures w14:val="standardContextual"/>
              </w:rPr>
            </w:pPr>
            <w:r w:rsidRPr="001E6E9D">
              <w:rPr>
                <w:rFonts w:asciiTheme="minorHAnsi" w:hAnsiTheme="minorHAnsi" w:cstheme="minorHAnsi"/>
                <w:bCs/>
                <w:sz w:val="16"/>
                <w:szCs w:val="16"/>
                <w14:ligatures w14:val="standardContextual"/>
              </w:rPr>
              <w:t>Implantação, desenvolvimento e construção de usina de minigeração solar fotovoltaica, localizada no estado de São Paulo, voltada para o mercado de minigeração distribuída, possuindo capacidade instalada de 1273,68 MWp.</w:t>
            </w:r>
          </w:p>
        </w:tc>
      </w:tr>
      <w:tr w:rsidR="00F049D9" w:rsidRPr="001E6E9D" w14:paraId="5630E724" w14:textId="77777777" w:rsidTr="003E09A8">
        <w:trPr>
          <w:jc w:val="center"/>
        </w:trPr>
        <w:tc>
          <w:tcPr>
            <w:tcW w:w="1865" w:type="pct"/>
            <w:shd w:val="clear" w:color="auto" w:fill="E7E6E6" w:themeFill="background2"/>
          </w:tcPr>
          <w:p w14:paraId="571A2FBB" w14:textId="77777777"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22A60595"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79F055F6" w14:textId="77777777" w:rsidTr="003E09A8">
        <w:trPr>
          <w:jc w:val="center"/>
        </w:trPr>
        <w:tc>
          <w:tcPr>
            <w:tcW w:w="1865" w:type="pct"/>
            <w:shd w:val="clear" w:color="auto" w:fill="E7E6E6" w:themeFill="background2"/>
          </w:tcPr>
          <w:p w14:paraId="2D202AE5" w14:textId="5CFDA59E"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1C0B3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461A4C5D"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18D99D38" w14:textId="77777777" w:rsidTr="003E09A8">
        <w:trPr>
          <w:jc w:val="center"/>
        </w:trPr>
        <w:tc>
          <w:tcPr>
            <w:tcW w:w="1865" w:type="pct"/>
            <w:shd w:val="clear" w:color="auto" w:fill="E7E6E6" w:themeFill="background2"/>
          </w:tcPr>
          <w:p w14:paraId="141EB7D4" w14:textId="77777777"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797F046C"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Minigeração Distribuída</w:t>
            </w:r>
          </w:p>
        </w:tc>
      </w:tr>
      <w:tr w:rsidR="00F049D9" w:rsidRPr="001E6E9D" w14:paraId="3DAEEC1C" w14:textId="77777777" w:rsidTr="003E09A8">
        <w:trPr>
          <w:jc w:val="center"/>
        </w:trPr>
        <w:tc>
          <w:tcPr>
            <w:tcW w:w="1865" w:type="pct"/>
            <w:shd w:val="clear" w:color="auto" w:fill="E7E6E6" w:themeFill="background2"/>
          </w:tcPr>
          <w:p w14:paraId="6F713C17" w14:textId="77777777"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661B3AE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35ED51D8" w14:textId="77777777" w:rsidTr="003E09A8">
        <w:trPr>
          <w:jc w:val="center"/>
        </w:trPr>
        <w:tc>
          <w:tcPr>
            <w:tcW w:w="1865" w:type="pct"/>
            <w:shd w:val="clear" w:color="auto" w:fill="E7E6E6" w:themeFill="background2"/>
          </w:tcPr>
          <w:p w14:paraId="7AA4B93F" w14:textId="45C0FDCC"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1C0B3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1C63A63E"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Cs/>
                <w:sz w:val="16"/>
                <w:szCs w:val="16"/>
                <w14:ligatures w14:val="standardContextual"/>
              </w:rPr>
            </w:pPr>
            <w:r w:rsidRPr="001E6E9D">
              <w:rPr>
                <w:rFonts w:asciiTheme="minorHAnsi" w:hAnsiTheme="minorHAnsi" w:cstheme="minorHAnsi"/>
                <w:bCs/>
                <w:sz w:val="16"/>
                <w:szCs w:val="16"/>
                <w14:ligatures w14:val="standardContextual"/>
              </w:rPr>
              <w:t>N/A</w:t>
            </w:r>
          </w:p>
        </w:tc>
      </w:tr>
      <w:tr w:rsidR="00F049D9" w:rsidRPr="001E6E9D" w14:paraId="6C70277D" w14:textId="77777777" w:rsidTr="003E09A8">
        <w:trPr>
          <w:jc w:val="center"/>
        </w:trPr>
        <w:tc>
          <w:tcPr>
            <w:tcW w:w="1865" w:type="pct"/>
            <w:shd w:val="clear" w:color="auto" w:fill="E7E6E6" w:themeFill="background2"/>
          </w:tcPr>
          <w:p w14:paraId="6C69A395" w14:textId="77777777"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2BB57C59" w14:textId="77777777" w:rsidR="00F049D9" w:rsidRPr="001E6E9D" w:rsidRDefault="00F049D9" w:rsidP="00A94FB3">
            <w:pPr>
              <w:widowControl w:val="0"/>
              <w:tabs>
                <w:tab w:val="left" w:pos="1418"/>
                <w:tab w:val="left" w:pos="2366"/>
              </w:tabs>
              <w:spacing w:before="100" w:after="100"/>
              <w:jc w:val="center"/>
              <w:rPr>
                <w:rFonts w:asciiTheme="minorHAnsi" w:eastAsiaTheme="minorEastAsia" w:hAnsiTheme="minorHAnsi" w:cstheme="minorHAnsi"/>
                <w:b/>
                <w:sz w:val="16"/>
                <w:szCs w:val="16"/>
              </w:rPr>
            </w:pPr>
            <w:r w:rsidRPr="001E6E9D">
              <w:rPr>
                <w:rFonts w:asciiTheme="minorHAnsi" w:hAnsiTheme="minorHAnsi" w:cstheme="minorHAnsi"/>
                <w:bCs/>
                <w:sz w:val="16"/>
                <w:szCs w:val="16"/>
                <w14:ligatures w14:val="standardContextual"/>
              </w:rPr>
              <w:t>Junho de 2024</w:t>
            </w:r>
          </w:p>
        </w:tc>
      </w:tr>
      <w:tr w:rsidR="00F049D9" w:rsidRPr="001E6E9D" w14:paraId="3D64103D" w14:textId="77777777" w:rsidTr="003E09A8">
        <w:trPr>
          <w:jc w:val="center"/>
        </w:trPr>
        <w:tc>
          <w:tcPr>
            <w:tcW w:w="1865" w:type="pct"/>
            <w:shd w:val="clear" w:color="auto" w:fill="E7E6E6" w:themeFill="background2"/>
          </w:tcPr>
          <w:p w14:paraId="25A7D95A" w14:textId="77777777"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334A1DC0"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 de 2025</w:t>
            </w:r>
          </w:p>
        </w:tc>
      </w:tr>
      <w:tr w:rsidR="00F049D9" w:rsidRPr="001E6E9D" w14:paraId="216B2CA7" w14:textId="77777777" w:rsidTr="003E09A8">
        <w:trPr>
          <w:jc w:val="center"/>
        </w:trPr>
        <w:tc>
          <w:tcPr>
            <w:tcW w:w="1865" w:type="pct"/>
            <w:shd w:val="clear" w:color="auto" w:fill="E7E6E6" w:themeFill="background2"/>
          </w:tcPr>
          <w:p w14:paraId="42CFC48F" w14:textId="77777777"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37B477F8"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Em desenvolvimento.</w:t>
            </w:r>
          </w:p>
        </w:tc>
      </w:tr>
      <w:tr w:rsidR="00F049D9" w:rsidRPr="001E6E9D" w14:paraId="34B0BCCB" w14:textId="77777777" w:rsidTr="003E09A8">
        <w:trPr>
          <w:jc w:val="center"/>
        </w:trPr>
        <w:tc>
          <w:tcPr>
            <w:tcW w:w="1865" w:type="pct"/>
            <w:shd w:val="clear" w:color="auto" w:fill="E7E6E6" w:themeFill="background2"/>
          </w:tcPr>
          <w:p w14:paraId="279CC80E" w14:textId="77777777" w:rsidR="00F049D9" w:rsidRPr="001E6E9D" w:rsidRDefault="00F049D9" w:rsidP="00BA2902">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Volume estimado de recursos financeiros necessários para realização do Projeto</w:t>
            </w:r>
          </w:p>
        </w:tc>
        <w:tc>
          <w:tcPr>
            <w:tcW w:w="3135" w:type="pct"/>
            <w:vAlign w:val="center"/>
          </w:tcPr>
          <w:p w14:paraId="44B37C34" w14:textId="77777777" w:rsidR="00F049D9" w:rsidRPr="001E6E9D" w:rsidRDefault="00F049D9" w:rsidP="00BA2902">
            <w:pPr>
              <w:keepLines/>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R$4.725.872,00 (quatro milhões, setecentos e vinte e cinco mil, oitocentos e setenta e dois reais).</w:t>
            </w:r>
          </w:p>
        </w:tc>
      </w:tr>
      <w:tr w:rsidR="00F049D9" w:rsidRPr="001E6E9D" w14:paraId="68D2380C" w14:textId="77777777" w:rsidTr="003E09A8">
        <w:trPr>
          <w:jc w:val="center"/>
        </w:trPr>
        <w:tc>
          <w:tcPr>
            <w:tcW w:w="1865" w:type="pct"/>
            <w:shd w:val="clear" w:color="auto" w:fill="E7E6E6" w:themeFill="background2"/>
          </w:tcPr>
          <w:p w14:paraId="7B4792C8" w14:textId="6C4015EF"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1C0B3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03D6F719" w14:textId="437F9021"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2478B3C8" w14:textId="77777777" w:rsidTr="003E09A8">
        <w:trPr>
          <w:trHeight w:val="376"/>
          <w:jc w:val="center"/>
        </w:trPr>
        <w:tc>
          <w:tcPr>
            <w:tcW w:w="1865" w:type="pct"/>
            <w:shd w:val="clear" w:color="auto" w:fill="E7E6E6" w:themeFill="background2"/>
          </w:tcPr>
          <w:p w14:paraId="63BD0683" w14:textId="77777777" w:rsidR="00F049D9" w:rsidRPr="001E6E9D" w:rsidRDefault="00F049D9" w:rsidP="00BA2902">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65AFCDD8"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2% (dois por cento)</w:t>
            </w:r>
          </w:p>
        </w:tc>
      </w:tr>
    </w:tbl>
    <w:p w14:paraId="4595D11A"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0A4F9C60" w14:textId="77777777" w:rsidTr="003E09A8">
        <w:trPr>
          <w:tblHeader/>
          <w:jc w:val="center"/>
        </w:trPr>
        <w:tc>
          <w:tcPr>
            <w:tcW w:w="5000" w:type="pct"/>
            <w:gridSpan w:val="2"/>
            <w:shd w:val="clear" w:color="auto" w:fill="E7E6E6" w:themeFill="background2"/>
          </w:tcPr>
          <w:p w14:paraId="1C01C0D6" w14:textId="4A1763CF"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19.</w:t>
            </w:r>
            <w:r w:rsidR="00BA2902"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Ilha das Palmas 4</w:t>
            </w:r>
          </w:p>
        </w:tc>
      </w:tr>
      <w:tr w:rsidR="00F049D9" w:rsidRPr="001E6E9D" w14:paraId="1213645A" w14:textId="77777777" w:rsidTr="003E09A8">
        <w:trPr>
          <w:jc w:val="center"/>
        </w:trPr>
        <w:tc>
          <w:tcPr>
            <w:tcW w:w="1865" w:type="pct"/>
            <w:shd w:val="clear" w:color="auto" w:fill="E7E6E6" w:themeFill="background2"/>
          </w:tcPr>
          <w:p w14:paraId="2B2EBF0E" w14:textId="77777777"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3B644E0F" w14:textId="77777777" w:rsidR="00F049D9" w:rsidRPr="001E6E9D" w:rsidRDefault="00F049D9" w:rsidP="00A94FB3">
            <w:pPr>
              <w:widowControl w:val="0"/>
              <w:tabs>
                <w:tab w:val="left" w:pos="1418"/>
                <w:tab w:val="left" w:pos="2366"/>
              </w:tabs>
              <w:spacing w:before="100" w:after="100"/>
              <w:rPr>
                <w:rFonts w:asciiTheme="minorHAnsi" w:hAnsiTheme="minorHAnsi" w:cstheme="minorHAnsi"/>
                <w:bCs/>
                <w:sz w:val="16"/>
                <w:szCs w:val="16"/>
              </w:rPr>
            </w:pPr>
            <w:r w:rsidRPr="001E6E9D">
              <w:rPr>
                <w:rFonts w:asciiTheme="minorHAnsi" w:hAnsiTheme="minorHAnsi" w:cstheme="minorHAnsi"/>
                <w:bCs/>
                <w:sz w:val="16"/>
                <w:szCs w:val="16"/>
                <w14:ligatures w14:val="standardContextual"/>
              </w:rPr>
              <w:t>FARO SAO ROQUE LOCACAO E SOLUCOES EM ENERGIA SOLAR LTDA.</w:t>
            </w:r>
          </w:p>
        </w:tc>
      </w:tr>
      <w:tr w:rsidR="00F049D9" w:rsidRPr="001E6E9D" w14:paraId="2FF87A71" w14:textId="77777777" w:rsidTr="003E09A8">
        <w:trPr>
          <w:jc w:val="center"/>
        </w:trPr>
        <w:tc>
          <w:tcPr>
            <w:tcW w:w="1865" w:type="pct"/>
            <w:shd w:val="clear" w:color="auto" w:fill="E7E6E6" w:themeFill="background2"/>
          </w:tcPr>
          <w:p w14:paraId="0CFD8E71" w14:textId="77777777"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764E2BF0"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São Paulo, voltada para o mercado de minigeração distribuída, possuindo capacidade instalada de 1273,68 MWp.</w:t>
            </w:r>
          </w:p>
        </w:tc>
      </w:tr>
      <w:tr w:rsidR="00F049D9" w:rsidRPr="001E6E9D" w14:paraId="2E4E43B4" w14:textId="77777777" w:rsidTr="003E09A8">
        <w:trPr>
          <w:jc w:val="center"/>
        </w:trPr>
        <w:tc>
          <w:tcPr>
            <w:tcW w:w="1865" w:type="pct"/>
            <w:shd w:val="clear" w:color="auto" w:fill="E7E6E6" w:themeFill="background2"/>
          </w:tcPr>
          <w:p w14:paraId="6A7E1C63" w14:textId="77777777"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0313EBEB"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6641FC82" w14:textId="77777777" w:rsidTr="003E09A8">
        <w:trPr>
          <w:jc w:val="center"/>
        </w:trPr>
        <w:tc>
          <w:tcPr>
            <w:tcW w:w="1865" w:type="pct"/>
            <w:shd w:val="clear" w:color="auto" w:fill="E7E6E6" w:themeFill="background2"/>
          </w:tcPr>
          <w:p w14:paraId="0B88261D" w14:textId="2F5179F4"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1C0B3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012AE93A"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1F2A1445" w14:textId="77777777" w:rsidTr="003E09A8">
        <w:trPr>
          <w:jc w:val="center"/>
        </w:trPr>
        <w:tc>
          <w:tcPr>
            <w:tcW w:w="1865" w:type="pct"/>
            <w:shd w:val="clear" w:color="auto" w:fill="E7E6E6" w:themeFill="background2"/>
          </w:tcPr>
          <w:p w14:paraId="0C80E80A" w14:textId="77777777"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48527A49"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Minigeração Distribuída</w:t>
            </w:r>
          </w:p>
        </w:tc>
      </w:tr>
      <w:tr w:rsidR="00F049D9" w:rsidRPr="001E6E9D" w14:paraId="23C9D380" w14:textId="77777777" w:rsidTr="003E09A8">
        <w:trPr>
          <w:jc w:val="center"/>
        </w:trPr>
        <w:tc>
          <w:tcPr>
            <w:tcW w:w="1865" w:type="pct"/>
            <w:shd w:val="clear" w:color="auto" w:fill="E7E6E6" w:themeFill="background2"/>
          </w:tcPr>
          <w:p w14:paraId="2C585510" w14:textId="77777777"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3C410EA"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0D057C8D" w14:textId="77777777" w:rsidTr="003E09A8">
        <w:trPr>
          <w:jc w:val="center"/>
        </w:trPr>
        <w:tc>
          <w:tcPr>
            <w:tcW w:w="1865" w:type="pct"/>
            <w:shd w:val="clear" w:color="auto" w:fill="E7E6E6" w:themeFill="background2"/>
          </w:tcPr>
          <w:p w14:paraId="10C39DF5" w14:textId="62C8E9A2"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1C0B3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3B8F8C48"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Cs/>
                <w:sz w:val="16"/>
                <w:szCs w:val="16"/>
                <w14:ligatures w14:val="standardContextual"/>
              </w:rPr>
            </w:pPr>
            <w:r w:rsidRPr="001E6E9D">
              <w:rPr>
                <w:rFonts w:asciiTheme="minorHAnsi" w:hAnsiTheme="minorHAnsi" w:cstheme="minorHAnsi"/>
                <w:bCs/>
                <w:sz w:val="16"/>
                <w:szCs w:val="16"/>
                <w14:ligatures w14:val="standardContextual"/>
              </w:rPr>
              <w:t>N/A</w:t>
            </w:r>
          </w:p>
        </w:tc>
      </w:tr>
      <w:tr w:rsidR="00F049D9" w:rsidRPr="001E6E9D" w14:paraId="3EBE8A41" w14:textId="77777777" w:rsidTr="003E09A8">
        <w:trPr>
          <w:jc w:val="center"/>
        </w:trPr>
        <w:tc>
          <w:tcPr>
            <w:tcW w:w="1865" w:type="pct"/>
            <w:shd w:val="clear" w:color="auto" w:fill="E7E6E6" w:themeFill="background2"/>
          </w:tcPr>
          <w:p w14:paraId="2687F142" w14:textId="77777777"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483F481E" w14:textId="77777777" w:rsidR="00F049D9" w:rsidRPr="001E6E9D" w:rsidRDefault="00F049D9" w:rsidP="00A94FB3">
            <w:pPr>
              <w:widowControl w:val="0"/>
              <w:tabs>
                <w:tab w:val="left" w:pos="1418"/>
                <w:tab w:val="left" w:pos="2366"/>
              </w:tabs>
              <w:spacing w:before="100" w:after="100"/>
              <w:jc w:val="center"/>
              <w:rPr>
                <w:rFonts w:asciiTheme="minorHAnsi" w:eastAsiaTheme="minorEastAsia" w:hAnsiTheme="minorHAnsi" w:cstheme="minorHAnsi"/>
                <w:b/>
                <w:sz w:val="16"/>
                <w:szCs w:val="16"/>
              </w:rPr>
            </w:pPr>
            <w:r w:rsidRPr="001E6E9D">
              <w:rPr>
                <w:rFonts w:asciiTheme="minorHAnsi" w:hAnsiTheme="minorHAnsi" w:cstheme="minorHAnsi"/>
                <w:bCs/>
                <w:sz w:val="16"/>
                <w:szCs w:val="16"/>
                <w14:ligatures w14:val="standardContextual"/>
              </w:rPr>
              <w:t>Junho de 2024</w:t>
            </w:r>
          </w:p>
        </w:tc>
      </w:tr>
      <w:tr w:rsidR="00F049D9" w:rsidRPr="001E6E9D" w14:paraId="7F1C310A" w14:textId="77777777" w:rsidTr="003E09A8">
        <w:trPr>
          <w:jc w:val="center"/>
        </w:trPr>
        <w:tc>
          <w:tcPr>
            <w:tcW w:w="1865" w:type="pct"/>
            <w:shd w:val="clear" w:color="auto" w:fill="E7E6E6" w:themeFill="background2"/>
          </w:tcPr>
          <w:p w14:paraId="2ECAB3E9" w14:textId="77777777"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3164B262"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 de 2025</w:t>
            </w:r>
          </w:p>
        </w:tc>
      </w:tr>
      <w:tr w:rsidR="00F049D9" w:rsidRPr="001E6E9D" w14:paraId="22893E23" w14:textId="77777777" w:rsidTr="003E09A8">
        <w:trPr>
          <w:jc w:val="center"/>
        </w:trPr>
        <w:tc>
          <w:tcPr>
            <w:tcW w:w="1865" w:type="pct"/>
            <w:shd w:val="clear" w:color="auto" w:fill="E7E6E6" w:themeFill="background2"/>
          </w:tcPr>
          <w:p w14:paraId="77924BDC" w14:textId="77777777"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4275213F"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Em desenvolvimento.</w:t>
            </w:r>
          </w:p>
        </w:tc>
      </w:tr>
      <w:tr w:rsidR="00F049D9" w:rsidRPr="001E6E9D" w14:paraId="730AD847" w14:textId="77777777" w:rsidTr="003E09A8">
        <w:trPr>
          <w:jc w:val="center"/>
        </w:trPr>
        <w:tc>
          <w:tcPr>
            <w:tcW w:w="1865" w:type="pct"/>
            <w:shd w:val="clear" w:color="auto" w:fill="E7E6E6" w:themeFill="background2"/>
          </w:tcPr>
          <w:p w14:paraId="06218CCD" w14:textId="77777777" w:rsidR="00F049D9" w:rsidRPr="001E6E9D" w:rsidRDefault="00F049D9" w:rsidP="00765980">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50233DE8"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R$4.680.278,00 (quatro milhões, seiscentos e oitenta mil, duzentos e setenta e oito reais).</w:t>
            </w:r>
          </w:p>
        </w:tc>
      </w:tr>
      <w:tr w:rsidR="00F049D9" w:rsidRPr="001E6E9D" w14:paraId="06C6F584" w14:textId="77777777" w:rsidTr="003E09A8">
        <w:trPr>
          <w:jc w:val="center"/>
        </w:trPr>
        <w:tc>
          <w:tcPr>
            <w:tcW w:w="1865" w:type="pct"/>
            <w:shd w:val="clear" w:color="auto" w:fill="E7E6E6" w:themeFill="background2"/>
          </w:tcPr>
          <w:p w14:paraId="02180452" w14:textId="39AB74FC"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1C0B3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6E6A803F" w14:textId="0FC91191"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bCs/>
                <w:sz w:val="16"/>
                <w:szCs w:val="16"/>
                <w14:ligatures w14:val="standardContextual"/>
              </w:rPr>
              <w:t>no Anexo I</w:t>
            </w:r>
            <w:r w:rsidRPr="001E6E9D">
              <w:rPr>
                <w:rFonts w:asciiTheme="minorHAnsi" w:hAnsiTheme="minorHAnsi" w:cstheme="minorHAnsi"/>
                <w:bCs/>
                <w:sz w:val="16"/>
                <w:szCs w:val="16"/>
                <w14:ligatures w14:val="standardContextual"/>
              </w:rPr>
              <w:t xml:space="preserve"> da Escritura de Emissão.</w:t>
            </w:r>
          </w:p>
        </w:tc>
      </w:tr>
      <w:tr w:rsidR="00F049D9" w:rsidRPr="001E6E9D" w14:paraId="1DACCB57" w14:textId="77777777" w:rsidTr="003E09A8">
        <w:trPr>
          <w:trHeight w:val="376"/>
          <w:jc w:val="center"/>
        </w:trPr>
        <w:tc>
          <w:tcPr>
            <w:tcW w:w="1865" w:type="pct"/>
            <w:shd w:val="clear" w:color="auto" w:fill="E7E6E6" w:themeFill="background2"/>
          </w:tcPr>
          <w:p w14:paraId="19C5807A" w14:textId="77777777" w:rsidR="00F049D9" w:rsidRPr="001E6E9D" w:rsidRDefault="00F049D9" w:rsidP="00765980">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48DE92A6"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2% (dois por cento)</w:t>
            </w:r>
          </w:p>
        </w:tc>
      </w:tr>
    </w:tbl>
    <w:p w14:paraId="1A4C946E"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68BC1754" w14:textId="77777777" w:rsidTr="003E09A8">
        <w:trPr>
          <w:tblHeader/>
          <w:jc w:val="center"/>
        </w:trPr>
        <w:tc>
          <w:tcPr>
            <w:tcW w:w="5000" w:type="pct"/>
            <w:gridSpan w:val="2"/>
            <w:shd w:val="clear" w:color="auto" w:fill="E7E6E6" w:themeFill="background2"/>
          </w:tcPr>
          <w:p w14:paraId="06E70BCB" w14:textId="0AAAAB3B"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20.</w:t>
            </w:r>
            <w:r w:rsidR="00BE46FC"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Ilha das Palmas 7</w:t>
            </w:r>
          </w:p>
        </w:tc>
      </w:tr>
      <w:tr w:rsidR="00F049D9" w:rsidRPr="001E6E9D" w14:paraId="3F04880F" w14:textId="77777777" w:rsidTr="003E09A8">
        <w:trPr>
          <w:jc w:val="center"/>
        </w:trPr>
        <w:tc>
          <w:tcPr>
            <w:tcW w:w="1865" w:type="pct"/>
            <w:shd w:val="clear" w:color="auto" w:fill="E7E6E6" w:themeFill="background2"/>
          </w:tcPr>
          <w:p w14:paraId="12D7CE48"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7C114EAF" w14:textId="77777777" w:rsidR="00F049D9" w:rsidRPr="001E6E9D" w:rsidRDefault="00F049D9" w:rsidP="00A94FB3">
            <w:pPr>
              <w:widowControl w:val="0"/>
              <w:tabs>
                <w:tab w:val="left" w:pos="1418"/>
                <w:tab w:val="left" w:pos="2366"/>
              </w:tabs>
              <w:spacing w:before="100" w:after="100"/>
              <w:rPr>
                <w:rFonts w:asciiTheme="minorHAnsi" w:hAnsiTheme="minorHAnsi" w:cstheme="minorHAnsi"/>
                <w:bCs/>
                <w:sz w:val="16"/>
                <w:szCs w:val="16"/>
              </w:rPr>
            </w:pPr>
            <w:r w:rsidRPr="001E6E9D">
              <w:rPr>
                <w:rFonts w:asciiTheme="minorHAnsi" w:hAnsiTheme="minorHAnsi" w:cstheme="minorHAnsi"/>
                <w:bCs/>
                <w:sz w:val="16"/>
                <w:szCs w:val="16"/>
                <w14:ligatures w14:val="standardContextual"/>
              </w:rPr>
              <w:t>FARO SAO ROQUE LOCACAO E SOLUCOES EM ENERGIA SOLAR LTDA.</w:t>
            </w:r>
          </w:p>
        </w:tc>
      </w:tr>
      <w:tr w:rsidR="00F049D9" w:rsidRPr="001E6E9D" w14:paraId="22E83D9B" w14:textId="77777777" w:rsidTr="003E09A8">
        <w:trPr>
          <w:jc w:val="center"/>
        </w:trPr>
        <w:tc>
          <w:tcPr>
            <w:tcW w:w="1865" w:type="pct"/>
            <w:shd w:val="clear" w:color="auto" w:fill="E7E6E6" w:themeFill="background2"/>
          </w:tcPr>
          <w:p w14:paraId="2BE48449"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78B3C061"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São Paulo, voltada para o mercado de minigeração distribuída, possuindo capacidade instalada de 1273,68 MWp.</w:t>
            </w:r>
          </w:p>
        </w:tc>
      </w:tr>
      <w:tr w:rsidR="00F049D9" w:rsidRPr="001E6E9D" w14:paraId="3766DCA9" w14:textId="77777777" w:rsidTr="003E09A8">
        <w:trPr>
          <w:jc w:val="center"/>
        </w:trPr>
        <w:tc>
          <w:tcPr>
            <w:tcW w:w="1865" w:type="pct"/>
            <w:shd w:val="clear" w:color="auto" w:fill="E7E6E6" w:themeFill="background2"/>
          </w:tcPr>
          <w:p w14:paraId="42901A3B"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2D4B28BE"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557AAEC9" w14:textId="77777777" w:rsidTr="003E09A8">
        <w:trPr>
          <w:jc w:val="center"/>
        </w:trPr>
        <w:tc>
          <w:tcPr>
            <w:tcW w:w="1865" w:type="pct"/>
            <w:shd w:val="clear" w:color="auto" w:fill="E7E6E6" w:themeFill="background2"/>
          </w:tcPr>
          <w:p w14:paraId="002C1EDB" w14:textId="66EF5191"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1C0B3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37A87AC5" w14:textId="5B2B333D"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3644668B" w14:textId="77777777" w:rsidTr="003E09A8">
        <w:trPr>
          <w:jc w:val="center"/>
        </w:trPr>
        <w:tc>
          <w:tcPr>
            <w:tcW w:w="1865" w:type="pct"/>
            <w:shd w:val="clear" w:color="auto" w:fill="E7E6E6" w:themeFill="background2"/>
          </w:tcPr>
          <w:p w14:paraId="5E90275D"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5B430C86"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38D6C41C" w14:textId="77777777" w:rsidTr="003E09A8">
        <w:trPr>
          <w:jc w:val="center"/>
        </w:trPr>
        <w:tc>
          <w:tcPr>
            <w:tcW w:w="1865" w:type="pct"/>
            <w:shd w:val="clear" w:color="auto" w:fill="E7E6E6" w:themeFill="background2"/>
          </w:tcPr>
          <w:p w14:paraId="791EB19E"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2990F369"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7BC06933" w14:textId="77777777" w:rsidTr="003E09A8">
        <w:trPr>
          <w:jc w:val="center"/>
        </w:trPr>
        <w:tc>
          <w:tcPr>
            <w:tcW w:w="1865" w:type="pct"/>
            <w:shd w:val="clear" w:color="auto" w:fill="E7E6E6" w:themeFill="background2"/>
          </w:tcPr>
          <w:p w14:paraId="222E2C28" w14:textId="0C8F1D43"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1C0B3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6060C708"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4C610972" w14:textId="77777777" w:rsidTr="003E09A8">
        <w:trPr>
          <w:jc w:val="center"/>
        </w:trPr>
        <w:tc>
          <w:tcPr>
            <w:tcW w:w="1865" w:type="pct"/>
            <w:shd w:val="clear" w:color="auto" w:fill="E7E6E6" w:themeFill="background2"/>
          </w:tcPr>
          <w:p w14:paraId="1F90CDEE"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1138D571"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Junho de 2024</w:t>
            </w:r>
          </w:p>
        </w:tc>
      </w:tr>
      <w:tr w:rsidR="00F049D9" w:rsidRPr="001E6E9D" w14:paraId="5FA58541" w14:textId="77777777" w:rsidTr="003E09A8">
        <w:trPr>
          <w:jc w:val="center"/>
        </w:trPr>
        <w:tc>
          <w:tcPr>
            <w:tcW w:w="1865" w:type="pct"/>
            <w:shd w:val="clear" w:color="auto" w:fill="E7E6E6" w:themeFill="background2"/>
          </w:tcPr>
          <w:p w14:paraId="41B43980"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3A0EAA3C"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Fevereiro de 2025</w:t>
            </w:r>
          </w:p>
        </w:tc>
      </w:tr>
      <w:tr w:rsidR="00F049D9" w:rsidRPr="001E6E9D" w14:paraId="58B45CB4" w14:textId="77777777" w:rsidTr="003E09A8">
        <w:trPr>
          <w:jc w:val="center"/>
        </w:trPr>
        <w:tc>
          <w:tcPr>
            <w:tcW w:w="1865" w:type="pct"/>
            <w:shd w:val="clear" w:color="auto" w:fill="E7E6E6" w:themeFill="background2"/>
          </w:tcPr>
          <w:p w14:paraId="6BF5F710"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56140298"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02C29F5C" w14:textId="77777777" w:rsidTr="003E09A8">
        <w:trPr>
          <w:jc w:val="center"/>
        </w:trPr>
        <w:tc>
          <w:tcPr>
            <w:tcW w:w="1865" w:type="pct"/>
            <w:shd w:val="clear" w:color="auto" w:fill="E7E6E6" w:themeFill="background2"/>
          </w:tcPr>
          <w:p w14:paraId="1A555D47" w14:textId="77777777" w:rsidR="00F049D9" w:rsidRPr="001E6E9D" w:rsidRDefault="00F049D9" w:rsidP="00BE46FC">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57E8383F"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R$4.680.278,00 (quatro milhões, seiscentos e oitenta mil, duzentos e setenta e oito reais).</w:t>
            </w:r>
          </w:p>
        </w:tc>
      </w:tr>
      <w:tr w:rsidR="00F049D9" w:rsidRPr="001E6E9D" w14:paraId="35FFB730" w14:textId="77777777" w:rsidTr="003E09A8">
        <w:trPr>
          <w:jc w:val="center"/>
        </w:trPr>
        <w:tc>
          <w:tcPr>
            <w:tcW w:w="1865" w:type="pct"/>
            <w:shd w:val="clear" w:color="auto" w:fill="E7E6E6" w:themeFill="background2"/>
          </w:tcPr>
          <w:p w14:paraId="7F68310F" w14:textId="7D938B71"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1C0B3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5B2F05D6" w14:textId="2FB39768"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2CD8C3EA" w14:textId="77777777" w:rsidTr="003E09A8">
        <w:trPr>
          <w:trHeight w:val="376"/>
          <w:jc w:val="center"/>
        </w:trPr>
        <w:tc>
          <w:tcPr>
            <w:tcW w:w="1865" w:type="pct"/>
            <w:shd w:val="clear" w:color="auto" w:fill="E7E6E6" w:themeFill="background2"/>
          </w:tcPr>
          <w:p w14:paraId="2E237B1D"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2236D6BD"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2% (dois por cento)</w:t>
            </w:r>
          </w:p>
        </w:tc>
      </w:tr>
    </w:tbl>
    <w:p w14:paraId="12E0A4C7"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3E33FE2A" w14:textId="77777777" w:rsidTr="003E09A8">
        <w:trPr>
          <w:tblHeader/>
          <w:jc w:val="center"/>
        </w:trPr>
        <w:tc>
          <w:tcPr>
            <w:tcW w:w="5000" w:type="pct"/>
            <w:gridSpan w:val="2"/>
            <w:shd w:val="clear" w:color="auto" w:fill="E7E6E6" w:themeFill="background2"/>
          </w:tcPr>
          <w:p w14:paraId="529877AD" w14:textId="1C956099"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21.</w:t>
            </w:r>
            <w:r w:rsidR="00BE46FC"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Ilha das Palmas 8</w:t>
            </w:r>
          </w:p>
        </w:tc>
      </w:tr>
      <w:tr w:rsidR="00F049D9" w:rsidRPr="001E6E9D" w14:paraId="37900AA9" w14:textId="77777777" w:rsidTr="003E09A8">
        <w:trPr>
          <w:jc w:val="center"/>
        </w:trPr>
        <w:tc>
          <w:tcPr>
            <w:tcW w:w="1865" w:type="pct"/>
            <w:shd w:val="clear" w:color="auto" w:fill="E7E6E6" w:themeFill="background2"/>
          </w:tcPr>
          <w:p w14:paraId="6BAA74AF"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054B5F34" w14:textId="0EF02AA2"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SAO ROQUE LOCACAO E SOLUCOES EM ENERGIA SOLAR LTDA.</w:t>
            </w:r>
          </w:p>
        </w:tc>
      </w:tr>
      <w:tr w:rsidR="00F049D9" w:rsidRPr="001E6E9D" w14:paraId="0E7F8B95" w14:textId="77777777" w:rsidTr="003E09A8">
        <w:trPr>
          <w:jc w:val="center"/>
        </w:trPr>
        <w:tc>
          <w:tcPr>
            <w:tcW w:w="1865" w:type="pct"/>
            <w:shd w:val="clear" w:color="auto" w:fill="E7E6E6" w:themeFill="background2"/>
          </w:tcPr>
          <w:p w14:paraId="2BF5B4C9"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0C255020" w14:textId="77777777" w:rsidR="00F049D9" w:rsidRPr="001E6E9D" w:rsidRDefault="00F049D9" w:rsidP="00A94FB3">
            <w:pPr>
              <w:widowControl w:val="0"/>
              <w:tabs>
                <w:tab w:val="left" w:pos="1418"/>
                <w:tab w:val="left" w:pos="2366"/>
              </w:tabs>
              <w:spacing w:before="100" w:after="100"/>
              <w:rPr>
                <w:rFonts w:asciiTheme="minorHAnsi" w:hAnsiTheme="minorHAnsi" w:cstheme="minorHAnsi"/>
                <w:bCs/>
                <w:sz w:val="16"/>
                <w:szCs w:val="16"/>
                <w14:ligatures w14:val="standardContextual"/>
              </w:rPr>
            </w:pPr>
            <w:r w:rsidRPr="001E6E9D">
              <w:rPr>
                <w:rFonts w:asciiTheme="minorHAnsi" w:hAnsiTheme="minorHAnsi" w:cstheme="minorHAnsi"/>
                <w:bCs/>
                <w:sz w:val="16"/>
                <w:szCs w:val="16"/>
                <w14:ligatures w14:val="standardContextual"/>
              </w:rPr>
              <w:t>Implantação, desenvolvimento e construção de usina de minigeração solar fotovoltaica, localizada no estado de São Paulo, voltada para o mercado de minigeração distribuída, possuindo capacidade instalada de 1273,68 MWp.</w:t>
            </w:r>
          </w:p>
        </w:tc>
      </w:tr>
      <w:tr w:rsidR="00F049D9" w:rsidRPr="001E6E9D" w14:paraId="55E29D94" w14:textId="77777777" w:rsidTr="003E09A8">
        <w:trPr>
          <w:jc w:val="center"/>
        </w:trPr>
        <w:tc>
          <w:tcPr>
            <w:tcW w:w="1865" w:type="pct"/>
            <w:shd w:val="clear" w:color="auto" w:fill="E7E6E6" w:themeFill="background2"/>
          </w:tcPr>
          <w:p w14:paraId="4E1A9032" w14:textId="77777777"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Objetivo do Projeto</w:t>
            </w:r>
          </w:p>
        </w:tc>
        <w:tc>
          <w:tcPr>
            <w:tcW w:w="3135" w:type="pct"/>
            <w:vAlign w:val="center"/>
          </w:tcPr>
          <w:p w14:paraId="6C1AA96D" w14:textId="77777777" w:rsidR="00F049D9" w:rsidRPr="001E6E9D" w:rsidRDefault="00F049D9" w:rsidP="00BE46FC">
            <w:pPr>
              <w:keepLines/>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2086446B" w14:textId="77777777" w:rsidTr="003E09A8">
        <w:trPr>
          <w:jc w:val="center"/>
        </w:trPr>
        <w:tc>
          <w:tcPr>
            <w:tcW w:w="1865" w:type="pct"/>
            <w:shd w:val="clear" w:color="auto" w:fill="E7E6E6" w:themeFill="background2"/>
          </w:tcPr>
          <w:p w14:paraId="71C40EA7" w14:textId="239F5180"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1C0B3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09731F59" w14:textId="77777777" w:rsidR="00F049D9" w:rsidRPr="001E6E9D" w:rsidRDefault="00F049D9" w:rsidP="00BE46FC">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76085CEE" w14:textId="77777777" w:rsidTr="003E09A8">
        <w:trPr>
          <w:jc w:val="center"/>
        </w:trPr>
        <w:tc>
          <w:tcPr>
            <w:tcW w:w="1865" w:type="pct"/>
            <w:shd w:val="clear" w:color="auto" w:fill="E7E6E6" w:themeFill="background2"/>
          </w:tcPr>
          <w:p w14:paraId="59FB815B" w14:textId="77777777"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209E5AA6" w14:textId="77777777" w:rsidR="00F049D9" w:rsidRPr="001E6E9D" w:rsidRDefault="00F049D9" w:rsidP="00BE46FC">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Minigeração Distribuída</w:t>
            </w:r>
          </w:p>
        </w:tc>
      </w:tr>
      <w:tr w:rsidR="00F049D9" w:rsidRPr="001E6E9D" w14:paraId="79D28707" w14:textId="77777777" w:rsidTr="003E09A8">
        <w:trPr>
          <w:jc w:val="center"/>
        </w:trPr>
        <w:tc>
          <w:tcPr>
            <w:tcW w:w="1865" w:type="pct"/>
            <w:shd w:val="clear" w:color="auto" w:fill="E7E6E6" w:themeFill="background2"/>
          </w:tcPr>
          <w:p w14:paraId="39E2135E" w14:textId="77777777"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310DCF32" w14:textId="77777777" w:rsidR="00F049D9" w:rsidRPr="001E6E9D" w:rsidRDefault="00F049D9" w:rsidP="00BE46FC">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22EBFFBF" w14:textId="77777777" w:rsidTr="003E09A8">
        <w:trPr>
          <w:jc w:val="center"/>
        </w:trPr>
        <w:tc>
          <w:tcPr>
            <w:tcW w:w="1865" w:type="pct"/>
            <w:shd w:val="clear" w:color="auto" w:fill="E7E6E6" w:themeFill="background2"/>
          </w:tcPr>
          <w:p w14:paraId="1C931DE4" w14:textId="3A3E19E5"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1C0B3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52EE8187" w14:textId="77777777" w:rsidR="00F049D9" w:rsidRPr="001E6E9D" w:rsidRDefault="00F049D9" w:rsidP="00BE46FC">
            <w:pPr>
              <w:widowControl w:val="0"/>
              <w:tabs>
                <w:tab w:val="left" w:pos="1418"/>
                <w:tab w:val="left" w:pos="2366"/>
              </w:tabs>
              <w:spacing w:before="90" w:after="90"/>
              <w:jc w:val="center"/>
              <w:rPr>
                <w:rFonts w:asciiTheme="minorHAnsi" w:hAnsiTheme="minorHAnsi" w:cstheme="minorHAnsi"/>
                <w:bCs/>
                <w:sz w:val="16"/>
                <w:szCs w:val="16"/>
                <w14:ligatures w14:val="standardContextual"/>
              </w:rPr>
            </w:pPr>
            <w:r w:rsidRPr="001E6E9D">
              <w:rPr>
                <w:rFonts w:asciiTheme="minorHAnsi" w:hAnsiTheme="minorHAnsi" w:cstheme="minorHAnsi"/>
                <w:bCs/>
                <w:sz w:val="16"/>
                <w:szCs w:val="16"/>
                <w14:ligatures w14:val="standardContextual"/>
              </w:rPr>
              <w:t>N/A</w:t>
            </w:r>
          </w:p>
        </w:tc>
      </w:tr>
      <w:tr w:rsidR="00F049D9" w:rsidRPr="001E6E9D" w14:paraId="312D7A87" w14:textId="77777777" w:rsidTr="003E09A8">
        <w:trPr>
          <w:jc w:val="center"/>
        </w:trPr>
        <w:tc>
          <w:tcPr>
            <w:tcW w:w="1865" w:type="pct"/>
            <w:shd w:val="clear" w:color="auto" w:fill="E7E6E6" w:themeFill="background2"/>
          </w:tcPr>
          <w:p w14:paraId="52BF04D9" w14:textId="77777777"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0529D719" w14:textId="77777777" w:rsidR="00F049D9" w:rsidRPr="001E6E9D" w:rsidRDefault="00F049D9" w:rsidP="00BE46FC">
            <w:pPr>
              <w:widowControl w:val="0"/>
              <w:tabs>
                <w:tab w:val="left" w:pos="1418"/>
                <w:tab w:val="left" w:pos="2366"/>
              </w:tabs>
              <w:spacing w:before="90" w:after="90"/>
              <w:jc w:val="center"/>
              <w:rPr>
                <w:rFonts w:asciiTheme="minorHAnsi" w:eastAsiaTheme="minorEastAsia" w:hAnsiTheme="minorHAnsi" w:cstheme="minorHAnsi"/>
                <w:b/>
                <w:sz w:val="16"/>
                <w:szCs w:val="16"/>
              </w:rPr>
            </w:pPr>
            <w:r w:rsidRPr="001E6E9D">
              <w:rPr>
                <w:rFonts w:asciiTheme="minorHAnsi" w:hAnsiTheme="minorHAnsi" w:cstheme="minorHAnsi"/>
                <w:bCs/>
                <w:sz w:val="16"/>
                <w:szCs w:val="16"/>
                <w14:ligatures w14:val="standardContextual"/>
              </w:rPr>
              <w:t>Junho de 2024</w:t>
            </w:r>
          </w:p>
        </w:tc>
      </w:tr>
      <w:tr w:rsidR="00F049D9" w:rsidRPr="001E6E9D" w14:paraId="7DCE23E3" w14:textId="77777777" w:rsidTr="003E09A8">
        <w:trPr>
          <w:jc w:val="center"/>
        </w:trPr>
        <w:tc>
          <w:tcPr>
            <w:tcW w:w="1865" w:type="pct"/>
            <w:shd w:val="clear" w:color="auto" w:fill="E7E6E6" w:themeFill="background2"/>
          </w:tcPr>
          <w:p w14:paraId="38C25978" w14:textId="77777777"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12EF34ED" w14:textId="77777777" w:rsidR="00F049D9" w:rsidRPr="001E6E9D" w:rsidRDefault="00F049D9" w:rsidP="00BE46FC">
            <w:pPr>
              <w:widowControl w:val="0"/>
              <w:tabs>
                <w:tab w:val="left" w:pos="1418"/>
                <w:tab w:val="left" w:pos="2366"/>
              </w:tabs>
              <w:spacing w:before="90" w:after="9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 de 2025</w:t>
            </w:r>
          </w:p>
        </w:tc>
      </w:tr>
      <w:tr w:rsidR="00F049D9" w:rsidRPr="001E6E9D" w14:paraId="5D0143D9" w14:textId="77777777" w:rsidTr="003E09A8">
        <w:trPr>
          <w:jc w:val="center"/>
        </w:trPr>
        <w:tc>
          <w:tcPr>
            <w:tcW w:w="1865" w:type="pct"/>
            <w:shd w:val="clear" w:color="auto" w:fill="E7E6E6" w:themeFill="background2"/>
          </w:tcPr>
          <w:p w14:paraId="6843B9B8" w14:textId="77777777"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0938A43C" w14:textId="77777777" w:rsidR="00F049D9" w:rsidRPr="001E6E9D" w:rsidRDefault="00F049D9" w:rsidP="00BE46FC">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Em desenvolvimento.</w:t>
            </w:r>
          </w:p>
        </w:tc>
      </w:tr>
      <w:tr w:rsidR="00F049D9" w:rsidRPr="001E6E9D" w14:paraId="475A521D" w14:textId="77777777" w:rsidTr="003E09A8">
        <w:trPr>
          <w:jc w:val="center"/>
        </w:trPr>
        <w:tc>
          <w:tcPr>
            <w:tcW w:w="1865" w:type="pct"/>
            <w:shd w:val="clear" w:color="auto" w:fill="E7E6E6" w:themeFill="background2"/>
          </w:tcPr>
          <w:p w14:paraId="1494C290" w14:textId="77777777" w:rsidR="00F049D9" w:rsidRPr="001E6E9D" w:rsidRDefault="00F049D9" w:rsidP="00BE46FC">
            <w:pPr>
              <w:widowControl w:val="0"/>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29F8C2EA" w14:textId="77777777" w:rsidR="00F049D9" w:rsidRPr="001E6E9D" w:rsidRDefault="00F049D9" w:rsidP="00BE46FC">
            <w:pPr>
              <w:widowControl w:val="0"/>
              <w:spacing w:before="90" w:after="90"/>
              <w:rPr>
                <w:rFonts w:asciiTheme="minorHAnsi" w:hAnsiTheme="minorHAnsi" w:cstheme="minorHAnsi"/>
                <w:sz w:val="16"/>
                <w:szCs w:val="16"/>
              </w:rPr>
            </w:pPr>
            <w:r w:rsidRPr="001E6E9D">
              <w:rPr>
                <w:rFonts w:asciiTheme="minorHAnsi" w:hAnsiTheme="minorHAnsi" w:cstheme="minorHAnsi"/>
                <w:sz w:val="16"/>
                <w:szCs w:val="16"/>
              </w:rPr>
              <w:t>R$4.680.278,00 (quatro milhões, seiscentos e oitenta mil, duzentos e setenta e oito reais).</w:t>
            </w:r>
          </w:p>
        </w:tc>
      </w:tr>
      <w:tr w:rsidR="00F049D9" w:rsidRPr="001E6E9D" w14:paraId="6C0F6938" w14:textId="77777777" w:rsidTr="003E09A8">
        <w:trPr>
          <w:jc w:val="center"/>
        </w:trPr>
        <w:tc>
          <w:tcPr>
            <w:tcW w:w="1865" w:type="pct"/>
            <w:shd w:val="clear" w:color="auto" w:fill="E7E6E6" w:themeFill="background2"/>
          </w:tcPr>
          <w:p w14:paraId="6F0D0AD5" w14:textId="336ABFDE"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1C0B3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62658796" w14:textId="17C43F4F" w:rsidR="00F049D9" w:rsidRPr="001E6E9D" w:rsidRDefault="00F049D9" w:rsidP="00BE46FC">
            <w:pPr>
              <w:widowControl w:val="0"/>
              <w:tabs>
                <w:tab w:val="left" w:pos="1418"/>
                <w:tab w:val="left" w:pos="2366"/>
              </w:tabs>
              <w:spacing w:before="90" w:after="9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bCs/>
                <w:sz w:val="16"/>
                <w:szCs w:val="16"/>
                <w14:ligatures w14:val="standardContextual"/>
              </w:rPr>
              <w:t>no Anexo I</w:t>
            </w:r>
            <w:r w:rsidRPr="001E6E9D">
              <w:rPr>
                <w:rFonts w:asciiTheme="minorHAnsi" w:hAnsiTheme="minorHAnsi" w:cstheme="minorHAnsi"/>
                <w:bCs/>
                <w:sz w:val="16"/>
                <w:szCs w:val="16"/>
                <w14:ligatures w14:val="standardContextual"/>
              </w:rPr>
              <w:t xml:space="preserve"> da Escritura de Emissão.</w:t>
            </w:r>
          </w:p>
        </w:tc>
      </w:tr>
      <w:tr w:rsidR="00F049D9" w:rsidRPr="001E6E9D" w14:paraId="37629AC5" w14:textId="77777777" w:rsidTr="003E09A8">
        <w:trPr>
          <w:trHeight w:val="376"/>
          <w:jc w:val="center"/>
        </w:trPr>
        <w:tc>
          <w:tcPr>
            <w:tcW w:w="1865" w:type="pct"/>
            <w:shd w:val="clear" w:color="auto" w:fill="E7E6E6" w:themeFill="background2"/>
          </w:tcPr>
          <w:p w14:paraId="2644807B" w14:textId="77777777" w:rsidR="00F049D9" w:rsidRPr="001E6E9D" w:rsidRDefault="00F049D9" w:rsidP="00BE46FC">
            <w:pPr>
              <w:widowControl w:val="0"/>
              <w:tabs>
                <w:tab w:val="left" w:pos="1418"/>
                <w:tab w:val="left" w:pos="2366"/>
              </w:tabs>
              <w:spacing w:before="90" w:after="9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2D01C155" w14:textId="77777777" w:rsidR="00F049D9" w:rsidRPr="001E6E9D" w:rsidRDefault="00F049D9" w:rsidP="00BE46FC">
            <w:pPr>
              <w:widowControl w:val="0"/>
              <w:spacing w:before="90" w:after="9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2% (dois por cento)</w:t>
            </w:r>
          </w:p>
        </w:tc>
      </w:tr>
    </w:tbl>
    <w:p w14:paraId="5CD83694"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01FFEA1F" w14:textId="77777777" w:rsidTr="003E09A8">
        <w:trPr>
          <w:tblHeader/>
          <w:jc w:val="center"/>
        </w:trPr>
        <w:tc>
          <w:tcPr>
            <w:tcW w:w="5000" w:type="pct"/>
            <w:gridSpan w:val="2"/>
            <w:shd w:val="clear" w:color="auto" w:fill="E7E6E6" w:themeFill="background2"/>
          </w:tcPr>
          <w:p w14:paraId="7DE62AAB" w14:textId="552DEA37"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22.</w:t>
            </w:r>
            <w:r w:rsidR="00BE46FC"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Ilha das Palmas 9</w:t>
            </w:r>
          </w:p>
        </w:tc>
      </w:tr>
      <w:tr w:rsidR="00F049D9" w:rsidRPr="001E6E9D" w14:paraId="7CAD9533" w14:textId="77777777" w:rsidTr="003E09A8">
        <w:trPr>
          <w:jc w:val="center"/>
        </w:trPr>
        <w:tc>
          <w:tcPr>
            <w:tcW w:w="1865" w:type="pct"/>
            <w:shd w:val="clear" w:color="auto" w:fill="E7E6E6" w:themeFill="background2"/>
          </w:tcPr>
          <w:p w14:paraId="51C54E73"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195F6B8C" w14:textId="77777777" w:rsidR="00F049D9" w:rsidRPr="001E6E9D" w:rsidRDefault="00F049D9" w:rsidP="00A94FB3">
            <w:pPr>
              <w:widowControl w:val="0"/>
              <w:tabs>
                <w:tab w:val="left" w:pos="1418"/>
                <w:tab w:val="left" w:pos="2366"/>
              </w:tabs>
              <w:spacing w:before="100" w:after="100"/>
              <w:rPr>
                <w:rFonts w:asciiTheme="minorHAnsi" w:hAnsiTheme="minorHAnsi" w:cstheme="minorHAnsi"/>
                <w:bCs/>
                <w:sz w:val="16"/>
                <w:szCs w:val="16"/>
              </w:rPr>
            </w:pPr>
            <w:r w:rsidRPr="001E6E9D">
              <w:rPr>
                <w:rFonts w:asciiTheme="minorHAnsi" w:hAnsiTheme="minorHAnsi" w:cstheme="minorHAnsi"/>
                <w:bCs/>
                <w:sz w:val="16"/>
                <w:szCs w:val="16"/>
                <w14:ligatures w14:val="standardContextual"/>
              </w:rPr>
              <w:t>FARO SAO ROQUE LOCACAO E SOLUCOES EM ENERGIA SOLAR LTDA.</w:t>
            </w:r>
          </w:p>
        </w:tc>
      </w:tr>
      <w:tr w:rsidR="00F049D9" w:rsidRPr="001E6E9D" w14:paraId="3C2DF371" w14:textId="77777777" w:rsidTr="003E09A8">
        <w:trPr>
          <w:jc w:val="center"/>
        </w:trPr>
        <w:tc>
          <w:tcPr>
            <w:tcW w:w="1865" w:type="pct"/>
            <w:shd w:val="clear" w:color="auto" w:fill="E7E6E6" w:themeFill="background2"/>
          </w:tcPr>
          <w:p w14:paraId="2A41C056"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377C71FE"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São Paulo, voltada para o mercado de minigeração distribuída, possuindo capacidade instalada de 1273,68 MWp.</w:t>
            </w:r>
          </w:p>
        </w:tc>
      </w:tr>
      <w:tr w:rsidR="00F049D9" w:rsidRPr="001E6E9D" w14:paraId="536D5D3B" w14:textId="77777777" w:rsidTr="003E09A8">
        <w:trPr>
          <w:jc w:val="center"/>
        </w:trPr>
        <w:tc>
          <w:tcPr>
            <w:tcW w:w="1865" w:type="pct"/>
            <w:shd w:val="clear" w:color="auto" w:fill="E7E6E6" w:themeFill="background2"/>
          </w:tcPr>
          <w:p w14:paraId="49E10B8B"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5984B700"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542FF282" w14:textId="77777777" w:rsidTr="003E09A8">
        <w:trPr>
          <w:jc w:val="center"/>
        </w:trPr>
        <w:tc>
          <w:tcPr>
            <w:tcW w:w="1865" w:type="pct"/>
            <w:shd w:val="clear" w:color="auto" w:fill="E7E6E6" w:themeFill="background2"/>
          </w:tcPr>
          <w:p w14:paraId="259E7F4B" w14:textId="002D80D9"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Protocolo de Enquadramento no Ministério de</w:t>
            </w:r>
            <w:r w:rsidR="001C0B3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4C863870" w14:textId="2C8B219D" w:rsidR="00F049D9" w:rsidRPr="001E6E9D" w:rsidRDefault="00F049D9" w:rsidP="00BE46FC">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6736128A" w14:textId="77777777" w:rsidTr="003E09A8">
        <w:trPr>
          <w:jc w:val="center"/>
        </w:trPr>
        <w:tc>
          <w:tcPr>
            <w:tcW w:w="1865" w:type="pct"/>
            <w:shd w:val="clear" w:color="auto" w:fill="E7E6E6" w:themeFill="background2"/>
          </w:tcPr>
          <w:p w14:paraId="4E774C8D"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51C0A991" w14:textId="77777777" w:rsidR="00F049D9" w:rsidRPr="001E6E9D" w:rsidRDefault="00F049D9" w:rsidP="00BE46FC">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2A86DEE7" w14:textId="77777777" w:rsidTr="003E09A8">
        <w:trPr>
          <w:jc w:val="center"/>
        </w:trPr>
        <w:tc>
          <w:tcPr>
            <w:tcW w:w="1865" w:type="pct"/>
            <w:shd w:val="clear" w:color="auto" w:fill="E7E6E6" w:themeFill="background2"/>
          </w:tcPr>
          <w:p w14:paraId="2072236F"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5C610FF" w14:textId="77777777" w:rsidR="00F049D9" w:rsidRPr="001E6E9D" w:rsidRDefault="00F049D9" w:rsidP="00BE46FC">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017A59BB" w14:textId="77777777" w:rsidTr="003E09A8">
        <w:trPr>
          <w:jc w:val="center"/>
        </w:trPr>
        <w:tc>
          <w:tcPr>
            <w:tcW w:w="1865" w:type="pct"/>
            <w:shd w:val="clear" w:color="auto" w:fill="E7E6E6" w:themeFill="background2"/>
          </w:tcPr>
          <w:p w14:paraId="13221CB6" w14:textId="6B74475B"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1C0B3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1EB42EF6" w14:textId="77777777" w:rsidR="00F049D9" w:rsidRPr="001E6E9D" w:rsidRDefault="00F049D9" w:rsidP="00BE46FC">
            <w:pPr>
              <w:widowControl w:val="0"/>
              <w:tabs>
                <w:tab w:val="left" w:pos="1418"/>
                <w:tab w:val="left" w:pos="2366"/>
              </w:tabs>
              <w:spacing w:before="80" w:after="8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28105C62" w14:textId="77777777" w:rsidTr="003E09A8">
        <w:trPr>
          <w:jc w:val="center"/>
        </w:trPr>
        <w:tc>
          <w:tcPr>
            <w:tcW w:w="1865" w:type="pct"/>
            <w:shd w:val="clear" w:color="auto" w:fill="E7E6E6" w:themeFill="background2"/>
          </w:tcPr>
          <w:p w14:paraId="4DD0FD8D"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659BE0EA" w14:textId="77777777" w:rsidR="00F049D9" w:rsidRPr="001E6E9D" w:rsidRDefault="00F049D9" w:rsidP="00BE46FC">
            <w:pPr>
              <w:widowControl w:val="0"/>
              <w:tabs>
                <w:tab w:val="left" w:pos="1418"/>
                <w:tab w:val="left" w:pos="2366"/>
              </w:tabs>
              <w:spacing w:before="80" w:after="8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Junho de 2024</w:t>
            </w:r>
          </w:p>
        </w:tc>
      </w:tr>
      <w:tr w:rsidR="00F049D9" w:rsidRPr="001E6E9D" w14:paraId="39948949" w14:textId="77777777" w:rsidTr="003E09A8">
        <w:trPr>
          <w:jc w:val="center"/>
        </w:trPr>
        <w:tc>
          <w:tcPr>
            <w:tcW w:w="1865" w:type="pct"/>
            <w:shd w:val="clear" w:color="auto" w:fill="E7E6E6" w:themeFill="background2"/>
          </w:tcPr>
          <w:p w14:paraId="16B4DA3F"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332550AB" w14:textId="77777777" w:rsidR="00F049D9" w:rsidRPr="001E6E9D" w:rsidRDefault="00F049D9" w:rsidP="00BE46FC">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Fevereiro de 2025</w:t>
            </w:r>
          </w:p>
        </w:tc>
      </w:tr>
      <w:tr w:rsidR="00F049D9" w:rsidRPr="001E6E9D" w14:paraId="21EF4B95" w14:textId="77777777" w:rsidTr="003E09A8">
        <w:trPr>
          <w:jc w:val="center"/>
        </w:trPr>
        <w:tc>
          <w:tcPr>
            <w:tcW w:w="1865" w:type="pct"/>
            <w:shd w:val="clear" w:color="auto" w:fill="E7E6E6" w:themeFill="background2"/>
          </w:tcPr>
          <w:p w14:paraId="12639535"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115FC402" w14:textId="77777777" w:rsidR="00F049D9" w:rsidRPr="001E6E9D" w:rsidRDefault="00F049D9" w:rsidP="00BE46FC">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5C7F9FF4" w14:textId="77777777" w:rsidTr="003E09A8">
        <w:trPr>
          <w:jc w:val="center"/>
        </w:trPr>
        <w:tc>
          <w:tcPr>
            <w:tcW w:w="1865" w:type="pct"/>
            <w:shd w:val="clear" w:color="auto" w:fill="E7E6E6" w:themeFill="background2"/>
          </w:tcPr>
          <w:p w14:paraId="74335836" w14:textId="77777777" w:rsidR="00F049D9" w:rsidRPr="001E6E9D" w:rsidRDefault="00F049D9" w:rsidP="00BE46FC">
            <w:pPr>
              <w:widowControl w:val="0"/>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70CBFB96" w14:textId="77777777" w:rsidR="00F049D9" w:rsidRPr="001E6E9D" w:rsidRDefault="00F049D9" w:rsidP="00BE46FC">
            <w:pPr>
              <w:widowControl w:val="0"/>
              <w:spacing w:before="80" w:after="80"/>
              <w:rPr>
                <w:rFonts w:asciiTheme="minorHAnsi" w:hAnsiTheme="minorHAnsi" w:cstheme="minorHAnsi"/>
                <w:sz w:val="16"/>
                <w:szCs w:val="16"/>
              </w:rPr>
            </w:pPr>
            <w:r w:rsidRPr="001E6E9D">
              <w:rPr>
                <w:rFonts w:asciiTheme="minorHAnsi" w:hAnsiTheme="minorHAnsi" w:cstheme="minorHAnsi"/>
                <w:sz w:val="16"/>
                <w:szCs w:val="16"/>
              </w:rPr>
              <w:t>R$4.680.278,00 (quatro milhões, seiscentos e oitenta mil, duzentos e setenta e oito reais).</w:t>
            </w:r>
          </w:p>
        </w:tc>
      </w:tr>
      <w:tr w:rsidR="00F049D9" w:rsidRPr="001E6E9D" w14:paraId="587A4B9B" w14:textId="77777777" w:rsidTr="003E09A8">
        <w:trPr>
          <w:jc w:val="center"/>
        </w:trPr>
        <w:tc>
          <w:tcPr>
            <w:tcW w:w="1865" w:type="pct"/>
            <w:shd w:val="clear" w:color="auto" w:fill="E7E6E6" w:themeFill="background2"/>
          </w:tcPr>
          <w:p w14:paraId="2728343A" w14:textId="12DE8971"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1C0B3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4C684DB7" w14:textId="5EBD7AF6" w:rsidR="00F049D9" w:rsidRPr="001E6E9D" w:rsidRDefault="00F049D9" w:rsidP="00BE46FC">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3781E975" w14:textId="77777777" w:rsidTr="003E09A8">
        <w:trPr>
          <w:trHeight w:val="376"/>
          <w:jc w:val="center"/>
        </w:trPr>
        <w:tc>
          <w:tcPr>
            <w:tcW w:w="1865" w:type="pct"/>
            <w:shd w:val="clear" w:color="auto" w:fill="E7E6E6" w:themeFill="background2"/>
          </w:tcPr>
          <w:p w14:paraId="66B36940"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0BD9A454" w14:textId="77777777" w:rsidR="00F049D9" w:rsidRPr="001E6E9D" w:rsidRDefault="00F049D9" w:rsidP="00BE46FC">
            <w:pPr>
              <w:widowControl w:val="0"/>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2% (dois por cento)</w:t>
            </w:r>
          </w:p>
        </w:tc>
      </w:tr>
    </w:tbl>
    <w:p w14:paraId="4A47A893"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t>SPE 13</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455EFDD7" w14:textId="77777777" w:rsidTr="003E09A8">
        <w:trPr>
          <w:tblHeader/>
          <w:jc w:val="center"/>
        </w:trPr>
        <w:tc>
          <w:tcPr>
            <w:tcW w:w="5000" w:type="pct"/>
            <w:gridSpan w:val="2"/>
            <w:shd w:val="clear" w:color="auto" w:fill="E7E6E6" w:themeFill="background2"/>
          </w:tcPr>
          <w:p w14:paraId="368C7486" w14:textId="6EF78B81"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23.</w:t>
            </w:r>
            <w:r w:rsidR="00BE46FC"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Cabo Frio 13</w:t>
            </w:r>
          </w:p>
        </w:tc>
      </w:tr>
      <w:tr w:rsidR="00F049D9" w:rsidRPr="001E6E9D" w14:paraId="68D9083B" w14:textId="77777777" w:rsidTr="003E09A8">
        <w:trPr>
          <w:jc w:val="center"/>
        </w:trPr>
        <w:tc>
          <w:tcPr>
            <w:tcW w:w="1865" w:type="pct"/>
            <w:shd w:val="clear" w:color="auto" w:fill="E7E6E6" w:themeFill="background2"/>
          </w:tcPr>
          <w:p w14:paraId="683CEDAE"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04771E7B" w14:textId="5AA9D763" w:rsidR="00F049D9" w:rsidRPr="001E6E9D" w:rsidRDefault="00F049D9" w:rsidP="00BE46FC">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MARAMBAIA LOCAÇÃO E SOLUÇÕES EM ENERGIA SOLAR</w:t>
            </w:r>
            <w:r w:rsidRPr="001E6E9D">
              <w:rPr>
                <w:rFonts w:asciiTheme="minorHAnsi" w:hAnsiTheme="minorHAnsi" w:cstheme="minorHAnsi"/>
                <w:bCs/>
                <w:sz w:val="16"/>
                <w:szCs w:val="16"/>
                <w14:ligatures w14:val="standardContextual"/>
              </w:rPr>
              <w:t xml:space="preserve"> </w:t>
            </w:r>
            <w:r w:rsidRPr="001E6E9D">
              <w:rPr>
                <w:rFonts w:asciiTheme="minorHAnsi" w:hAnsiTheme="minorHAnsi" w:cstheme="minorHAnsi"/>
                <w:sz w:val="16"/>
                <w:szCs w:val="16"/>
                <w14:ligatures w14:val="standardContextual"/>
              </w:rPr>
              <w:t>LTDA.</w:t>
            </w:r>
          </w:p>
        </w:tc>
      </w:tr>
      <w:tr w:rsidR="00F049D9" w:rsidRPr="001E6E9D" w14:paraId="19E1BC9B" w14:textId="77777777" w:rsidTr="003E09A8">
        <w:trPr>
          <w:jc w:val="center"/>
        </w:trPr>
        <w:tc>
          <w:tcPr>
            <w:tcW w:w="1865" w:type="pct"/>
            <w:shd w:val="clear" w:color="auto" w:fill="E7E6E6" w:themeFill="background2"/>
          </w:tcPr>
          <w:p w14:paraId="691DBE6F"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351FA3F5" w14:textId="77777777" w:rsidR="00F049D9" w:rsidRPr="001E6E9D" w:rsidRDefault="00F049D9" w:rsidP="00BE46FC">
            <w:pPr>
              <w:widowControl w:val="0"/>
              <w:tabs>
                <w:tab w:val="left" w:pos="1418"/>
                <w:tab w:val="left" w:pos="2366"/>
              </w:tabs>
              <w:spacing w:before="80" w:after="8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Rio de Janeiro, voltada para o mercado de minigeração distribuída, possuindo capacidade instalada de 1332,24 MWp.</w:t>
            </w:r>
          </w:p>
        </w:tc>
      </w:tr>
      <w:tr w:rsidR="00F049D9" w:rsidRPr="001E6E9D" w14:paraId="2407E468" w14:textId="77777777" w:rsidTr="003E09A8">
        <w:trPr>
          <w:jc w:val="center"/>
        </w:trPr>
        <w:tc>
          <w:tcPr>
            <w:tcW w:w="1865" w:type="pct"/>
            <w:shd w:val="clear" w:color="auto" w:fill="E7E6E6" w:themeFill="background2"/>
          </w:tcPr>
          <w:p w14:paraId="040D4E8B"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0D8AE1DF" w14:textId="77777777" w:rsidR="00F049D9" w:rsidRPr="001E6E9D" w:rsidRDefault="00F049D9" w:rsidP="00BE46FC">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7A4E752B" w14:textId="77777777" w:rsidTr="003E09A8">
        <w:trPr>
          <w:jc w:val="center"/>
        </w:trPr>
        <w:tc>
          <w:tcPr>
            <w:tcW w:w="1865" w:type="pct"/>
            <w:shd w:val="clear" w:color="auto" w:fill="E7E6E6" w:themeFill="background2"/>
          </w:tcPr>
          <w:p w14:paraId="5DD22CB1" w14:textId="2EA70E04"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1C0B3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63096401" w14:textId="1179B5DC" w:rsidR="00F049D9" w:rsidRPr="001E6E9D" w:rsidRDefault="00F049D9" w:rsidP="00BE46FC">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6D891992" w14:textId="77777777" w:rsidTr="003E09A8">
        <w:trPr>
          <w:jc w:val="center"/>
        </w:trPr>
        <w:tc>
          <w:tcPr>
            <w:tcW w:w="1865" w:type="pct"/>
            <w:shd w:val="clear" w:color="auto" w:fill="E7E6E6" w:themeFill="background2"/>
          </w:tcPr>
          <w:p w14:paraId="2EF1E7A9"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11510DBF" w14:textId="77777777" w:rsidR="00F049D9" w:rsidRPr="001E6E9D" w:rsidRDefault="00F049D9" w:rsidP="00BE46FC">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09D653E6" w14:textId="77777777" w:rsidTr="003E09A8">
        <w:trPr>
          <w:jc w:val="center"/>
        </w:trPr>
        <w:tc>
          <w:tcPr>
            <w:tcW w:w="1865" w:type="pct"/>
            <w:shd w:val="clear" w:color="auto" w:fill="E7E6E6" w:themeFill="background2"/>
          </w:tcPr>
          <w:p w14:paraId="3FA6F74A" w14:textId="77777777" w:rsidR="00F049D9" w:rsidRPr="001E6E9D" w:rsidRDefault="00F049D9" w:rsidP="00BE46FC">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0369B877" w14:textId="77777777" w:rsidR="00F049D9" w:rsidRPr="001E6E9D" w:rsidRDefault="00F049D9" w:rsidP="00BE46FC">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001FF49E" w14:textId="77777777" w:rsidTr="003E09A8">
        <w:trPr>
          <w:jc w:val="center"/>
        </w:trPr>
        <w:tc>
          <w:tcPr>
            <w:tcW w:w="1865" w:type="pct"/>
            <w:shd w:val="clear" w:color="auto" w:fill="E7E6E6" w:themeFill="background2"/>
          </w:tcPr>
          <w:p w14:paraId="7E5D4789" w14:textId="562B1850"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Data Estimada para Início (para projeto não</w:t>
            </w:r>
            <w:r w:rsidR="001C0B3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5B8E60AF"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1A1ADE4E" w14:textId="77777777" w:rsidTr="003E09A8">
        <w:trPr>
          <w:jc w:val="center"/>
        </w:trPr>
        <w:tc>
          <w:tcPr>
            <w:tcW w:w="1865" w:type="pct"/>
            <w:shd w:val="clear" w:color="auto" w:fill="E7E6E6" w:themeFill="background2"/>
          </w:tcPr>
          <w:p w14:paraId="64F7F91C"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181C8B5B"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Maio de 2024</w:t>
            </w:r>
          </w:p>
        </w:tc>
      </w:tr>
      <w:tr w:rsidR="00F049D9" w:rsidRPr="001E6E9D" w14:paraId="3D521700" w14:textId="77777777" w:rsidTr="003E09A8">
        <w:trPr>
          <w:jc w:val="center"/>
        </w:trPr>
        <w:tc>
          <w:tcPr>
            <w:tcW w:w="1865" w:type="pct"/>
            <w:shd w:val="clear" w:color="auto" w:fill="E7E6E6" w:themeFill="background2"/>
          </w:tcPr>
          <w:p w14:paraId="13CF0B50"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08F1BFA7" w14:textId="605C55B1"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w:t>
            </w:r>
            <w:r w:rsidRPr="001E6E9D">
              <w:rPr>
                <w:rFonts w:asciiTheme="minorHAnsi" w:hAnsiTheme="minorHAnsi" w:cstheme="minorHAnsi"/>
                <w:sz w:val="16"/>
                <w:szCs w:val="16"/>
                <w14:ligatures w14:val="standardContextual"/>
              </w:rPr>
              <w:t xml:space="preserve"> de </w:t>
            </w:r>
            <w:r w:rsidRPr="001E6E9D">
              <w:rPr>
                <w:rFonts w:asciiTheme="minorHAnsi" w:hAnsiTheme="minorHAnsi" w:cstheme="minorHAnsi"/>
                <w:bCs/>
                <w:sz w:val="16"/>
                <w:szCs w:val="16"/>
                <w14:ligatures w14:val="standardContextual"/>
              </w:rPr>
              <w:t>2025</w:t>
            </w:r>
          </w:p>
        </w:tc>
      </w:tr>
      <w:tr w:rsidR="00F049D9" w:rsidRPr="001E6E9D" w14:paraId="629A04B2" w14:textId="77777777" w:rsidTr="003E09A8">
        <w:trPr>
          <w:jc w:val="center"/>
        </w:trPr>
        <w:tc>
          <w:tcPr>
            <w:tcW w:w="1865" w:type="pct"/>
            <w:shd w:val="clear" w:color="auto" w:fill="E7E6E6" w:themeFill="background2"/>
          </w:tcPr>
          <w:p w14:paraId="114930B9"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3FDED4E4"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14196432" w14:textId="77777777" w:rsidTr="003E09A8">
        <w:trPr>
          <w:jc w:val="center"/>
        </w:trPr>
        <w:tc>
          <w:tcPr>
            <w:tcW w:w="1865" w:type="pct"/>
            <w:shd w:val="clear" w:color="auto" w:fill="E7E6E6" w:themeFill="background2"/>
          </w:tcPr>
          <w:p w14:paraId="49B300A6" w14:textId="77777777" w:rsidR="00F049D9" w:rsidRPr="001E6E9D" w:rsidRDefault="00F049D9" w:rsidP="00BE46FC">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732CADED"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R$6.257.805,00 (seis milhões, duzentos e cinquenta e sete mil, oitocentos e cinco reais).</w:t>
            </w:r>
          </w:p>
        </w:tc>
      </w:tr>
      <w:tr w:rsidR="00F049D9" w:rsidRPr="001E6E9D" w14:paraId="2BBA72A7" w14:textId="77777777" w:rsidTr="003E09A8">
        <w:trPr>
          <w:jc w:val="center"/>
        </w:trPr>
        <w:tc>
          <w:tcPr>
            <w:tcW w:w="1865" w:type="pct"/>
            <w:shd w:val="clear" w:color="auto" w:fill="E7E6E6" w:themeFill="background2"/>
          </w:tcPr>
          <w:p w14:paraId="2D2598D3" w14:textId="15C93D12"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2C1B1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16649525" w14:textId="2623113A"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16F805E2" w14:textId="77777777" w:rsidTr="003E09A8">
        <w:trPr>
          <w:trHeight w:val="376"/>
          <w:jc w:val="center"/>
        </w:trPr>
        <w:tc>
          <w:tcPr>
            <w:tcW w:w="1865" w:type="pct"/>
            <w:shd w:val="clear" w:color="auto" w:fill="E7E6E6" w:themeFill="background2"/>
          </w:tcPr>
          <w:p w14:paraId="2ACD2BB7" w14:textId="77777777" w:rsidR="00F049D9" w:rsidRPr="001E6E9D" w:rsidRDefault="00F049D9" w:rsidP="00BE46FC">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1C12C40E"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47EEAC2C"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59A26F75" w14:textId="77777777" w:rsidTr="003E09A8">
        <w:trPr>
          <w:tblHeader/>
          <w:jc w:val="center"/>
        </w:trPr>
        <w:tc>
          <w:tcPr>
            <w:tcW w:w="5000" w:type="pct"/>
            <w:gridSpan w:val="2"/>
            <w:shd w:val="clear" w:color="auto" w:fill="E7E6E6" w:themeFill="background2"/>
          </w:tcPr>
          <w:p w14:paraId="2A4FFCD0" w14:textId="702E7752"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24.</w:t>
            </w:r>
            <w:r w:rsidR="000C3F95"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Cabo Frio 16</w:t>
            </w:r>
          </w:p>
        </w:tc>
      </w:tr>
      <w:tr w:rsidR="00F049D9" w:rsidRPr="001E6E9D" w14:paraId="6DCD9EC2" w14:textId="77777777" w:rsidTr="003E09A8">
        <w:trPr>
          <w:jc w:val="center"/>
        </w:trPr>
        <w:tc>
          <w:tcPr>
            <w:tcW w:w="1865" w:type="pct"/>
            <w:shd w:val="clear" w:color="auto" w:fill="E7E6E6" w:themeFill="background2"/>
          </w:tcPr>
          <w:p w14:paraId="479AC8AD"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18116147" w14:textId="29F292ED"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MARAMBAIA LOCAÇÃO E SOLUÇÕES EM ENERGIA SOLAR LTDA.</w:t>
            </w:r>
          </w:p>
        </w:tc>
      </w:tr>
      <w:tr w:rsidR="00F049D9" w:rsidRPr="001E6E9D" w14:paraId="55A7A513" w14:textId="77777777" w:rsidTr="003E09A8">
        <w:trPr>
          <w:jc w:val="center"/>
        </w:trPr>
        <w:tc>
          <w:tcPr>
            <w:tcW w:w="1865" w:type="pct"/>
            <w:shd w:val="clear" w:color="auto" w:fill="E7E6E6" w:themeFill="background2"/>
          </w:tcPr>
          <w:p w14:paraId="04505AA3"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19B1D0E5"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Rio de Janeiro, voltada para o mercado de minigeração distribuída, possuindo capacidade instalada de 3042,68 MWp.</w:t>
            </w:r>
          </w:p>
        </w:tc>
      </w:tr>
      <w:tr w:rsidR="00F049D9" w:rsidRPr="001E6E9D" w14:paraId="4DD25758" w14:textId="77777777" w:rsidTr="003E09A8">
        <w:trPr>
          <w:jc w:val="center"/>
        </w:trPr>
        <w:tc>
          <w:tcPr>
            <w:tcW w:w="1865" w:type="pct"/>
            <w:shd w:val="clear" w:color="auto" w:fill="E7E6E6" w:themeFill="background2"/>
          </w:tcPr>
          <w:p w14:paraId="1B74B979"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67FC1C30"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7D92DEC4" w14:textId="77777777" w:rsidTr="003E09A8">
        <w:trPr>
          <w:jc w:val="center"/>
        </w:trPr>
        <w:tc>
          <w:tcPr>
            <w:tcW w:w="1865" w:type="pct"/>
            <w:shd w:val="clear" w:color="auto" w:fill="E7E6E6" w:themeFill="background2"/>
          </w:tcPr>
          <w:p w14:paraId="196DB91E" w14:textId="6B124442"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2C1B1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216367D3" w14:textId="2953F329"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24DB4029" w14:textId="77777777" w:rsidTr="003E09A8">
        <w:trPr>
          <w:jc w:val="center"/>
        </w:trPr>
        <w:tc>
          <w:tcPr>
            <w:tcW w:w="1865" w:type="pct"/>
            <w:shd w:val="clear" w:color="auto" w:fill="E7E6E6" w:themeFill="background2"/>
          </w:tcPr>
          <w:p w14:paraId="06791299"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6DCB21C4"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798A00F7" w14:textId="77777777" w:rsidTr="003E09A8">
        <w:trPr>
          <w:jc w:val="center"/>
        </w:trPr>
        <w:tc>
          <w:tcPr>
            <w:tcW w:w="1865" w:type="pct"/>
            <w:shd w:val="clear" w:color="auto" w:fill="E7E6E6" w:themeFill="background2"/>
          </w:tcPr>
          <w:p w14:paraId="0A39245D"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4D34B17E"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319919FC" w14:textId="77777777" w:rsidTr="003E09A8">
        <w:trPr>
          <w:jc w:val="center"/>
        </w:trPr>
        <w:tc>
          <w:tcPr>
            <w:tcW w:w="1865" w:type="pct"/>
            <w:shd w:val="clear" w:color="auto" w:fill="E7E6E6" w:themeFill="background2"/>
          </w:tcPr>
          <w:p w14:paraId="3E540DE6" w14:textId="1EEDCF4F"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2C1B1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39A6084C"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3C99DFD3" w14:textId="77777777" w:rsidTr="003E09A8">
        <w:trPr>
          <w:jc w:val="center"/>
        </w:trPr>
        <w:tc>
          <w:tcPr>
            <w:tcW w:w="1865" w:type="pct"/>
            <w:shd w:val="clear" w:color="auto" w:fill="E7E6E6" w:themeFill="background2"/>
          </w:tcPr>
          <w:p w14:paraId="5986B23C"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1F7091E6"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Abril de 2024</w:t>
            </w:r>
          </w:p>
        </w:tc>
      </w:tr>
      <w:tr w:rsidR="00F049D9" w:rsidRPr="001E6E9D" w14:paraId="7B8D48EA" w14:textId="77777777" w:rsidTr="003E09A8">
        <w:trPr>
          <w:jc w:val="center"/>
        </w:trPr>
        <w:tc>
          <w:tcPr>
            <w:tcW w:w="1865" w:type="pct"/>
            <w:shd w:val="clear" w:color="auto" w:fill="E7E6E6" w:themeFill="background2"/>
          </w:tcPr>
          <w:p w14:paraId="762C6F20"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21B017C9" w14:textId="79AA3648"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w:t>
            </w:r>
            <w:r w:rsidRPr="001E6E9D">
              <w:rPr>
                <w:rFonts w:asciiTheme="minorHAnsi" w:hAnsiTheme="minorHAnsi" w:cstheme="minorHAnsi"/>
                <w:sz w:val="16"/>
                <w:szCs w:val="16"/>
                <w14:ligatures w14:val="standardContextual"/>
              </w:rPr>
              <w:t xml:space="preserve"> de </w:t>
            </w:r>
            <w:r w:rsidRPr="001E6E9D">
              <w:rPr>
                <w:rFonts w:asciiTheme="minorHAnsi" w:hAnsiTheme="minorHAnsi" w:cstheme="minorHAnsi"/>
                <w:bCs/>
                <w:sz w:val="16"/>
                <w:szCs w:val="16"/>
                <w14:ligatures w14:val="standardContextual"/>
              </w:rPr>
              <w:t>2025</w:t>
            </w:r>
          </w:p>
        </w:tc>
      </w:tr>
      <w:tr w:rsidR="00F049D9" w:rsidRPr="001E6E9D" w14:paraId="3642015E" w14:textId="77777777" w:rsidTr="003E09A8">
        <w:trPr>
          <w:jc w:val="center"/>
        </w:trPr>
        <w:tc>
          <w:tcPr>
            <w:tcW w:w="1865" w:type="pct"/>
            <w:shd w:val="clear" w:color="auto" w:fill="E7E6E6" w:themeFill="background2"/>
          </w:tcPr>
          <w:p w14:paraId="76334379"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27B06C93"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4385B262" w14:textId="77777777" w:rsidTr="003E09A8">
        <w:trPr>
          <w:jc w:val="center"/>
        </w:trPr>
        <w:tc>
          <w:tcPr>
            <w:tcW w:w="1865" w:type="pct"/>
            <w:shd w:val="clear" w:color="auto" w:fill="E7E6E6" w:themeFill="background2"/>
          </w:tcPr>
          <w:p w14:paraId="1D3B554F" w14:textId="77777777" w:rsidR="00F049D9" w:rsidRPr="001E6E9D" w:rsidRDefault="00F049D9" w:rsidP="000C3F95">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Volume estimado de recursos financeiros necessários para realização do Projeto</w:t>
            </w:r>
          </w:p>
        </w:tc>
        <w:tc>
          <w:tcPr>
            <w:tcW w:w="3135" w:type="pct"/>
            <w:vAlign w:val="center"/>
          </w:tcPr>
          <w:p w14:paraId="0844693B" w14:textId="77777777" w:rsidR="00F049D9" w:rsidRPr="001E6E9D" w:rsidRDefault="00F049D9" w:rsidP="000C3F95">
            <w:pPr>
              <w:keepLines/>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R$12.487.691,00 (doze milhões, quatrocentos e oitenta e sete mil, seiscentos e noventa e um reais).</w:t>
            </w:r>
          </w:p>
        </w:tc>
      </w:tr>
      <w:tr w:rsidR="00F049D9" w:rsidRPr="001E6E9D" w14:paraId="6F1909FD" w14:textId="77777777" w:rsidTr="003E09A8">
        <w:trPr>
          <w:jc w:val="center"/>
        </w:trPr>
        <w:tc>
          <w:tcPr>
            <w:tcW w:w="1865" w:type="pct"/>
            <w:shd w:val="clear" w:color="auto" w:fill="E7E6E6" w:themeFill="background2"/>
          </w:tcPr>
          <w:p w14:paraId="7B192B0C" w14:textId="65A1FAE2"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2C1B1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0F955636" w14:textId="2A589A1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5726AB3E" w14:textId="77777777" w:rsidTr="003E09A8">
        <w:trPr>
          <w:trHeight w:val="376"/>
          <w:jc w:val="center"/>
        </w:trPr>
        <w:tc>
          <w:tcPr>
            <w:tcW w:w="1865" w:type="pct"/>
            <w:shd w:val="clear" w:color="auto" w:fill="E7E6E6" w:themeFill="background2"/>
          </w:tcPr>
          <w:p w14:paraId="2EA12DD7"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78685F8D"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6% (seis por cento)</w:t>
            </w:r>
          </w:p>
        </w:tc>
      </w:tr>
    </w:tbl>
    <w:p w14:paraId="01844FA8"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30EDA123" w14:textId="77777777" w:rsidTr="003E09A8">
        <w:trPr>
          <w:tblHeader/>
          <w:jc w:val="center"/>
        </w:trPr>
        <w:tc>
          <w:tcPr>
            <w:tcW w:w="5000" w:type="pct"/>
            <w:gridSpan w:val="2"/>
            <w:shd w:val="clear" w:color="auto" w:fill="E7E6E6" w:themeFill="background2"/>
          </w:tcPr>
          <w:p w14:paraId="64E7EFF6" w14:textId="0BFBDC28"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25.</w:t>
            </w:r>
            <w:r w:rsidR="000C3F95"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Cabo Frio 19</w:t>
            </w:r>
          </w:p>
        </w:tc>
      </w:tr>
      <w:tr w:rsidR="00F049D9" w:rsidRPr="001E6E9D" w14:paraId="35B134AF" w14:textId="77777777" w:rsidTr="003E09A8">
        <w:trPr>
          <w:jc w:val="center"/>
        </w:trPr>
        <w:tc>
          <w:tcPr>
            <w:tcW w:w="1865" w:type="pct"/>
            <w:shd w:val="clear" w:color="auto" w:fill="E7E6E6" w:themeFill="background2"/>
          </w:tcPr>
          <w:p w14:paraId="274B7D5B"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1614C408" w14:textId="690300E0"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MARAMBAIA LOCAÇÃO E SOLUÇÕES EM ENERGIA SOLAR LTDA.</w:t>
            </w:r>
          </w:p>
        </w:tc>
      </w:tr>
      <w:tr w:rsidR="00F049D9" w:rsidRPr="001E6E9D" w14:paraId="1BA746B0" w14:textId="77777777" w:rsidTr="003E09A8">
        <w:trPr>
          <w:jc w:val="center"/>
        </w:trPr>
        <w:tc>
          <w:tcPr>
            <w:tcW w:w="1865" w:type="pct"/>
            <w:shd w:val="clear" w:color="auto" w:fill="E7E6E6" w:themeFill="background2"/>
          </w:tcPr>
          <w:p w14:paraId="6A3EE5E1"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0A05CD7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Rio de Janeiro, voltada para o mercado de minigeração distribuída, possuindo capacidade instalada de 1273,68 MWp.</w:t>
            </w:r>
          </w:p>
        </w:tc>
      </w:tr>
      <w:tr w:rsidR="00F049D9" w:rsidRPr="001E6E9D" w14:paraId="5DEBB21B" w14:textId="77777777" w:rsidTr="003E09A8">
        <w:trPr>
          <w:jc w:val="center"/>
        </w:trPr>
        <w:tc>
          <w:tcPr>
            <w:tcW w:w="1865" w:type="pct"/>
            <w:shd w:val="clear" w:color="auto" w:fill="E7E6E6" w:themeFill="background2"/>
          </w:tcPr>
          <w:p w14:paraId="7B4F9138"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368315E5"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78A21199" w14:textId="77777777" w:rsidTr="003E09A8">
        <w:trPr>
          <w:jc w:val="center"/>
        </w:trPr>
        <w:tc>
          <w:tcPr>
            <w:tcW w:w="1865" w:type="pct"/>
            <w:shd w:val="clear" w:color="auto" w:fill="E7E6E6" w:themeFill="background2"/>
          </w:tcPr>
          <w:p w14:paraId="361C8D53" w14:textId="579614B9"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2C1B1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006688FD" w14:textId="1AF26893"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75E786B2" w14:textId="77777777" w:rsidTr="003E09A8">
        <w:trPr>
          <w:jc w:val="center"/>
        </w:trPr>
        <w:tc>
          <w:tcPr>
            <w:tcW w:w="1865" w:type="pct"/>
            <w:shd w:val="clear" w:color="auto" w:fill="E7E6E6" w:themeFill="background2"/>
          </w:tcPr>
          <w:p w14:paraId="7C8A038E"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55B7593E"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293A0683" w14:textId="77777777" w:rsidTr="003E09A8">
        <w:trPr>
          <w:jc w:val="center"/>
        </w:trPr>
        <w:tc>
          <w:tcPr>
            <w:tcW w:w="1865" w:type="pct"/>
            <w:shd w:val="clear" w:color="auto" w:fill="E7E6E6" w:themeFill="background2"/>
          </w:tcPr>
          <w:p w14:paraId="4E275F70"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785206E"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7FC80DD1" w14:textId="77777777" w:rsidTr="003E09A8">
        <w:trPr>
          <w:jc w:val="center"/>
        </w:trPr>
        <w:tc>
          <w:tcPr>
            <w:tcW w:w="1865" w:type="pct"/>
            <w:shd w:val="clear" w:color="auto" w:fill="E7E6E6" w:themeFill="background2"/>
          </w:tcPr>
          <w:p w14:paraId="32188E4E" w14:textId="7D9F08DD"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2C1B1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73182172"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7F104578" w14:textId="77777777" w:rsidTr="003E09A8">
        <w:trPr>
          <w:jc w:val="center"/>
        </w:trPr>
        <w:tc>
          <w:tcPr>
            <w:tcW w:w="1865" w:type="pct"/>
            <w:shd w:val="clear" w:color="auto" w:fill="E7E6E6" w:themeFill="background2"/>
          </w:tcPr>
          <w:p w14:paraId="38C7116C"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47F437DF"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Abril de 2024</w:t>
            </w:r>
          </w:p>
        </w:tc>
      </w:tr>
      <w:tr w:rsidR="00F049D9" w:rsidRPr="001E6E9D" w14:paraId="536D29EF" w14:textId="77777777" w:rsidTr="003E09A8">
        <w:trPr>
          <w:jc w:val="center"/>
        </w:trPr>
        <w:tc>
          <w:tcPr>
            <w:tcW w:w="1865" w:type="pct"/>
            <w:shd w:val="clear" w:color="auto" w:fill="E7E6E6" w:themeFill="background2"/>
          </w:tcPr>
          <w:p w14:paraId="2E45F62B"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4D01A6E9" w14:textId="59E1F11A"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w:t>
            </w:r>
            <w:r w:rsidRPr="001E6E9D">
              <w:rPr>
                <w:rFonts w:asciiTheme="minorHAnsi" w:hAnsiTheme="minorHAnsi" w:cstheme="minorHAnsi"/>
                <w:sz w:val="16"/>
                <w:szCs w:val="16"/>
                <w14:ligatures w14:val="standardContextual"/>
              </w:rPr>
              <w:t xml:space="preserve"> de </w:t>
            </w:r>
            <w:r w:rsidRPr="001E6E9D">
              <w:rPr>
                <w:rFonts w:asciiTheme="minorHAnsi" w:hAnsiTheme="minorHAnsi" w:cstheme="minorHAnsi"/>
                <w:bCs/>
                <w:sz w:val="16"/>
                <w:szCs w:val="16"/>
                <w14:ligatures w14:val="standardContextual"/>
              </w:rPr>
              <w:t>2025</w:t>
            </w:r>
          </w:p>
        </w:tc>
      </w:tr>
      <w:tr w:rsidR="00F049D9" w:rsidRPr="001E6E9D" w14:paraId="4241877D" w14:textId="77777777" w:rsidTr="003E09A8">
        <w:trPr>
          <w:jc w:val="center"/>
        </w:trPr>
        <w:tc>
          <w:tcPr>
            <w:tcW w:w="1865" w:type="pct"/>
            <w:shd w:val="clear" w:color="auto" w:fill="E7E6E6" w:themeFill="background2"/>
          </w:tcPr>
          <w:p w14:paraId="1DEEA83E"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67B91402"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574986B3" w14:textId="77777777" w:rsidTr="003E09A8">
        <w:trPr>
          <w:jc w:val="center"/>
        </w:trPr>
        <w:tc>
          <w:tcPr>
            <w:tcW w:w="1865" w:type="pct"/>
            <w:shd w:val="clear" w:color="auto" w:fill="E7E6E6" w:themeFill="background2"/>
          </w:tcPr>
          <w:p w14:paraId="66F79C6D" w14:textId="77777777" w:rsidR="00F049D9" w:rsidRPr="001E6E9D" w:rsidRDefault="00F049D9" w:rsidP="000C3F95">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4438EF84"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R$6.199.541,00 (seis milhões, cento e noventa e nove mil, quinhentos e quarenta e um reais).</w:t>
            </w:r>
          </w:p>
        </w:tc>
      </w:tr>
      <w:tr w:rsidR="00F049D9" w:rsidRPr="001E6E9D" w14:paraId="496AFC07" w14:textId="77777777" w:rsidTr="003E09A8">
        <w:trPr>
          <w:jc w:val="center"/>
        </w:trPr>
        <w:tc>
          <w:tcPr>
            <w:tcW w:w="1865" w:type="pct"/>
            <w:shd w:val="clear" w:color="auto" w:fill="E7E6E6" w:themeFill="background2"/>
          </w:tcPr>
          <w:p w14:paraId="3AC16282" w14:textId="5392F854"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2C1B1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27ECFB21" w14:textId="241C2ACA"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3ABAC4FC" w14:textId="77777777" w:rsidTr="003E09A8">
        <w:trPr>
          <w:trHeight w:val="376"/>
          <w:jc w:val="center"/>
        </w:trPr>
        <w:tc>
          <w:tcPr>
            <w:tcW w:w="1865" w:type="pct"/>
            <w:shd w:val="clear" w:color="auto" w:fill="E7E6E6" w:themeFill="background2"/>
          </w:tcPr>
          <w:p w14:paraId="2853669F" w14:textId="77777777" w:rsidR="00F049D9" w:rsidRPr="001E6E9D" w:rsidRDefault="00F049D9" w:rsidP="000C3F95">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22949F94"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3481C96C"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lastRenderedPageBreak/>
        <w:t>SPE 14</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642175DF" w14:textId="77777777" w:rsidTr="003E09A8">
        <w:trPr>
          <w:tblHeader/>
          <w:jc w:val="center"/>
        </w:trPr>
        <w:tc>
          <w:tcPr>
            <w:tcW w:w="5000" w:type="pct"/>
            <w:gridSpan w:val="2"/>
            <w:shd w:val="clear" w:color="auto" w:fill="E7E6E6" w:themeFill="background2"/>
          </w:tcPr>
          <w:p w14:paraId="4377C085" w14:textId="37C289A1"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26.</w:t>
            </w:r>
            <w:r w:rsidR="000C3F95"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Colares 8</w:t>
            </w:r>
          </w:p>
        </w:tc>
      </w:tr>
      <w:tr w:rsidR="00F049D9" w:rsidRPr="001E6E9D" w14:paraId="716FB2FB" w14:textId="77777777" w:rsidTr="003E09A8">
        <w:trPr>
          <w:jc w:val="center"/>
        </w:trPr>
        <w:tc>
          <w:tcPr>
            <w:tcW w:w="1865" w:type="pct"/>
            <w:shd w:val="clear" w:color="auto" w:fill="E7E6E6" w:themeFill="background2"/>
          </w:tcPr>
          <w:p w14:paraId="72B3D7C1"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78690EF5"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TAIPU LOCACAO E SOLUCOES EM ENERGIA SOLAR LTDA.</w:t>
            </w:r>
          </w:p>
        </w:tc>
      </w:tr>
      <w:tr w:rsidR="00F049D9" w:rsidRPr="001E6E9D" w14:paraId="7050486D" w14:textId="77777777" w:rsidTr="003E09A8">
        <w:trPr>
          <w:jc w:val="center"/>
        </w:trPr>
        <w:tc>
          <w:tcPr>
            <w:tcW w:w="1865" w:type="pct"/>
            <w:shd w:val="clear" w:color="auto" w:fill="E7E6E6" w:themeFill="background2"/>
          </w:tcPr>
          <w:p w14:paraId="65322943"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5065E6B3"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Mato Grosso do Sul, voltada para o mercado de minigeração distribuída, possuindo capacidade instalada de 3042,68 MWp.</w:t>
            </w:r>
          </w:p>
        </w:tc>
      </w:tr>
      <w:tr w:rsidR="00F049D9" w:rsidRPr="001E6E9D" w14:paraId="77AD6681" w14:textId="77777777" w:rsidTr="003E09A8">
        <w:trPr>
          <w:jc w:val="center"/>
        </w:trPr>
        <w:tc>
          <w:tcPr>
            <w:tcW w:w="1865" w:type="pct"/>
            <w:shd w:val="clear" w:color="auto" w:fill="E7E6E6" w:themeFill="background2"/>
          </w:tcPr>
          <w:p w14:paraId="52F770E9"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79B38976"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39AF8EE7" w14:textId="77777777" w:rsidTr="003E09A8">
        <w:trPr>
          <w:jc w:val="center"/>
        </w:trPr>
        <w:tc>
          <w:tcPr>
            <w:tcW w:w="1865" w:type="pct"/>
            <w:shd w:val="clear" w:color="auto" w:fill="E7E6E6" w:themeFill="background2"/>
          </w:tcPr>
          <w:p w14:paraId="52425FC5" w14:textId="64745A33"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2C1B1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5760DA9D" w14:textId="77759C4D"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012D7F3C" w14:textId="77777777" w:rsidTr="003E09A8">
        <w:trPr>
          <w:jc w:val="center"/>
        </w:trPr>
        <w:tc>
          <w:tcPr>
            <w:tcW w:w="1865" w:type="pct"/>
            <w:shd w:val="clear" w:color="auto" w:fill="E7E6E6" w:themeFill="background2"/>
          </w:tcPr>
          <w:p w14:paraId="1F0A13E7"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60AA528B"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4862A366" w14:textId="77777777" w:rsidTr="003E09A8">
        <w:trPr>
          <w:jc w:val="center"/>
        </w:trPr>
        <w:tc>
          <w:tcPr>
            <w:tcW w:w="1865" w:type="pct"/>
            <w:shd w:val="clear" w:color="auto" w:fill="E7E6E6" w:themeFill="background2"/>
          </w:tcPr>
          <w:p w14:paraId="4976C104"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6BD79456"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6A0F0FC4" w14:textId="77777777" w:rsidTr="003E09A8">
        <w:trPr>
          <w:jc w:val="center"/>
        </w:trPr>
        <w:tc>
          <w:tcPr>
            <w:tcW w:w="1865" w:type="pct"/>
            <w:shd w:val="clear" w:color="auto" w:fill="E7E6E6" w:themeFill="background2"/>
          </w:tcPr>
          <w:p w14:paraId="0B235926" w14:textId="69D0A384"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2C1B1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661FB928"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0DC1BCF3" w14:textId="77777777" w:rsidTr="003E09A8">
        <w:trPr>
          <w:jc w:val="center"/>
        </w:trPr>
        <w:tc>
          <w:tcPr>
            <w:tcW w:w="1865" w:type="pct"/>
            <w:shd w:val="clear" w:color="auto" w:fill="E7E6E6" w:themeFill="background2"/>
          </w:tcPr>
          <w:p w14:paraId="5EDCC30B"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56336BF7"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Junho de 2024</w:t>
            </w:r>
          </w:p>
        </w:tc>
      </w:tr>
      <w:tr w:rsidR="00F049D9" w:rsidRPr="001E6E9D" w14:paraId="4B1B8B77" w14:textId="77777777" w:rsidTr="003E09A8">
        <w:trPr>
          <w:jc w:val="center"/>
        </w:trPr>
        <w:tc>
          <w:tcPr>
            <w:tcW w:w="1865" w:type="pct"/>
            <w:shd w:val="clear" w:color="auto" w:fill="E7E6E6" w:themeFill="background2"/>
          </w:tcPr>
          <w:p w14:paraId="5C7A5E10"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5D7776F5" w14:textId="170F1B5C"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w:t>
            </w:r>
            <w:r w:rsidRPr="001E6E9D">
              <w:rPr>
                <w:rFonts w:asciiTheme="minorHAnsi" w:hAnsiTheme="minorHAnsi" w:cstheme="minorHAnsi"/>
                <w:sz w:val="16"/>
                <w:szCs w:val="16"/>
                <w14:ligatures w14:val="standardContextual"/>
              </w:rPr>
              <w:t xml:space="preserve"> de </w:t>
            </w:r>
            <w:r w:rsidRPr="001E6E9D">
              <w:rPr>
                <w:rFonts w:asciiTheme="minorHAnsi" w:hAnsiTheme="minorHAnsi" w:cstheme="minorHAnsi"/>
                <w:bCs/>
                <w:sz w:val="16"/>
                <w:szCs w:val="16"/>
                <w14:ligatures w14:val="standardContextual"/>
              </w:rPr>
              <w:t>2025</w:t>
            </w:r>
          </w:p>
        </w:tc>
      </w:tr>
      <w:tr w:rsidR="00F049D9" w:rsidRPr="001E6E9D" w14:paraId="2436D35A" w14:textId="77777777" w:rsidTr="003E09A8">
        <w:trPr>
          <w:jc w:val="center"/>
        </w:trPr>
        <w:tc>
          <w:tcPr>
            <w:tcW w:w="1865" w:type="pct"/>
            <w:shd w:val="clear" w:color="auto" w:fill="E7E6E6" w:themeFill="background2"/>
          </w:tcPr>
          <w:p w14:paraId="7AC234BC"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076E0EB4"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2E0B668C" w14:textId="77777777" w:rsidTr="003E09A8">
        <w:trPr>
          <w:jc w:val="center"/>
        </w:trPr>
        <w:tc>
          <w:tcPr>
            <w:tcW w:w="1865" w:type="pct"/>
            <w:shd w:val="clear" w:color="auto" w:fill="E7E6E6" w:themeFill="background2"/>
          </w:tcPr>
          <w:p w14:paraId="6656F3DE" w14:textId="77777777" w:rsidR="00F049D9" w:rsidRPr="001E6E9D" w:rsidRDefault="00F049D9" w:rsidP="00806803">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30D67320"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R$11.609.803,00 (onze milhões, seiscentos e nove mil, oitocentos e três reais).</w:t>
            </w:r>
          </w:p>
        </w:tc>
      </w:tr>
      <w:tr w:rsidR="00F049D9" w:rsidRPr="001E6E9D" w14:paraId="1EAB91E8" w14:textId="77777777" w:rsidTr="003E09A8">
        <w:trPr>
          <w:jc w:val="center"/>
        </w:trPr>
        <w:tc>
          <w:tcPr>
            <w:tcW w:w="1865" w:type="pct"/>
            <w:shd w:val="clear" w:color="auto" w:fill="E7E6E6" w:themeFill="background2"/>
          </w:tcPr>
          <w:p w14:paraId="0669CD1F" w14:textId="08C7CD46"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2C1B1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23EEE3F2" w14:textId="67A25754"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257D03AB" w14:textId="77777777" w:rsidTr="003E09A8">
        <w:trPr>
          <w:trHeight w:val="376"/>
          <w:jc w:val="center"/>
        </w:trPr>
        <w:tc>
          <w:tcPr>
            <w:tcW w:w="1865" w:type="pct"/>
            <w:shd w:val="clear" w:color="auto" w:fill="E7E6E6" w:themeFill="background2"/>
          </w:tcPr>
          <w:p w14:paraId="370946B3"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79EA1D90"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6% (seis por cento)</w:t>
            </w:r>
          </w:p>
        </w:tc>
      </w:tr>
    </w:tbl>
    <w:p w14:paraId="207838FB"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7CAFE590" w14:textId="77777777" w:rsidTr="003E09A8">
        <w:trPr>
          <w:tblHeader/>
          <w:jc w:val="center"/>
        </w:trPr>
        <w:tc>
          <w:tcPr>
            <w:tcW w:w="5000" w:type="pct"/>
            <w:gridSpan w:val="2"/>
            <w:shd w:val="clear" w:color="auto" w:fill="E7E6E6" w:themeFill="background2"/>
          </w:tcPr>
          <w:p w14:paraId="3F2EAD01" w14:textId="38372480"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27.</w:t>
            </w:r>
            <w:r w:rsidR="00806803"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Colares 14</w:t>
            </w:r>
          </w:p>
        </w:tc>
      </w:tr>
      <w:tr w:rsidR="00F049D9" w:rsidRPr="001E6E9D" w14:paraId="3D5BAAF2" w14:textId="77777777" w:rsidTr="003E09A8">
        <w:trPr>
          <w:jc w:val="center"/>
        </w:trPr>
        <w:tc>
          <w:tcPr>
            <w:tcW w:w="1865" w:type="pct"/>
            <w:shd w:val="clear" w:color="auto" w:fill="E7E6E6" w:themeFill="background2"/>
          </w:tcPr>
          <w:p w14:paraId="0306BC3A"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346FBABD"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TAIPU LOCACAO E SOLUCOES EM ENERGIA SOLAR LTDA.</w:t>
            </w:r>
          </w:p>
        </w:tc>
      </w:tr>
      <w:tr w:rsidR="00F049D9" w:rsidRPr="001E6E9D" w14:paraId="1AEF2B9E" w14:textId="77777777" w:rsidTr="003E09A8">
        <w:trPr>
          <w:jc w:val="center"/>
        </w:trPr>
        <w:tc>
          <w:tcPr>
            <w:tcW w:w="1865" w:type="pct"/>
            <w:shd w:val="clear" w:color="auto" w:fill="E7E6E6" w:themeFill="background2"/>
          </w:tcPr>
          <w:p w14:paraId="00B9DEEF"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75AA2234"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Mato Grosso do Sul, voltada para o mercado de minigeração distribuída, possuindo capacidade instalada de 1273,68 MWp.</w:t>
            </w:r>
          </w:p>
        </w:tc>
      </w:tr>
      <w:tr w:rsidR="00F049D9" w:rsidRPr="001E6E9D" w14:paraId="59E6A9DF" w14:textId="77777777" w:rsidTr="003E09A8">
        <w:trPr>
          <w:jc w:val="center"/>
        </w:trPr>
        <w:tc>
          <w:tcPr>
            <w:tcW w:w="1865" w:type="pct"/>
            <w:shd w:val="clear" w:color="auto" w:fill="E7E6E6" w:themeFill="background2"/>
          </w:tcPr>
          <w:p w14:paraId="6468FBAD"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2A8C0D4A"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Possibilitar que os clientes da sociedade que implementará a usina fotovoltaica possam aderir ao Sistema de Compensação de Energia Elétrica (SCEE), por meio das modalidades de “autoconsumo remoto” e “geração compartilhada”, nos termos do </w:t>
            </w:r>
            <w:r w:rsidRPr="001E6E9D">
              <w:rPr>
                <w:rFonts w:asciiTheme="minorHAnsi" w:hAnsiTheme="minorHAnsi" w:cstheme="minorHAnsi"/>
                <w:sz w:val="16"/>
                <w:szCs w:val="16"/>
                <w14:ligatures w14:val="standardContextual"/>
              </w:rPr>
              <w:lastRenderedPageBreak/>
              <w:t>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625AB49E" w14:textId="77777777" w:rsidTr="003E09A8">
        <w:trPr>
          <w:jc w:val="center"/>
        </w:trPr>
        <w:tc>
          <w:tcPr>
            <w:tcW w:w="1865" w:type="pct"/>
            <w:shd w:val="clear" w:color="auto" w:fill="E7E6E6" w:themeFill="background2"/>
          </w:tcPr>
          <w:p w14:paraId="010FAFA0" w14:textId="4AF1796B"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Protocolo de Enquadramento no Ministério de</w:t>
            </w:r>
            <w:r w:rsidR="002C1B1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51D137E9" w14:textId="075046DC"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549BB4E4" w14:textId="77777777" w:rsidTr="003E09A8">
        <w:trPr>
          <w:jc w:val="center"/>
        </w:trPr>
        <w:tc>
          <w:tcPr>
            <w:tcW w:w="1865" w:type="pct"/>
            <w:shd w:val="clear" w:color="auto" w:fill="E7E6E6" w:themeFill="background2"/>
          </w:tcPr>
          <w:p w14:paraId="4CD007EF"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63CD434C"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5C0DA1CB" w14:textId="77777777" w:rsidTr="003E09A8">
        <w:trPr>
          <w:jc w:val="center"/>
        </w:trPr>
        <w:tc>
          <w:tcPr>
            <w:tcW w:w="1865" w:type="pct"/>
            <w:shd w:val="clear" w:color="auto" w:fill="E7E6E6" w:themeFill="background2"/>
          </w:tcPr>
          <w:p w14:paraId="74777973"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267B1CD3"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50129AC3" w14:textId="77777777" w:rsidTr="003E09A8">
        <w:trPr>
          <w:jc w:val="center"/>
        </w:trPr>
        <w:tc>
          <w:tcPr>
            <w:tcW w:w="1865" w:type="pct"/>
            <w:shd w:val="clear" w:color="auto" w:fill="E7E6E6" w:themeFill="background2"/>
          </w:tcPr>
          <w:p w14:paraId="1204CC1B" w14:textId="20E04CA8"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2C1B1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5D16D5BD"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4D597324" w14:textId="77777777" w:rsidTr="003E09A8">
        <w:trPr>
          <w:jc w:val="center"/>
        </w:trPr>
        <w:tc>
          <w:tcPr>
            <w:tcW w:w="1865" w:type="pct"/>
            <w:shd w:val="clear" w:color="auto" w:fill="E7E6E6" w:themeFill="background2"/>
          </w:tcPr>
          <w:p w14:paraId="74C80247"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380C5D06"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Junho de 2024</w:t>
            </w:r>
          </w:p>
        </w:tc>
      </w:tr>
      <w:tr w:rsidR="00F049D9" w:rsidRPr="001E6E9D" w14:paraId="340C5591" w14:textId="77777777" w:rsidTr="003E09A8">
        <w:trPr>
          <w:jc w:val="center"/>
        </w:trPr>
        <w:tc>
          <w:tcPr>
            <w:tcW w:w="1865" w:type="pct"/>
            <w:shd w:val="clear" w:color="auto" w:fill="E7E6E6" w:themeFill="background2"/>
          </w:tcPr>
          <w:p w14:paraId="7BA2FC40"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36B40ABA" w14:textId="7DE40E8F"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w:t>
            </w:r>
            <w:r w:rsidRPr="001E6E9D">
              <w:rPr>
                <w:rFonts w:asciiTheme="minorHAnsi" w:hAnsiTheme="minorHAnsi" w:cstheme="minorHAnsi"/>
                <w:sz w:val="16"/>
                <w:szCs w:val="16"/>
                <w14:ligatures w14:val="standardContextual"/>
              </w:rPr>
              <w:t xml:space="preserve"> de </w:t>
            </w:r>
            <w:r w:rsidRPr="001E6E9D">
              <w:rPr>
                <w:rFonts w:asciiTheme="minorHAnsi" w:hAnsiTheme="minorHAnsi" w:cstheme="minorHAnsi"/>
                <w:bCs/>
                <w:sz w:val="16"/>
                <w:szCs w:val="16"/>
                <w14:ligatures w14:val="standardContextual"/>
              </w:rPr>
              <w:t>2025</w:t>
            </w:r>
          </w:p>
        </w:tc>
      </w:tr>
      <w:tr w:rsidR="00F049D9" w:rsidRPr="001E6E9D" w14:paraId="441F9CD6" w14:textId="77777777" w:rsidTr="003E09A8">
        <w:trPr>
          <w:jc w:val="center"/>
        </w:trPr>
        <w:tc>
          <w:tcPr>
            <w:tcW w:w="1865" w:type="pct"/>
            <w:shd w:val="clear" w:color="auto" w:fill="E7E6E6" w:themeFill="background2"/>
          </w:tcPr>
          <w:p w14:paraId="583B66E7"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79E793D7"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51148D3C" w14:textId="77777777" w:rsidTr="003E09A8">
        <w:trPr>
          <w:jc w:val="center"/>
        </w:trPr>
        <w:tc>
          <w:tcPr>
            <w:tcW w:w="1865" w:type="pct"/>
            <w:shd w:val="clear" w:color="auto" w:fill="E7E6E6" w:themeFill="background2"/>
          </w:tcPr>
          <w:p w14:paraId="0BD08FCB" w14:textId="77777777" w:rsidR="00F049D9" w:rsidRPr="001E6E9D" w:rsidRDefault="00F049D9" w:rsidP="00806803">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5B290E40"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R$5.693.764,00 (cinco milhões, seiscentos e noventa e três mil, setecentos e sessenta e quatro reais).</w:t>
            </w:r>
          </w:p>
        </w:tc>
      </w:tr>
      <w:tr w:rsidR="00F049D9" w:rsidRPr="001E6E9D" w14:paraId="6F8487AC" w14:textId="77777777" w:rsidTr="003E09A8">
        <w:trPr>
          <w:jc w:val="center"/>
        </w:trPr>
        <w:tc>
          <w:tcPr>
            <w:tcW w:w="1865" w:type="pct"/>
            <w:shd w:val="clear" w:color="auto" w:fill="E7E6E6" w:themeFill="background2"/>
          </w:tcPr>
          <w:p w14:paraId="1C7B046D" w14:textId="3611F99A"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2C1B1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366583F8" w14:textId="59FD2A73"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34325607" w14:textId="77777777" w:rsidTr="003E09A8">
        <w:trPr>
          <w:trHeight w:val="376"/>
          <w:jc w:val="center"/>
        </w:trPr>
        <w:tc>
          <w:tcPr>
            <w:tcW w:w="1865" w:type="pct"/>
            <w:shd w:val="clear" w:color="auto" w:fill="E7E6E6" w:themeFill="background2"/>
          </w:tcPr>
          <w:p w14:paraId="4A55D5BC"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59F557B3"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369F4943"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Cs w:val="20"/>
        </w:rPr>
      </w:pPr>
      <w:r w:rsidRPr="001E6E9D">
        <w:rPr>
          <w:rFonts w:asciiTheme="minorHAnsi" w:hAnsiTheme="minorHAnsi" w:cstheme="minorHAnsi"/>
          <w:b/>
          <w:szCs w:val="20"/>
        </w:rPr>
        <w:t>SPE 15</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0DD03F16" w14:textId="77777777" w:rsidTr="003E09A8">
        <w:trPr>
          <w:tblHeader/>
          <w:jc w:val="center"/>
        </w:trPr>
        <w:tc>
          <w:tcPr>
            <w:tcW w:w="5000" w:type="pct"/>
            <w:gridSpan w:val="2"/>
            <w:shd w:val="clear" w:color="auto" w:fill="E7E6E6" w:themeFill="background2"/>
          </w:tcPr>
          <w:p w14:paraId="3BC84A1E" w14:textId="6AAC9435" w:rsidR="00F049D9" w:rsidRPr="001E6E9D" w:rsidRDefault="00305A23" w:rsidP="00A94FB3">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28.</w:t>
            </w:r>
            <w:r w:rsidR="00806803"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Mangue Seco 12</w:t>
            </w:r>
          </w:p>
        </w:tc>
      </w:tr>
      <w:tr w:rsidR="00F049D9" w:rsidRPr="001E6E9D" w14:paraId="4E33350D" w14:textId="77777777" w:rsidTr="003E09A8">
        <w:trPr>
          <w:jc w:val="center"/>
        </w:trPr>
        <w:tc>
          <w:tcPr>
            <w:tcW w:w="1865" w:type="pct"/>
            <w:shd w:val="clear" w:color="auto" w:fill="E7E6E6" w:themeFill="background2"/>
          </w:tcPr>
          <w:p w14:paraId="0910EED6"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69A731ED" w14:textId="77777777" w:rsidR="00F049D9" w:rsidRPr="001E6E9D" w:rsidRDefault="00F049D9" w:rsidP="00A94FB3">
            <w:pPr>
              <w:widowControl w:val="0"/>
              <w:tabs>
                <w:tab w:val="left" w:pos="1418"/>
                <w:tab w:val="left" w:pos="2366"/>
              </w:tabs>
              <w:spacing w:before="100" w:after="100"/>
              <w:rPr>
                <w:rFonts w:asciiTheme="minorHAnsi" w:hAnsiTheme="minorHAnsi" w:cstheme="minorHAnsi"/>
                <w:bCs/>
                <w:sz w:val="16"/>
                <w:szCs w:val="16"/>
              </w:rPr>
            </w:pPr>
            <w:r w:rsidRPr="001E6E9D">
              <w:rPr>
                <w:rFonts w:asciiTheme="minorHAnsi" w:hAnsiTheme="minorHAnsi" w:cstheme="minorHAnsi"/>
                <w:bCs/>
                <w:sz w:val="16"/>
                <w:szCs w:val="16"/>
                <w14:ligatures w14:val="standardContextual"/>
              </w:rPr>
              <w:t>FARO MANGUE SECO LOCAÇÃO E SOLUÇÕES EM ENERGIA SOLAR LTDA.</w:t>
            </w:r>
          </w:p>
        </w:tc>
      </w:tr>
      <w:tr w:rsidR="00F049D9" w:rsidRPr="001E6E9D" w14:paraId="37C6DDA9" w14:textId="77777777" w:rsidTr="003E09A8">
        <w:trPr>
          <w:jc w:val="center"/>
        </w:trPr>
        <w:tc>
          <w:tcPr>
            <w:tcW w:w="1865" w:type="pct"/>
            <w:shd w:val="clear" w:color="auto" w:fill="E7E6E6" w:themeFill="background2"/>
          </w:tcPr>
          <w:p w14:paraId="1D871967"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62E64A8D" w14:textId="77777777" w:rsidR="00F049D9" w:rsidRPr="001E6E9D" w:rsidRDefault="00F049D9" w:rsidP="00A94FB3">
            <w:pPr>
              <w:widowControl w:val="0"/>
              <w:tabs>
                <w:tab w:val="left" w:pos="1418"/>
                <w:tab w:val="left" w:pos="2366"/>
              </w:tabs>
              <w:spacing w:before="100" w:after="100"/>
              <w:rPr>
                <w:rFonts w:asciiTheme="minorHAnsi" w:hAnsiTheme="minorHAnsi" w:cstheme="minorHAnsi"/>
                <w:bCs/>
                <w:sz w:val="16"/>
                <w:szCs w:val="16"/>
                <w14:ligatures w14:val="standardContextual"/>
              </w:rPr>
            </w:pPr>
            <w:r w:rsidRPr="001E6E9D">
              <w:rPr>
                <w:rFonts w:asciiTheme="minorHAnsi" w:hAnsiTheme="minorHAnsi" w:cstheme="minorHAnsi"/>
                <w:bCs/>
                <w:sz w:val="16"/>
                <w:szCs w:val="16"/>
                <w14:ligatures w14:val="standardContextual"/>
              </w:rPr>
              <w:t>Implantação, desenvolvimento e construção de usina de minigeração solar fotovoltaica, localizada no estado de Goiás, voltada para o mercado de minigeração distribuída, possuindo capacidade instalada de 1273,68 MWp.</w:t>
            </w:r>
          </w:p>
        </w:tc>
      </w:tr>
      <w:tr w:rsidR="00F049D9" w:rsidRPr="001E6E9D" w14:paraId="58568E89" w14:textId="77777777" w:rsidTr="003E09A8">
        <w:trPr>
          <w:jc w:val="center"/>
        </w:trPr>
        <w:tc>
          <w:tcPr>
            <w:tcW w:w="1865" w:type="pct"/>
            <w:shd w:val="clear" w:color="auto" w:fill="E7E6E6" w:themeFill="background2"/>
          </w:tcPr>
          <w:p w14:paraId="63327F73" w14:textId="77777777" w:rsidR="00F049D9" w:rsidRPr="001E6E9D" w:rsidRDefault="00F049D9" w:rsidP="00A94FB3">
            <w:pPr>
              <w:widowControl w:val="0"/>
              <w:tabs>
                <w:tab w:val="left" w:pos="1418"/>
                <w:tab w:val="left" w:pos="2366"/>
              </w:tabs>
              <w:spacing w:before="100" w:after="100"/>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23503D90"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23D1A00C" w14:textId="77777777" w:rsidTr="003E09A8">
        <w:trPr>
          <w:jc w:val="center"/>
        </w:trPr>
        <w:tc>
          <w:tcPr>
            <w:tcW w:w="1865" w:type="pct"/>
            <w:shd w:val="clear" w:color="auto" w:fill="E7E6E6" w:themeFill="background2"/>
          </w:tcPr>
          <w:p w14:paraId="0BA6F3B7" w14:textId="4C4C0B35" w:rsidR="00F049D9" w:rsidRPr="001E6E9D" w:rsidRDefault="00F049D9" w:rsidP="0015374F">
            <w:pPr>
              <w:keepNext/>
              <w:keepLines/>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Protocolo de Enquadramento no Ministério de</w:t>
            </w:r>
            <w:r w:rsidR="002C1B1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1EE07412" w14:textId="77777777" w:rsidR="00F049D9" w:rsidRPr="001E6E9D" w:rsidRDefault="00F049D9" w:rsidP="0015374F">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7808294A" w14:textId="77777777" w:rsidTr="003E09A8">
        <w:trPr>
          <w:jc w:val="center"/>
        </w:trPr>
        <w:tc>
          <w:tcPr>
            <w:tcW w:w="1865" w:type="pct"/>
            <w:shd w:val="clear" w:color="auto" w:fill="E7E6E6" w:themeFill="background2"/>
          </w:tcPr>
          <w:p w14:paraId="3BF5A71B"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5A1879DE" w14:textId="77777777" w:rsidR="00F049D9" w:rsidRPr="001E6E9D" w:rsidRDefault="00F049D9" w:rsidP="0015374F">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Minigeração Distribuída</w:t>
            </w:r>
          </w:p>
        </w:tc>
      </w:tr>
      <w:tr w:rsidR="00F049D9" w:rsidRPr="001E6E9D" w14:paraId="29584FFE" w14:textId="77777777" w:rsidTr="003E09A8">
        <w:trPr>
          <w:jc w:val="center"/>
        </w:trPr>
        <w:tc>
          <w:tcPr>
            <w:tcW w:w="1865" w:type="pct"/>
            <w:shd w:val="clear" w:color="auto" w:fill="E7E6E6" w:themeFill="background2"/>
          </w:tcPr>
          <w:p w14:paraId="6C24EE72"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FDC8146" w14:textId="77777777" w:rsidR="00F049D9" w:rsidRPr="001E6E9D" w:rsidRDefault="00F049D9" w:rsidP="0015374F">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22E713F9" w14:textId="77777777" w:rsidTr="003E09A8">
        <w:trPr>
          <w:jc w:val="center"/>
        </w:trPr>
        <w:tc>
          <w:tcPr>
            <w:tcW w:w="1865" w:type="pct"/>
            <w:shd w:val="clear" w:color="auto" w:fill="E7E6E6" w:themeFill="background2"/>
          </w:tcPr>
          <w:p w14:paraId="3C019CE3" w14:textId="4AFAF0B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2C1B1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24EC9399" w14:textId="77777777" w:rsidR="00F049D9" w:rsidRPr="001E6E9D" w:rsidRDefault="00F049D9" w:rsidP="0015374F">
            <w:pPr>
              <w:widowControl w:val="0"/>
              <w:tabs>
                <w:tab w:val="left" w:pos="1418"/>
                <w:tab w:val="left" w:pos="2366"/>
              </w:tabs>
              <w:spacing w:before="80" w:after="80"/>
              <w:jc w:val="center"/>
              <w:rPr>
                <w:rFonts w:asciiTheme="minorHAnsi" w:hAnsiTheme="minorHAnsi" w:cstheme="minorHAnsi"/>
                <w:bCs/>
                <w:sz w:val="16"/>
                <w:szCs w:val="16"/>
                <w14:ligatures w14:val="standardContextual"/>
              </w:rPr>
            </w:pPr>
            <w:r w:rsidRPr="001E6E9D">
              <w:rPr>
                <w:rFonts w:asciiTheme="minorHAnsi" w:hAnsiTheme="minorHAnsi" w:cstheme="minorHAnsi"/>
                <w:bCs/>
                <w:sz w:val="16"/>
                <w:szCs w:val="16"/>
                <w14:ligatures w14:val="standardContextual"/>
              </w:rPr>
              <w:t>N/A</w:t>
            </w:r>
          </w:p>
        </w:tc>
      </w:tr>
      <w:tr w:rsidR="00F049D9" w:rsidRPr="001E6E9D" w14:paraId="67BEEC22" w14:textId="77777777" w:rsidTr="003E09A8">
        <w:trPr>
          <w:jc w:val="center"/>
        </w:trPr>
        <w:tc>
          <w:tcPr>
            <w:tcW w:w="1865" w:type="pct"/>
            <w:shd w:val="clear" w:color="auto" w:fill="E7E6E6" w:themeFill="background2"/>
          </w:tcPr>
          <w:p w14:paraId="15F60490"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1A19B845" w14:textId="77777777" w:rsidR="00F049D9" w:rsidRPr="001E6E9D" w:rsidRDefault="00F049D9" w:rsidP="0015374F">
            <w:pPr>
              <w:widowControl w:val="0"/>
              <w:tabs>
                <w:tab w:val="left" w:pos="1418"/>
                <w:tab w:val="left" w:pos="2366"/>
              </w:tabs>
              <w:spacing w:before="80" w:after="80"/>
              <w:jc w:val="center"/>
              <w:rPr>
                <w:rFonts w:asciiTheme="minorHAnsi" w:eastAsiaTheme="minorEastAsia" w:hAnsiTheme="minorHAnsi" w:cstheme="minorHAnsi"/>
                <w:b/>
                <w:sz w:val="16"/>
                <w:szCs w:val="16"/>
              </w:rPr>
            </w:pPr>
            <w:r w:rsidRPr="001E6E9D">
              <w:rPr>
                <w:rFonts w:asciiTheme="minorHAnsi" w:hAnsiTheme="minorHAnsi" w:cstheme="minorHAnsi"/>
                <w:bCs/>
                <w:sz w:val="16"/>
                <w:szCs w:val="16"/>
                <w14:ligatures w14:val="standardContextual"/>
              </w:rPr>
              <w:t>Junho de 2024</w:t>
            </w:r>
          </w:p>
        </w:tc>
      </w:tr>
      <w:tr w:rsidR="00F049D9" w:rsidRPr="001E6E9D" w14:paraId="609D5A44" w14:textId="77777777" w:rsidTr="003E09A8">
        <w:trPr>
          <w:jc w:val="center"/>
        </w:trPr>
        <w:tc>
          <w:tcPr>
            <w:tcW w:w="1865" w:type="pct"/>
            <w:shd w:val="clear" w:color="auto" w:fill="E7E6E6" w:themeFill="background2"/>
          </w:tcPr>
          <w:p w14:paraId="2275AF9E"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17DEFD05" w14:textId="77777777" w:rsidR="00F049D9" w:rsidRPr="001E6E9D" w:rsidRDefault="00F049D9" w:rsidP="0015374F">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 de 2025</w:t>
            </w:r>
          </w:p>
        </w:tc>
      </w:tr>
      <w:tr w:rsidR="00F049D9" w:rsidRPr="001E6E9D" w14:paraId="661F2B97" w14:textId="77777777" w:rsidTr="003E09A8">
        <w:trPr>
          <w:jc w:val="center"/>
        </w:trPr>
        <w:tc>
          <w:tcPr>
            <w:tcW w:w="1865" w:type="pct"/>
            <w:shd w:val="clear" w:color="auto" w:fill="E7E6E6" w:themeFill="background2"/>
          </w:tcPr>
          <w:p w14:paraId="0F9CDE6A"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100D37B7" w14:textId="77777777" w:rsidR="00F049D9" w:rsidRPr="001E6E9D" w:rsidRDefault="00F049D9" w:rsidP="0015374F">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31F4B767" w14:textId="77777777" w:rsidTr="003E09A8">
        <w:trPr>
          <w:jc w:val="center"/>
        </w:trPr>
        <w:tc>
          <w:tcPr>
            <w:tcW w:w="1865" w:type="pct"/>
            <w:shd w:val="clear" w:color="auto" w:fill="E7E6E6" w:themeFill="background2"/>
          </w:tcPr>
          <w:p w14:paraId="54D81DF7" w14:textId="77777777" w:rsidR="00F049D9" w:rsidRPr="001E6E9D" w:rsidRDefault="00F049D9" w:rsidP="0015374F">
            <w:pPr>
              <w:widowControl w:val="0"/>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02026BF8" w14:textId="77777777" w:rsidR="00F049D9" w:rsidRPr="001E6E9D" w:rsidRDefault="00F049D9" w:rsidP="0015374F">
            <w:pPr>
              <w:widowControl w:val="0"/>
              <w:spacing w:before="80" w:after="80"/>
              <w:rPr>
                <w:rFonts w:asciiTheme="minorHAnsi" w:hAnsiTheme="minorHAnsi" w:cstheme="minorHAnsi"/>
                <w:sz w:val="16"/>
                <w:szCs w:val="16"/>
              </w:rPr>
            </w:pPr>
            <w:r w:rsidRPr="001E6E9D">
              <w:rPr>
                <w:rFonts w:asciiTheme="minorHAnsi" w:hAnsiTheme="minorHAnsi" w:cstheme="minorHAnsi"/>
                <w:sz w:val="16"/>
                <w:szCs w:val="16"/>
              </w:rPr>
              <w:t>R$5.416.268,00 (cinco milhões, quatrocentos e dezesseis mil, duzentos e sessenta e oito reais).</w:t>
            </w:r>
          </w:p>
        </w:tc>
      </w:tr>
      <w:tr w:rsidR="00F049D9" w:rsidRPr="001E6E9D" w14:paraId="677DD4C1" w14:textId="77777777" w:rsidTr="003E09A8">
        <w:trPr>
          <w:jc w:val="center"/>
        </w:trPr>
        <w:tc>
          <w:tcPr>
            <w:tcW w:w="1865" w:type="pct"/>
            <w:shd w:val="clear" w:color="auto" w:fill="E7E6E6" w:themeFill="background2"/>
          </w:tcPr>
          <w:p w14:paraId="142CA7A4" w14:textId="2554F976"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2C1B1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1027F20F" w14:textId="60525E0F" w:rsidR="00F049D9" w:rsidRPr="001E6E9D" w:rsidRDefault="00F049D9" w:rsidP="0015374F">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7C148E20" w14:textId="77777777" w:rsidTr="003E09A8">
        <w:trPr>
          <w:trHeight w:val="376"/>
          <w:jc w:val="center"/>
        </w:trPr>
        <w:tc>
          <w:tcPr>
            <w:tcW w:w="1865" w:type="pct"/>
            <w:shd w:val="clear" w:color="auto" w:fill="E7E6E6" w:themeFill="background2"/>
          </w:tcPr>
          <w:p w14:paraId="6157EFDD"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0599E5E1" w14:textId="77777777" w:rsidR="00F049D9" w:rsidRPr="001E6E9D" w:rsidRDefault="00F049D9" w:rsidP="0015374F">
            <w:pPr>
              <w:widowControl w:val="0"/>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1DAB0BC4" w14:textId="77777777" w:rsidR="00F049D9" w:rsidRPr="001E6E9D" w:rsidRDefault="00F049D9" w:rsidP="00A94FB3">
      <w:pPr>
        <w:pStyle w:val="PargrafodaLista"/>
        <w:widowControl w:val="0"/>
        <w:suppressAutoHyphens/>
        <w:spacing w:before="100" w:after="100"/>
        <w:ind w:left="0"/>
        <w:rPr>
          <w:rFonts w:asciiTheme="minorHAnsi" w:hAnsiTheme="minorHAnsi" w:cstheme="minorHAnsi"/>
          <w:b/>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00D0A304" w14:textId="77777777" w:rsidTr="003E09A8">
        <w:trPr>
          <w:tblHeader/>
          <w:jc w:val="center"/>
        </w:trPr>
        <w:tc>
          <w:tcPr>
            <w:tcW w:w="5000" w:type="pct"/>
            <w:gridSpan w:val="2"/>
            <w:shd w:val="clear" w:color="auto" w:fill="E7E6E6" w:themeFill="background2"/>
          </w:tcPr>
          <w:p w14:paraId="45EF1A4C" w14:textId="23978D0D" w:rsidR="00F049D9" w:rsidRPr="001E6E9D" w:rsidRDefault="00305A23" w:rsidP="0015374F">
            <w:pPr>
              <w:widowControl w:val="0"/>
              <w:tabs>
                <w:tab w:val="left" w:pos="787"/>
                <w:tab w:val="left" w:pos="2366"/>
                <w:tab w:val="left" w:pos="3600"/>
              </w:tabs>
              <w:autoSpaceDE w:val="0"/>
              <w:autoSpaceDN w:val="0"/>
              <w:adjustRightInd w:val="0"/>
              <w:spacing w:before="80" w:after="8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29.</w:t>
            </w:r>
            <w:r w:rsidR="00806803"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Mangue Seco 13</w:t>
            </w:r>
          </w:p>
        </w:tc>
      </w:tr>
      <w:tr w:rsidR="00F049D9" w:rsidRPr="001E6E9D" w14:paraId="3F9F8AA7" w14:textId="77777777" w:rsidTr="003E09A8">
        <w:trPr>
          <w:jc w:val="center"/>
        </w:trPr>
        <w:tc>
          <w:tcPr>
            <w:tcW w:w="1865" w:type="pct"/>
            <w:shd w:val="clear" w:color="auto" w:fill="E7E6E6" w:themeFill="background2"/>
          </w:tcPr>
          <w:p w14:paraId="5F0A75EA"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2F5A8B52" w14:textId="77777777" w:rsidR="00F049D9" w:rsidRPr="001E6E9D" w:rsidRDefault="00F049D9" w:rsidP="0015374F">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MANGUE SECO LOCAÇÃO E SOLUÇÕES EM ENERGIA SOLAR LTDA.</w:t>
            </w:r>
          </w:p>
        </w:tc>
      </w:tr>
      <w:tr w:rsidR="00F049D9" w:rsidRPr="001E6E9D" w14:paraId="42A7EFDC" w14:textId="77777777" w:rsidTr="003E09A8">
        <w:trPr>
          <w:jc w:val="center"/>
        </w:trPr>
        <w:tc>
          <w:tcPr>
            <w:tcW w:w="1865" w:type="pct"/>
            <w:shd w:val="clear" w:color="auto" w:fill="E7E6E6" w:themeFill="background2"/>
          </w:tcPr>
          <w:p w14:paraId="6696F58B"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4856BD46" w14:textId="77777777" w:rsidR="00F049D9" w:rsidRPr="001E6E9D" w:rsidRDefault="00F049D9" w:rsidP="0015374F">
            <w:pPr>
              <w:widowControl w:val="0"/>
              <w:tabs>
                <w:tab w:val="left" w:pos="1418"/>
                <w:tab w:val="left" w:pos="2366"/>
              </w:tabs>
              <w:spacing w:before="80" w:after="8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Goiás, voltada para o mercado de minigeração distribuída, possuindo capacidade instalada de 1273,68 MWp.</w:t>
            </w:r>
          </w:p>
        </w:tc>
      </w:tr>
      <w:tr w:rsidR="00F049D9" w:rsidRPr="001E6E9D" w14:paraId="0641888C" w14:textId="77777777" w:rsidTr="003E09A8">
        <w:trPr>
          <w:jc w:val="center"/>
        </w:trPr>
        <w:tc>
          <w:tcPr>
            <w:tcW w:w="1865" w:type="pct"/>
            <w:shd w:val="clear" w:color="auto" w:fill="E7E6E6" w:themeFill="background2"/>
          </w:tcPr>
          <w:p w14:paraId="3FA9A510"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6A2E1DFE" w14:textId="77777777" w:rsidR="00F049D9" w:rsidRPr="001E6E9D" w:rsidRDefault="00F049D9" w:rsidP="0015374F">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038BBD29" w14:textId="77777777" w:rsidTr="003E09A8">
        <w:trPr>
          <w:jc w:val="center"/>
        </w:trPr>
        <w:tc>
          <w:tcPr>
            <w:tcW w:w="1865" w:type="pct"/>
            <w:shd w:val="clear" w:color="auto" w:fill="E7E6E6" w:themeFill="background2"/>
          </w:tcPr>
          <w:p w14:paraId="1B200C39" w14:textId="4FEA9B33"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2C1B1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3781A460" w14:textId="28AA67A5" w:rsidR="00F049D9" w:rsidRPr="001E6E9D" w:rsidRDefault="00F049D9" w:rsidP="0015374F">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60FE8240" w14:textId="77777777" w:rsidTr="003E09A8">
        <w:trPr>
          <w:jc w:val="center"/>
        </w:trPr>
        <w:tc>
          <w:tcPr>
            <w:tcW w:w="1865" w:type="pct"/>
            <w:shd w:val="clear" w:color="auto" w:fill="E7E6E6" w:themeFill="background2"/>
          </w:tcPr>
          <w:p w14:paraId="22E48FE9"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35719218" w14:textId="77777777" w:rsidR="00F049D9" w:rsidRPr="001E6E9D" w:rsidRDefault="00F049D9" w:rsidP="0015374F">
            <w:pPr>
              <w:widowControl w:val="0"/>
              <w:tabs>
                <w:tab w:val="left" w:pos="1418"/>
                <w:tab w:val="left" w:pos="2366"/>
              </w:tabs>
              <w:spacing w:before="80" w:after="8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64FA31CD" w14:textId="77777777" w:rsidTr="003E09A8">
        <w:trPr>
          <w:jc w:val="center"/>
        </w:trPr>
        <w:tc>
          <w:tcPr>
            <w:tcW w:w="1865" w:type="pct"/>
            <w:shd w:val="clear" w:color="auto" w:fill="E7E6E6" w:themeFill="background2"/>
          </w:tcPr>
          <w:p w14:paraId="1ED7C1CB" w14:textId="77777777" w:rsidR="00F049D9" w:rsidRPr="001E6E9D" w:rsidRDefault="00F049D9" w:rsidP="0015374F">
            <w:pPr>
              <w:widowControl w:val="0"/>
              <w:tabs>
                <w:tab w:val="left" w:pos="1418"/>
                <w:tab w:val="left" w:pos="2366"/>
              </w:tabs>
              <w:spacing w:before="80" w:after="8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56325BD7" w14:textId="77777777" w:rsidR="00F049D9" w:rsidRPr="001E6E9D" w:rsidRDefault="00F049D9" w:rsidP="0015374F">
            <w:pPr>
              <w:widowControl w:val="0"/>
              <w:tabs>
                <w:tab w:val="left" w:pos="1418"/>
                <w:tab w:val="left" w:pos="2366"/>
              </w:tabs>
              <w:spacing w:before="80" w:after="8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1E556E1A" w14:textId="77777777" w:rsidTr="003E09A8">
        <w:trPr>
          <w:jc w:val="center"/>
        </w:trPr>
        <w:tc>
          <w:tcPr>
            <w:tcW w:w="1865" w:type="pct"/>
            <w:shd w:val="clear" w:color="auto" w:fill="E7E6E6" w:themeFill="background2"/>
          </w:tcPr>
          <w:p w14:paraId="6D55787C" w14:textId="1886B6EC"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Data Estimada para Início (para projeto não</w:t>
            </w:r>
            <w:r w:rsidR="002C1B1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02FC2649"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7006DB55" w14:textId="77777777" w:rsidTr="003E09A8">
        <w:trPr>
          <w:jc w:val="center"/>
        </w:trPr>
        <w:tc>
          <w:tcPr>
            <w:tcW w:w="1865" w:type="pct"/>
            <w:shd w:val="clear" w:color="auto" w:fill="E7E6E6" w:themeFill="background2"/>
          </w:tcPr>
          <w:p w14:paraId="4E6D9C09"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5E07E5C7"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Junho de 2024</w:t>
            </w:r>
          </w:p>
        </w:tc>
      </w:tr>
      <w:tr w:rsidR="00F049D9" w:rsidRPr="001E6E9D" w14:paraId="6EF65823" w14:textId="77777777" w:rsidTr="003E09A8">
        <w:trPr>
          <w:jc w:val="center"/>
        </w:trPr>
        <w:tc>
          <w:tcPr>
            <w:tcW w:w="1865" w:type="pct"/>
            <w:shd w:val="clear" w:color="auto" w:fill="E7E6E6" w:themeFill="background2"/>
          </w:tcPr>
          <w:p w14:paraId="52193620"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2C3E5958" w14:textId="2C56DBF1"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w:t>
            </w:r>
            <w:r w:rsidRPr="001E6E9D">
              <w:rPr>
                <w:rFonts w:asciiTheme="minorHAnsi" w:hAnsiTheme="minorHAnsi" w:cstheme="minorHAnsi"/>
                <w:sz w:val="16"/>
                <w:szCs w:val="16"/>
                <w14:ligatures w14:val="standardContextual"/>
              </w:rPr>
              <w:t xml:space="preserve"> de 2025</w:t>
            </w:r>
          </w:p>
        </w:tc>
      </w:tr>
      <w:tr w:rsidR="00F049D9" w:rsidRPr="001E6E9D" w14:paraId="2E26CB8B" w14:textId="77777777" w:rsidTr="003E09A8">
        <w:trPr>
          <w:jc w:val="center"/>
        </w:trPr>
        <w:tc>
          <w:tcPr>
            <w:tcW w:w="1865" w:type="pct"/>
            <w:shd w:val="clear" w:color="auto" w:fill="E7E6E6" w:themeFill="background2"/>
          </w:tcPr>
          <w:p w14:paraId="7BA02861"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4A3A0035"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242BD44A" w14:textId="77777777" w:rsidTr="003E09A8">
        <w:trPr>
          <w:jc w:val="center"/>
        </w:trPr>
        <w:tc>
          <w:tcPr>
            <w:tcW w:w="1865" w:type="pct"/>
            <w:shd w:val="clear" w:color="auto" w:fill="E7E6E6" w:themeFill="background2"/>
          </w:tcPr>
          <w:p w14:paraId="215B689E" w14:textId="77777777" w:rsidR="00F049D9" w:rsidRPr="001E6E9D" w:rsidRDefault="00F049D9" w:rsidP="00806803">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4AC93610"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R$5.109.034,00 (cinco milhões, cento e nove mil e trinta e quatro reais).</w:t>
            </w:r>
          </w:p>
        </w:tc>
      </w:tr>
      <w:tr w:rsidR="00F049D9" w:rsidRPr="001E6E9D" w14:paraId="3894DE84" w14:textId="77777777" w:rsidTr="003E09A8">
        <w:trPr>
          <w:jc w:val="center"/>
        </w:trPr>
        <w:tc>
          <w:tcPr>
            <w:tcW w:w="1865" w:type="pct"/>
            <w:shd w:val="clear" w:color="auto" w:fill="E7E6E6" w:themeFill="background2"/>
          </w:tcPr>
          <w:p w14:paraId="407BD181" w14:textId="1F47EFE0"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2C1B1B">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69212BA9" w14:textId="52EF4EF3"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7AD48A3E" w14:textId="77777777" w:rsidTr="003E09A8">
        <w:trPr>
          <w:trHeight w:val="376"/>
          <w:jc w:val="center"/>
        </w:trPr>
        <w:tc>
          <w:tcPr>
            <w:tcW w:w="1865" w:type="pct"/>
            <w:shd w:val="clear" w:color="auto" w:fill="E7E6E6" w:themeFill="background2"/>
          </w:tcPr>
          <w:p w14:paraId="42294BEA" w14:textId="77777777" w:rsidR="00F049D9" w:rsidRPr="001E6E9D" w:rsidRDefault="00F049D9" w:rsidP="00806803">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4552214E"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5341BFAA" w14:textId="77777777" w:rsidR="00F049D9" w:rsidRPr="001E6E9D" w:rsidRDefault="00F049D9" w:rsidP="00A94FB3">
      <w:pPr>
        <w:spacing w:before="100" w:after="100"/>
        <w:rPr>
          <w:rFonts w:asciiTheme="minorHAnsi" w:hAnsiTheme="minorHAnsi" w:cstheme="minorHAnsi"/>
          <w:b/>
          <w:szCs w:val="20"/>
        </w:rPr>
      </w:pPr>
      <w:r w:rsidRPr="001E6E9D">
        <w:rPr>
          <w:rFonts w:asciiTheme="minorHAnsi" w:hAnsiTheme="minorHAnsi" w:cstheme="minorHAnsi"/>
          <w:b/>
          <w:szCs w:val="20"/>
        </w:rPr>
        <w:t>SPE 16</w:t>
      </w: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2BBD6958" w14:textId="77777777" w:rsidTr="003E09A8">
        <w:trPr>
          <w:tblHeader/>
          <w:jc w:val="center"/>
        </w:trPr>
        <w:tc>
          <w:tcPr>
            <w:tcW w:w="5000" w:type="pct"/>
            <w:gridSpan w:val="2"/>
            <w:shd w:val="clear" w:color="auto" w:fill="E7E6E6" w:themeFill="background2"/>
          </w:tcPr>
          <w:p w14:paraId="10A52D09" w14:textId="120D4BD6" w:rsidR="00F049D9" w:rsidRPr="001E6E9D" w:rsidRDefault="00305A23" w:rsidP="00A94FB3">
            <w:pPr>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30.</w:t>
            </w:r>
            <w:r w:rsidR="0015374F"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Morro Branco 4</w:t>
            </w:r>
          </w:p>
        </w:tc>
      </w:tr>
      <w:tr w:rsidR="00F049D9" w:rsidRPr="001E6E9D" w14:paraId="17197A11" w14:textId="77777777" w:rsidTr="003E09A8">
        <w:trPr>
          <w:jc w:val="center"/>
        </w:trPr>
        <w:tc>
          <w:tcPr>
            <w:tcW w:w="1865" w:type="pct"/>
            <w:shd w:val="clear" w:color="auto" w:fill="E7E6E6" w:themeFill="background2"/>
          </w:tcPr>
          <w:p w14:paraId="1C7F1BDA"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535C4D97" w14:textId="0C26C739"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ILHA DO DRAGAO LOCACAO E SOLUCOES EM ENERGIA SOLAR LTDA</w:t>
            </w:r>
          </w:p>
        </w:tc>
      </w:tr>
      <w:tr w:rsidR="00F049D9" w:rsidRPr="001E6E9D" w14:paraId="781C2F4F" w14:textId="77777777" w:rsidTr="003E09A8">
        <w:trPr>
          <w:jc w:val="center"/>
        </w:trPr>
        <w:tc>
          <w:tcPr>
            <w:tcW w:w="1865" w:type="pct"/>
            <w:shd w:val="clear" w:color="auto" w:fill="E7E6E6" w:themeFill="background2"/>
          </w:tcPr>
          <w:p w14:paraId="476C9A58"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2C69F657"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Goiás, voltada para o mercado de minigeração distribuída, possuindo capacidade instalada de 1273,68 MWp.</w:t>
            </w:r>
          </w:p>
        </w:tc>
      </w:tr>
      <w:tr w:rsidR="00F049D9" w:rsidRPr="001E6E9D" w14:paraId="6CADC1D4" w14:textId="77777777" w:rsidTr="003E09A8">
        <w:trPr>
          <w:jc w:val="center"/>
        </w:trPr>
        <w:tc>
          <w:tcPr>
            <w:tcW w:w="1865" w:type="pct"/>
            <w:shd w:val="clear" w:color="auto" w:fill="E7E6E6" w:themeFill="background2"/>
          </w:tcPr>
          <w:p w14:paraId="6C4FE361"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4FD2FFD7"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5DB076F1" w14:textId="77777777" w:rsidTr="003E09A8">
        <w:trPr>
          <w:jc w:val="center"/>
        </w:trPr>
        <w:tc>
          <w:tcPr>
            <w:tcW w:w="1865" w:type="pct"/>
            <w:shd w:val="clear" w:color="auto" w:fill="E7E6E6" w:themeFill="background2"/>
          </w:tcPr>
          <w:p w14:paraId="60F1E357" w14:textId="58E4821F"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2C1B1B">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3AAB6E3A" w14:textId="5C8B61F4"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04BB1D30" w14:textId="77777777" w:rsidTr="003E09A8">
        <w:trPr>
          <w:jc w:val="center"/>
        </w:trPr>
        <w:tc>
          <w:tcPr>
            <w:tcW w:w="1865" w:type="pct"/>
            <w:shd w:val="clear" w:color="auto" w:fill="E7E6E6" w:themeFill="background2"/>
          </w:tcPr>
          <w:p w14:paraId="55CFED84"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24D7C55C"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6E121A74" w14:textId="77777777" w:rsidTr="003E09A8">
        <w:trPr>
          <w:jc w:val="center"/>
        </w:trPr>
        <w:tc>
          <w:tcPr>
            <w:tcW w:w="1865" w:type="pct"/>
            <w:shd w:val="clear" w:color="auto" w:fill="E7E6E6" w:themeFill="background2"/>
          </w:tcPr>
          <w:p w14:paraId="195B67D9"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62ABA627"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326C4316" w14:textId="77777777" w:rsidTr="003E09A8">
        <w:trPr>
          <w:jc w:val="center"/>
        </w:trPr>
        <w:tc>
          <w:tcPr>
            <w:tcW w:w="1865" w:type="pct"/>
            <w:shd w:val="clear" w:color="auto" w:fill="E7E6E6" w:themeFill="background2"/>
          </w:tcPr>
          <w:p w14:paraId="478DD0BF" w14:textId="0A056574"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2C1B1B">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268E0BED"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62DE7655" w14:textId="77777777" w:rsidTr="003E09A8">
        <w:trPr>
          <w:jc w:val="center"/>
        </w:trPr>
        <w:tc>
          <w:tcPr>
            <w:tcW w:w="1865" w:type="pct"/>
            <w:shd w:val="clear" w:color="auto" w:fill="E7E6E6" w:themeFill="background2"/>
          </w:tcPr>
          <w:p w14:paraId="7E568179"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57B20108"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Junho de 2024</w:t>
            </w:r>
          </w:p>
        </w:tc>
      </w:tr>
      <w:tr w:rsidR="00F049D9" w:rsidRPr="001E6E9D" w14:paraId="4DA42665" w14:textId="77777777" w:rsidTr="003E09A8">
        <w:trPr>
          <w:jc w:val="center"/>
        </w:trPr>
        <w:tc>
          <w:tcPr>
            <w:tcW w:w="1865" w:type="pct"/>
            <w:shd w:val="clear" w:color="auto" w:fill="E7E6E6" w:themeFill="background2"/>
          </w:tcPr>
          <w:p w14:paraId="0B6E8056"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293E1479" w14:textId="4284583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w:t>
            </w:r>
            <w:r w:rsidRPr="001E6E9D">
              <w:rPr>
                <w:rFonts w:asciiTheme="minorHAnsi" w:hAnsiTheme="minorHAnsi" w:cstheme="minorHAnsi"/>
                <w:sz w:val="16"/>
                <w:szCs w:val="16"/>
                <w14:ligatures w14:val="standardContextual"/>
              </w:rPr>
              <w:t xml:space="preserve"> de </w:t>
            </w:r>
            <w:r w:rsidRPr="001E6E9D">
              <w:rPr>
                <w:rFonts w:asciiTheme="minorHAnsi" w:hAnsiTheme="minorHAnsi" w:cstheme="minorHAnsi"/>
                <w:bCs/>
                <w:sz w:val="16"/>
                <w:szCs w:val="16"/>
                <w14:ligatures w14:val="standardContextual"/>
              </w:rPr>
              <w:t>2025</w:t>
            </w:r>
          </w:p>
        </w:tc>
      </w:tr>
      <w:tr w:rsidR="00F049D9" w:rsidRPr="001E6E9D" w14:paraId="734FA5D8" w14:textId="77777777" w:rsidTr="003E09A8">
        <w:trPr>
          <w:jc w:val="center"/>
        </w:trPr>
        <w:tc>
          <w:tcPr>
            <w:tcW w:w="1865" w:type="pct"/>
            <w:shd w:val="clear" w:color="auto" w:fill="E7E6E6" w:themeFill="background2"/>
          </w:tcPr>
          <w:p w14:paraId="2D61D2A0"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1CDA071D"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6D348ECE" w14:textId="77777777" w:rsidTr="003E09A8">
        <w:trPr>
          <w:jc w:val="center"/>
        </w:trPr>
        <w:tc>
          <w:tcPr>
            <w:tcW w:w="1865" w:type="pct"/>
            <w:shd w:val="clear" w:color="auto" w:fill="E7E6E6" w:themeFill="background2"/>
          </w:tcPr>
          <w:p w14:paraId="519A4628" w14:textId="77777777" w:rsidR="00F049D9" w:rsidRPr="001E6E9D" w:rsidRDefault="00F049D9" w:rsidP="0015374F">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lastRenderedPageBreak/>
              <w:t>Volume estimado de recursos financeiros necessários para realização do Projeto</w:t>
            </w:r>
          </w:p>
        </w:tc>
        <w:tc>
          <w:tcPr>
            <w:tcW w:w="3135" w:type="pct"/>
            <w:vAlign w:val="center"/>
          </w:tcPr>
          <w:p w14:paraId="26823B95" w14:textId="77777777" w:rsidR="00F049D9" w:rsidRPr="001E6E9D" w:rsidRDefault="00F049D9" w:rsidP="002C1B1B">
            <w:pPr>
              <w:keepNext/>
              <w:keepLines/>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R$5.274.413,00 (cinco milhões, duzentos e setenta e quatro mil, quatrocentos e treze reais).</w:t>
            </w:r>
          </w:p>
        </w:tc>
      </w:tr>
      <w:tr w:rsidR="00F049D9" w:rsidRPr="001E6E9D" w14:paraId="23E9B5FE" w14:textId="77777777" w:rsidTr="003E09A8">
        <w:trPr>
          <w:jc w:val="center"/>
        </w:trPr>
        <w:tc>
          <w:tcPr>
            <w:tcW w:w="1865" w:type="pct"/>
            <w:shd w:val="clear" w:color="auto" w:fill="E7E6E6" w:themeFill="background2"/>
          </w:tcPr>
          <w:p w14:paraId="14576036" w14:textId="4C545743"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ED2AF8">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7712B654" w14:textId="41B4908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6AA6D6A3" w14:textId="77777777" w:rsidTr="003E09A8">
        <w:trPr>
          <w:trHeight w:val="376"/>
          <w:jc w:val="center"/>
        </w:trPr>
        <w:tc>
          <w:tcPr>
            <w:tcW w:w="1865" w:type="pct"/>
            <w:shd w:val="clear" w:color="auto" w:fill="E7E6E6" w:themeFill="background2"/>
          </w:tcPr>
          <w:p w14:paraId="57F7A651"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52B4517C"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1949D4C3" w14:textId="77777777" w:rsidR="00F049D9" w:rsidRPr="001E6E9D" w:rsidRDefault="00F049D9" w:rsidP="00A94FB3">
      <w:pPr>
        <w:spacing w:before="100" w:after="100"/>
        <w:rPr>
          <w:rFonts w:asciiTheme="minorHAnsi" w:hAnsiTheme="minorHAnsi" w:cstheme="minorHAnsi"/>
          <w:b/>
          <w:kern w:val="21"/>
          <w:sz w:val="16"/>
          <w:szCs w:val="16"/>
        </w:rPr>
      </w:pPr>
    </w:p>
    <w:tbl>
      <w:tblPr>
        <w:tblStyle w:val="Tabelacomgrade"/>
        <w:tblW w:w="5000" w:type="pct"/>
        <w:jc w:val="center"/>
        <w:tblCellMar>
          <w:top w:w="28" w:type="dxa"/>
          <w:left w:w="57" w:type="dxa"/>
          <w:bottom w:w="28" w:type="dxa"/>
          <w:right w:w="57" w:type="dxa"/>
        </w:tblCellMar>
        <w:tblLook w:val="04A0" w:firstRow="1" w:lastRow="0" w:firstColumn="1" w:lastColumn="0" w:noHBand="0" w:noVBand="1"/>
      </w:tblPr>
      <w:tblGrid>
        <w:gridCol w:w="3380"/>
        <w:gridCol w:w="5681"/>
      </w:tblGrid>
      <w:tr w:rsidR="00F049D9" w:rsidRPr="001E6E9D" w14:paraId="3AEB4431" w14:textId="77777777" w:rsidTr="003E09A8">
        <w:trPr>
          <w:tblHeader/>
          <w:jc w:val="center"/>
        </w:trPr>
        <w:tc>
          <w:tcPr>
            <w:tcW w:w="5000" w:type="pct"/>
            <w:gridSpan w:val="2"/>
            <w:shd w:val="clear" w:color="auto" w:fill="E7E6E6" w:themeFill="background2"/>
          </w:tcPr>
          <w:p w14:paraId="4073F0D7" w14:textId="11F283AF" w:rsidR="00F049D9" w:rsidRPr="001E6E9D" w:rsidRDefault="00305A23" w:rsidP="0015374F">
            <w:pPr>
              <w:widowControl w:val="0"/>
              <w:tabs>
                <w:tab w:val="left" w:pos="787"/>
                <w:tab w:val="left" w:pos="2366"/>
                <w:tab w:val="left" w:pos="3600"/>
              </w:tabs>
              <w:autoSpaceDE w:val="0"/>
              <w:autoSpaceDN w:val="0"/>
              <w:adjustRightInd w:val="0"/>
              <w:spacing w:before="100" w:after="100"/>
              <w:ind w:left="3600" w:hanging="3600"/>
              <w:jc w:val="left"/>
              <w:rPr>
                <w:rFonts w:asciiTheme="minorHAnsi" w:hAnsiTheme="minorHAnsi" w:cstheme="minorHAnsi"/>
                <w:b/>
                <w:sz w:val="16"/>
                <w:szCs w:val="16"/>
                <w14:ligatures w14:val="standardContextual"/>
              </w:rPr>
            </w:pPr>
            <w:r w:rsidRPr="001E6E9D">
              <w:rPr>
                <w:rFonts w:asciiTheme="minorHAnsi" w:hAnsiTheme="minorHAnsi" w:cstheme="minorHAnsi"/>
                <w:b/>
                <w:sz w:val="16"/>
                <w:szCs w:val="16"/>
                <w14:ligatures w14:val="standardContextual"/>
              </w:rPr>
              <w:t>31.</w:t>
            </w:r>
            <w:r w:rsidR="0015374F" w:rsidRPr="001E6E9D">
              <w:rPr>
                <w:rFonts w:asciiTheme="minorHAnsi" w:hAnsiTheme="minorHAnsi" w:cstheme="minorHAnsi"/>
                <w:b/>
                <w:sz w:val="16"/>
                <w:szCs w:val="16"/>
                <w14:ligatures w14:val="standardContextual"/>
              </w:rPr>
              <w:t xml:space="preserve"> </w:t>
            </w:r>
            <w:r w:rsidR="00F049D9" w:rsidRPr="001E6E9D">
              <w:rPr>
                <w:rFonts w:asciiTheme="minorHAnsi" w:hAnsiTheme="minorHAnsi" w:cstheme="minorHAnsi"/>
                <w:b/>
                <w:sz w:val="16"/>
                <w:szCs w:val="16"/>
                <w14:ligatures w14:val="standardContextual"/>
              </w:rPr>
              <w:t>Projeto Morro Branco 6</w:t>
            </w:r>
          </w:p>
        </w:tc>
      </w:tr>
      <w:tr w:rsidR="00F049D9" w:rsidRPr="001E6E9D" w14:paraId="5DB1FB7C" w14:textId="77777777" w:rsidTr="003E09A8">
        <w:trPr>
          <w:jc w:val="center"/>
        </w:trPr>
        <w:tc>
          <w:tcPr>
            <w:tcW w:w="1865" w:type="pct"/>
            <w:shd w:val="clear" w:color="auto" w:fill="E7E6E6" w:themeFill="background2"/>
          </w:tcPr>
          <w:p w14:paraId="6EA3EEB4"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Titular do Projeto</w:t>
            </w:r>
          </w:p>
        </w:tc>
        <w:tc>
          <w:tcPr>
            <w:tcW w:w="3135" w:type="pct"/>
            <w:vAlign w:val="center"/>
          </w:tcPr>
          <w:p w14:paraId="2209669B" w14:textId="15A509BB"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FARO ILHA DO DRAGAO LOCACAO E SOLUCOES EM ENERGIA SOLAR LTDA</w:t>
            </w:r>
          </w:p>
        </w:tc>
      </w:tr>
      <w:tr w:rsidR="00F049D9" w:rsidRPr="001E6E9D" w14:paraId="1CD5EDB8" w14:textId="77777777" w:rsidTr="003E09A8">
        <w:trPr>
          <w:jc w:val="center"/>
        </w:trPr>
        <w:tc>
          <w:tcPr>
            <w:tcW w:w="1865" w:type="pct"/>
            <w:shd w:val="clear" w:color="auto" w:fill="E7E6E6" w:themeFill="background2"/>
          </w:tcPr>
          <w:p w14:paraId="1009A036"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Objeto do Projeto</w:t>
            </w:r>
          </w:p>
        </w:tc>
        <w:tc>
          <w:tcPr>
            <w:tcW w:w="3135" w:type="pct"/>
            <w:vAlign w:val="center"/>
          </w:tcPr>
          <w:p w14:paraId="5C53FB20"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Implantação, desenvolvimento e construção de usina de minigeração solar fotovoltaica, localizada no estado de Goiás, voltada para o mercado de minigeração distribuída, possuindo capacidade instalada de 1273,68 MWp.</w:t>
            </w:r>
          </w:p>
        </w:tc>
      </w:tr>
      <w:tr w:rsidR="00F049D9" w:rsidRPr="001E6E9D" w14:paraId="7DE1EE41" w14:textId="77777777" w:rsidTr="003E09A8">
        <w:trPr>
          <w:jc w:val="center"/>
        </w:trPr>
        <w:tc>
          <w:tcPr>
            <w:tcW w:w="1865" w:type="pct"/>
            <w:shd w:val="clear" w:color="auto" w:fill="E7E6E6" w:themeFill="background2"/>
          </w:tcPr>
          <w:p w14:paraId="560D5F52"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Objetivo do Projeto</w:t>
            </w:r>
          </w:p>
        </w:tc>
        <w:tc>
          <w:tcPr>
            <w:tcW w:w="3135" w:type="pct"/>
            <w:vAlign w:val="center"/>
          </w:tcPr>
          <w:p w14:paraId="5A0E9E76"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Possibilitar que os clientes da sociedade que implementará a usina fotovoltaica possam aderir ao Sistema de Compensação de Energia Elétrica (SCEE), por meio das modalidades de “autoconsumo remoto” e “geração compartilhada”, nos termos do artigo 1º, incisos II e X, da Lei 14.300, de 6 de janeiro de 2022. No âmbito do Projeto de Investimento, a referida usina fotovoltaica tem como objetivo a geração de energia elétrica realizada junto a, ou próxima de, consumidores finais, a partir de usina conectada à rede de distribuição de energia, ou seja, com sistema de Geração Distribuída (GD). O CUSD e orçamento de conexão serão transferidos em favor de clientes da Titular, investidora e proprietária da usina fotovoltaica. Os contratos de locação de usina de geração distribuída celebrados entre o Titular e os clientes se tornarão eficazes e os aluguéis pagos pelos clientes serão utilizados para efetuar os pagamentos devidos no âmbito da emissão de debêntures incentivadas.</w:t>
            </w:r>
          </w:p>
        </w:tc>
      </w:tr>
      <w:tr w:rsidR="00F049D9" w:rsidRPr="001E6E9D" w14:paraId="75796BEA" w14:textId="77777777" w:rsidTr="003E09A8">
        <w:trPr>
          <w:jc w:val="center"/>
        </w:trPr>
        <w:tc>
          <w:tcPr>
            <w:tcW w:w="1865" w:type="pct"/>
            <w:shd w:val="clear" w:color="auto" w:fill="E7E6E6" w:themeFill="background2"/>
          </w:tcPr>
          <w:p w14:paraId="5F7E2833" w14:textId="7439D32C"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Protocolo de Enquadramento no Ministério de</w:t>
            </w:r>
            <w:r w:rsidR="00ED2AF8">
              <w:rPr>
                <w:rFonts w:asciiTheme="minorHAnsi" w:hAnsiTheme="minorHAnsi" w:cstheme="minorHAnsi"/>
                <w:b/>
                <w:sz w:val="16"/>
                <w:szCs w:val="16"/>
              </w:rPr>
              <w:t> </w:t>
            </w:r>
            <w:r w:rsidRPr="001E6E9D">
              <w:rPr>
                <w:rFonts w:asciiTheme="minorHAnsi" w:hAnsiTheme="minorHAnsi" w:cstheme="minorHAnsi"/>
                <w:b/>
                <w:sz w:val="16"/>
                <w:szCs w:val="16"/>
              </w:rPr>
              <w:t>Minas e Energia</w:t>
            </w:r>
          </w:p>
        </w:tc>
        <w:tc>
          <w:tcPr>
            <w:tcW w:w="3135" w:type="pct"/>
            <w:vAlign w:val="center"/>
          </w:tcPr>
          <w:p w14:paraId="05D91EA6" w14:textId="30E9D831"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48340.006059/2024-62</w:t>
            </w:r>
          </w:p>
        </w:tc>
      </w:tr>
      <w:tr w:rsidR="00F049D9" w:rsidRPr="001E6E9D" w14:paraId="6665C6DD" w14:textId="77777777" w:rsidTr="003E09A8">
        <w:trPr>
          <w:jc w:val="center"/>
        </w:trPr>
        <w:tc>
          <w:tcPr>
            <w:tcW w:w="1865" w:type="pct"/>
            <w:shd w:val="clear" w:color="auto" w:fill="E7E6E6" w:themeFill="background2"/>
          </w:tcPr>
          <w:p w14:paraId="4E2DF741"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Setor</w:t>
            </w:r>
          </w:p>
        </w:tc>
        <w:tc>
          <w:tcPr>
            <w:tcW w:w="3135" w:type="pct"/>
            <w:vAlign w:val="center"/>
          </w:tcPr>
          <w:p w14:paraId="54734D35"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Minigeração Distribuída</w:t>
            </w:r>
          </w:p>
        </w:tc>
      </w:tr>
      <w:tr w:rsidR="00F049D9" w:rsidRPr="001E6E9D" w14:paraId="112C6793" w14:textId="77777777" w:rsidTr="003E09A8">
        <w:trPr>
          <w:jc w:val="center"/>
        </w:trPr>
        <w:tc>
          <w:tcPr>
            <w:tcW w:w="1865" w:type="pct"/>
            <w:shd w:val="clear" w:color="auto" w:fill="E7E6E6" w:themeFill="background2"/>
          </w:tcPr>
          <w:p w14:paraId="698AF99A"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Benefícios sociais ou ambientais</w:t>
            </w:r>
          </w:p>
        </w:tc>
        <w:tc>
          <w:tcPr>
            <w:tcW w:w="3135" w:type="pct"/>
            <w:vAlign w:val="center"/>
          </w:tcPr>
          <w:p w14:paraId="139689AD"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Dentre os benefícios da GD frente aos sistemas de geração centralizada destacam-se os menores impactos locais por se tratarem de sistemas compactos voltados ao abastecimento local de energia elétrica, com menor demanda por área para a sua construção. A implantação do projeto de investimento apresentará os seguintes exemplos não exaustivos de benefícios ambientais e sociais: (i) geração de energia renovável e sustentável; (ii) contribuição para redução na emissão de gases de efeito estufa; (iii) baixo potencial de impacto ambiental; e (iv) criação de empregos diretos e indiretos nos estados do projeto de investimento.</w:t>
            </w:r>
          </w:p>
        </w:tc>
      </w:tr>
      <w:tr w:rsidR="00F049D9" w:rsidRPr="001E6E9D" w14:paraId="258E7462" w14:textId="77777777" w:rsidTr="003E09A8">
        <w:trPr>
          <w:jc w:val="center"/>
        </w:trPr>
        <w:tc>
          <w:tcPr>
            <w:tcW w:w="1865" w:type="pct"/>
            <w:shd w:val="clear" w:color="auto" w:fill="E7E6E6" w:themeFill="background2"/>
          </w:tcPr>
          <w:p w14:paraId="6F8E2EF1" w14:textId="37F8B14F"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Estimada para Início (para projeto não</w:t>
            </w:r>
            <w:r w:rsidR="00ED2AF8">
              <w:rPr>
                <w:rFonts w:asciiTheme="minorHAnsi" w:hAnsiTheme="minorHAnsi" w:cstheme="minorHAnsi"/>
                <w:b/>
                <w:sz w:val="16"/>
                <w:szCs w:val="16"/>
              </w:rPr>
              <w:t> </w:t>
            </w:r>
            <w:r w:rsidRPr="001E6E9D">
              <w:rPr>
                <w:rFonts w:asciiTheme="minorHAnsi" w:hAnsiTheme="minorHAnsi" w:cstheme="minorHAnsi"/>
                <w:b/>
                <w:sz w:val="16"/>
                <w:szCs w:val="16"/>
              </w:rPr>
              <w:t>iniciado)</w:t>
            </w:r>
          </w:p>
        </w:tc>
        <w:tc>
          <w:tcPr>
            <w:tcW w:w="3135" w:type="pct"/>
            <w:vAlign w:val="center"/>
          </w:tcPr>
          <w:p w14:paraId="3CABCAC3"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14:ligatures w14:val="standardContextual"/>
              </w:rPr>
            </w:pPr>
            <w:r w:rsidRPr="001E6E9D">
              <w:rPr>
                <w:rFonts w:asciiTheme="minorHAnsi" w:hAnsiTheme="minorHAnsi" w:cstheme="minorHAnsi"/>
                <w:sz w:val="16"/>
                <w:szCs w:val="16"/>
                <w14:ligatures w14:val="standardContextual"/>
              </w:rPr>
              <w:t>N/A</w:t>
            </w:r>
          </w:p>
        </w:tc>
      </w:tr>
      <w:tr w:rsidR="00F049D9" w:rsidRPr="001E6E9D" w14:paraId="23563231" w14:textId="77777777" w:rsidTr="003E09A8">
        <w:trPr>
          <w:jc w:val="center"/>
        </w:trPr>
        <w:tc>
          <w:tcPr>
            <w:tcW w:w="1865" w:type="pct"/>
            <w:shd w:val="clear" w:color="auto" w:fill="E7E6E6" w:themeFill="background2"/>
          </w:tcPr>
          <w:p w14:paraId="65138966"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Data de Início Efetivo (para projeto em curso)</w:t>
            </w:r>
          </w:p>
        </w:tc>
        <w:tc>
          <w:tcPr>
            <w:tcW w:w="3135" w:type="pct"/>
            <w:vAlign w:val="center"/>
          </w:tcPr>
          <w:p w14:paraId="398AF7EE" w14:textId="77777777" w:rsidR="00F049D9" w:rsidRPr="001E6E9D" w:rsidRDefault="00F049D9" w:rsidP="00A94FB3">
            <w:pPr>
              <w:widowControl w:val="0"/>
              <w:tabs>
                <w:tab w:val="left" w:pos="1418"/>
                <w:tab w:val="left" w:pos="2366"/>
              </w:tabs>
              <w:spacing w:before="100" w:after="100"/>
              <w:jc w:val="center"/>
              <w:rPr>
                <w:rFonts w:asciiTheme="minorHAnsi" w:hAnsiTheme="minorHAnsi" w:cstheme="minorHAnsi"/>
                <w:b/>
                <w:sz w:val="16"/>
                <w:szCs w:val="16"/>
              </w:rPr>
            </w:pPr>
            <w:r w:rsidRPr="001E6E9D">
              <w:rPr>
                <w:rFonts w:asciiTheme="minorHAnsi" w:hAnsiTheme="minorHAnsi" w:cstheme="minorHAnsi"/>
                <w:sz w:val="16"/>
                <w:szCs w:val="16"/>
                <w14:ligatures w14:val="standardContextual"/>
              </w:rPr>
              <w:t>Junho de 2024</w:t>
            </w:r>
          </w:p>
        </w:tc>
      </w:tr>
      <w:tr w:rsidR="00F049D9" w:rsidRPr="001E6E9D" w14:paraId="6F9CCC9E" w14:textId="77777777" w:rsidTr="003E09A8">
        <w:trPr>
          <w:jc w:val="center"/>
        </w:trPr>
        <w:tc>
          <w:tcPr>
            <w:tcW w:w="1865" w:type="pct"/>
            <w:shd w:val="clear" w:color="auto" w:fill="E7E6E6" w:themeFill="background2"/>
          </w:tcPr>
          <w:p w14:paraId="3CD03547"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Prazo estimado para encerramento do Projeto</w:t>
            </w:r>
          </w:p>
        </w:tc>
        <w:tc>
          <w:tcPr>
            <w:tcW w:w="3135" w:type="pct"/>
            <w:vAlign w:val="center"/>
          </w:tcPr>
          <w:p w14:paraId="1A98B678" w14:textId="2297C3FD" w:rsidR="00F049D9" w:rsidRPr="001E6E9D" w:rsidRDefault="00F049D9" w:rsidP="00A94FB3">
            <w:pPr>
              <w:widowControl w:val="0"/>
              <w:tabs>
                <w:tab w:val="left" w:pos="1418"/>
                <w:tab w:val="left" w:pos="2366"/>
              </w:tabs>
              <w:spacing w:before="100" w:after="100"/>
              <w:jc w:val="center"/>
              <w:rPr>
                <w:rFonts w:asciiTheme="minorHAnsi" w:hAnsiTheme="minorHAnsi" w:cstheme="minorHAnsi"/>
                <w:sz w:val="16"/>
                <w:szCs w:val="16"/>
              </w:rPr>
            </w:pPr>
            <w:r w:rsidRPr="001E6E9D">
              <w:rPr>
                <w:rFonts w:asciiTheme="minorHAnsi" w:hAnsiTheme="minorHAnsi" w:cstheme="minorHAnsi"/>
                <w:bCs/>
                <w:sz w:val="16"/>
                <w:szCs w:val="16"/>
                <w14:ligatures w14:val="standardContextual"/>
              </w:rPr>
              <w:t>Fevereiro</w:t>
            </w:r>
            <w:r w:rsidRPr="001E6E9D">
              <w:rPr>
                <w:rFonts w:asciiTheme="minorHAnsi" w:hAnsiTheme="minorHAnsi" w:cstheme="minorHAnsi"/>
                <w:sz w:val="16"/>
                <w:szCs w:val="16"/>
                <w14:ligatures w14:val="standardContextual"/>
              </w:rPr>
              <w:t xml:space="preserve"> de </w:t>
            </w:r>
            <w:r w:rsidRPr="001E6E9D">
              <w:rPr>
                <w:rFonts w:asciiTheme="minorHAnsi" w:hAnsiTheme="minorHAnsi" w:cstheme="minorHAnsi"/>
                <w:bCs/>
                <w:sz w:val="16"/>
                <w:szCs w:val="16"/>
                <w14:ligatures w14:val="standardContextual"/>
              </w:rPr>
              <w:t>2025</w:t>
            </w:r>
          </w:p>
        </w:tc>
      </w:tr>
      <w:tr w:rsidR="00F049D9" w:rsidRPr="001E6E9D" w14:paraId="4E7F6BCF" w14:textId="77777777" w:rsidTr="003E09A8">
        <w:trPr>
          <w:jc w:val="center"/>
        </w:trPr>
        <w:tc>
          <w:tcPr>
            <w:tcW w:w="1865" w:type="pct"/>
            <w:shd w:val="clear" w:color="auto" w:fill="E7E6E6" w:themeFill="background2"/>
          </w:tcPr>
          <w:p w14:paraId="6D62BDFC"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Fase atual do Projeto</w:t>
            </w:r>
          </w:p>
        </w:tc>
        <w:tc>
          <w:tcPr>
            <w:tcW w:w="3135" w:type="pct"/>
            <w:vAlign w:val="center"/>
          </w:tcPr>
          <w:p w14:paraId="001F5EAB" w14:textId="77777777"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Em desenvolvimento.</w:t>
            </w:r>
          </w:p>
        </w:tc>
      </w:tr>
      <w:tr w:rsidR="00F049D9" w:rsidRPr="001E6E9D" w14:paraId="7E136572" w14:textId="77777777" w:rsidTr="003E09A8">
        <w:trPr>
          <w:jc w:val="center"/>
        </w:trPr>
        <w:tc>
          <w:tcPr>
            <w:tcW w:w="1865" w:type="pct"/>
            <w:shd w:val="clear" w:color="auto" w:fill="E7E6E6" w:themeFill="background2"/>
          </w:tcPr>
          <w:p w14:paraId="0957CC0E" w14:textId="77777777" w:rsidR="00F049D9" w:rsidRPr="001E6E9D" w:rsidRDefault="00F049D9" w:rsidP="0015374F">
            <w:pPr>
              <w:widowControl w:val="0"/>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Volume estimado de recursos financeiros necessários para realização do Projeto</w:t>
            </w:r>
          </w:p>
        </w:tc>
        <w:tc>
          <w:tcPr>
            <w:tcW w:w="3135" w:type="pct"/>
            <w:vAlign w:val="center"/>
          </w:tcPr>
          <w:p w14:paraId="083BED83" w14:textId="77777777" w:rsidR="00F049D9" w:rsidRPr="001E6E9D" w:rsidRDefault="00F049D9" w:rsidP="00A94FB3">
            <w:pPr>
              <w:widowControl w:val="0"/>
              <w:spacing w:before="100" w:after="100"/>
              <w:rPr>
                <w:rFonts w:asciiTheme="minorHAnsi" w:hAnsiTheme="minorHAnsi" w:cstheme="minorHAnsi"/>
                <w:sz w:val="16"/>
                <w:szCs w:val="16"/>
              </w:rPr>
            </w:pPr>
            <w:r w:rsidRPr="001E6E9D">
              <w:rPr>
                <w:rFonts w:asciiTheme="minorHAnsi" w:hAnsiTheme="minorHAnsi" w:cstheme="minorHAnsi"/>
                <w:sz w:val="16"/>
                <w:szCs w:val="16"/>
              </w:rPr>
              <w:t>R$5.078.602,00 (cinco milhões, setenta e oito mil, seiscentos e dois reais).</w:t>
            </w:r>
          </w:p>
        </w:tc>
      </w:tr>
      <w:tr w:rsidR="00F049D9" w:rsidRPr="001E6E9D" w14:paraId="0349827D" w14:textId="77777777" w:rsidTr="003E09A8">
        <w:trPr>
          <w:jc w:val="center"/>
        </w:trPr>
        <w:tc>
          <w:tcPr>
            <w:tcW w:w="1865" w:type="pct"/>
            <w:shd w:val="clear" w:color="auto" w:fill="E7E6E6" w:themeFill="background2"/>
          </w:tcPr>
          <w:p w14:paraId="4927C2B8" w14:textId="35C26FFE"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Valor das Debêntures que será destinado ao</w:t>
            </w:r>
            <w:r w:rsidR="00ED2AF8">
              <w:rPr>
                <w:rFonts w:asciiTheme="minorHAnsi" w:hAnsiTheme="minorHAnsi" w:cstheme="minorHAnsi"/>
                <w:b/>
                <w:sz w:val="16"/>
                <w:szCs w:val="16"/>
              </w:rPr>
              <w:t> </w:t>
            </w:r>
            <w:r w:rsidRPr="001E6E9D">
              <w:rPr>
                <w:rFonts w:asciiTheme="minorHAnsi" w:hAnsiTheme="minorHAnsi" w:cstheme="minorHAnsi"/>
                <w:b/>
                <w:sz w:val="16"/>
                <w:szCs w:val="16"/>
              </w:rPr>
              <w:t>Projeto</w:t>
            </w:r>
          </w:p>
        </w:tc>
        <w:tc>
          <w:tcPr>
            <w:tcW w:w="3135" w:type="pct"/>
            <w:vAlign w:val="center"/>
          </w:tcPr>
          <w:p w14:paraId="1565F3E0" w14:textId="47195320" w:rsidR="00F049D9" w:rsidRPr="001E6E9D" w:rsidRDefault="00F049D9" w:rsidP="00A94FB3">
            <w:pPr>
              <w:widowControl w:val="0"/>
              <w:tabs>
                <w:tab w:val="left" w:pos="1418"/>
                <w:tab w:val="left" w:pos="2366"/>
              </w:tabs>
              <w:spacing w:before="100" w:after="100"/>
              <w:rPr>
                <w:rFonts w:asciiTheme="minorHAnsi" w:hAnsiTheme="minorHAnsi" w:cstheme="minorHAnsi"/>
                <w:sz w:val="16"/>
                <w:szCs w:val="16"/>
              </w:rPr>
            </w:pPr>
            <w:r w:rsidRPr="001E6E9D">
              <w:rPr>
                <w:rFonts w:asciiTheme="minorHAnsi" w:hAnsiTheme="minorHAnsi" w:cstheme="minorHAnsi"/>
                <w:sz w:val="16"/>
                <w:szCs w:val="16"/>
                <w14:ligatures w14:val="standardContextual"/>
              </w:rPr>
              <w:t xml:space="preserve">O volume total de recursos financeiros que se estima captar com a emissão das Debêntures será de R$ 200.000.000,00 (duzentos milhões de reais), que serão aplicados em todos os Projetos de Investimento que estão listados </w:t>
            </w:r>
            <w:r w:rsidR="00002849">
              <w:rPr>
                <w:rFonts w:asciiTheme="minorHAnsi" w:hAnsiTheme="minorHAnsi" w:cstheme="minorHAnsi"/>
                <w:sz w:val="16"/>
                <w:szCs w:val="16"/>
                <w14:ligatures w14:val="standardContextual"/>
              </w:rPr>
              <w:t>no Anexo I</w:t>
            </w:r>
            <w:r w:rsidRPr="001E6E9D">
              <w:rPr>
                <w:rFonts w:asciiTheme="minorHAnsi" w:hAnsiTheme="minorHAnsi" w:cstheme="minorHAnsi"/>
                <w:sz w:val="16"/>
                <w:szCs w:val="16"/>
                <w14:ligatures w14:val="standardContextual"/>
              </w:rPr>
              <w:t xml:space="preserve"> da Escritura de Emissão.</w:t>
            </w:r>
          </w:p>
        </w:tc>
      </w:tr>
      <w:tr w:rsidR="00F049D9" w:rsidRPr="001E6E9D" w14:paraId="3C4A3484" w14:textId="77777777" w:rsidTr="003E09A8">
        <w:trPr>
          <w:trHeight w:val="376"/>
          <w:jc w:val="center"/>
        </w:trPr>
        <w:tc>
          <w:tcPr>
            <w:tcW w:w="1865" w:type="pct"/>
            <w:shd w:val="clear" w:color="auto" w:fill="E7E6E6" w:themeFill="background2"/>
          </w:tcPr>
          <w:p w14:paraId="361FAC09" w14:textId="77777777" w:rsidR="00F049D9" w:rsidRPr="001E6E9D" w:rsidRDefault="00F049D9" w:rsidP="0015374F">
            <w:pPr>
              <w:widowControl w:val="0"/>
              <w:tabs>
                <w:tab w:val="left" w:pos="1418"/>
                <w:tab w:val="left" w:pos="2366"/>
              </w:tabs>
              <w:spacing w:before="100" w:after="100"/>
              <w:jc w:val="left"/>
              <w:rPr>
                <w:rFonts w:asciiTheme="minorHAnsi" w:hAnsiTheme="minorHAnsi" w:cstheme="minorHAnsi"/>
                <w:b/>
                <w:sz w:val="16"/>
                <w:szCs w:val="16"/>
              </w:rPr>
            </w:pPr>
            <w:r w:rsidRPr="001E6E9D">
              <w:rPr>
                <w:rFonts w:asciiTheme="minorHAnsi" w:hAnsiTheme="minorHAnsi" w:cstheme="minorHAnsi"/>
                <w:b/>
                <w:sz w:val="16"/>
                <w:szCs w:val="16"/>
              </w:rPr>
              <w:t>Percentual dos recursos financeiros necessários ao Projeto provenientes das Debêntures</w:t>
            </w:r>
          </w:p>
        </w:tc>
        <w:tc>
          <w:tcPr>
            <w:tcW w:w="3135" w:type="pct"/>
            <w:vAlign w:val="center"/>
          </w:tcPr>
          <w:p w14:paraId="781798B4" w14:textId="77777777" w:rsidR="00F049D9" w:rsidRPr="001E6E9D" w:rsidRDefault="00F049D9" w:rsidP="00A94FB3">
            <w:pPr>
              <w:widowControl w:val="0"/>
              <w:spacing w:before="100" w:after="100"/>
              <w:jc w:val="center"/>
              <w:rPr>
                <w:rFonts w:asciiTheme="minorHAnsi" w:hAnsiTheme="minorHAnsi" w:cstheme="minorHAnsi"/>
                <w:sz w:val="16"/>
                <w:szCs w:val="16"/>
              </w:rPr>
            </w:pPr>
            <w:r w:rsidRPr="001E6E9D">
              <w:rPr>
                <w:rFonts w:asciiTheme="minorHAnsi" w:hAnsiTheme="minorHAnsi" w:cstheme="minorHAnsi"/>
                <w:sz w:val="16"/>
                <w:szCs w:val="16"/>
                <w14:ligatures w14:val="standardContextual"/>
              </w:rPr>
              <w:t>3% (três por cento)</w:t>
            </w:r>
          </w:p>
        </w:tc>
      </w:tr>
    </w:tbl>
    <w:p w14:paraId="768E19C4" w14:textId="564CA739" w:rsidR="00F2087B" w:rsidRPr="001E6E9D" w:rsidRDefault="00F2087B" w:rsidP="00DC7081">
      <w:pPr>
        <w:pStyle w:val="Corpodetexto3"/>
        <w:spacing w:before="200" w:after="200"/>
        <w:rPr>
          <w:rFonts w:asciiTheme="minorHAnsi" w:hAnsiTheme="minorHAnsi" w:cstheme="minorHAnsi"/>
          <w:sz w:val="20"/>
          <w:szCs w:val="20"/>
        </w:rPr>
      </w:pPr>
      <w:r w:rsidRPr="001E6E9D">
        <w:rPr>
          <w:rFonts w:asciiTheme="minorHAnsi" w:hAnsiTheme="minorHAnsi" w:cstheme="minorHAnsi"/>
          <w:sz w:val="20"/>
          <w:szCs w:val="20"/>
        </w:rPr>
        <w:lastRenderedPageBreak/>
        <w:t>Os recursos adicionais necessários à conclusão do Projeto decorrerão exclusivamente de recursos próprios do grupo empresarial da Emissora.</w:t>
      </w:r>
    </w:p>
    <w:p w14:paraId="65405287" w14:textId="7863702C" w:rsidR="00F2087B" w:rsidRPr="001E6E9D" w:rsidRDefault="00F2087B" w:rsidP="00DC7081">
      <w:pPr>
        <w:pStyle w:val="Corpodetexto3"/>
        <w:spacing w:after="200"/>
        <w:rPr>
          <w:rFonts w:asciiTheme="minorHAnsi" w:hAnsiTheme="minorHAnsi" w:cstheme="minorHAnsi"/>
          <w:sz w:val="20"/>
          <w:szCs w:val="20"/>
        </w:rPr>
      </w:pPr>
      <w:r w:rsidRPr="001E6E9D">
        <w:rPr>
          <w:rFonts w:asciiTheme="minorHAnsi" w:hAnsiTheme="minorHAnsi" w:cstheme="minorHAnsi"/>
          <w:sz w:val="20"/>
          <w:szCs w:val="20"/>
        </w:rPr>
        <w:t xml:space="preserve">A Emissora deverá encaminhar ao Agente Fiduciário anualmente, a contar da Data de Emissão, declaração em papel timbrado e assinada por representante legal, atestando a destinação dos recursos da presente Emissão, acompanhada de listagem eletrônica dos gastos globais referentes aos Projetos até a data de sua elaboração, contendo as seguintes informações: (i)identificação do documento comprobatório de faturamento/cobrança e pagamento; (ii) identificação do fornecedor ou prestador do serviço; (iii) data do gasto; e (iv) valor do gasto, podendo o Agente Fiduciário solicitar à Emissora todos os eventuais esclarecimentos e documentos adicionais que se façam necessários. Esta obrigação subsistirá até a comprovação da destinação da totalidade dos recursos decorrentes da Emissão. </w:t>
      </w:r>
    </w:p>
    <w:p w14:paraId="0D264862" w14:textId="65213B7E" w:rsidR="00F2087B" w:rsidRPr="001E6E9D" w:rsidRDefault="00F2087B" w:rsidP="00DC7081">
      <w:pPr>
        <w:pStyle w:val="Corpodetexto3"/>
        <w:spacing w:after="200"/>
        <w:rPr>
          <w:rFonts w:asciiTheme="minorHAnsi" w:hAnsiTheme="minorHAnsi" w:cstheme="minorHAnsi"/>
          <w:sz w:val="20"/>
          <w:szCs w:val="20"/>
        </w:rPr>
      </w:pPr>
      <w:r w:rsidRPr="001E6E9D">
        <w:rPr>
          <w:rFonts w:asciiTheme="minorHAnsi" w:hAnsiTheme="minorHAnsi" w:cstheme="minorHAnsi"/>
          <w:sz w:val="20"/>
          <w:szCs w:val="20"/>
        </w:rPr>
        <w:t>Sempre que solicitado, até a efetiva comprovação da totalidade dos gastos, o Agente Fiduciário deverá enviar aos Debenturistas solicitantes a declaração, e respectiva documentação comprobatória da destinação dos recursos.</w:t>
      </w:r>
    </w:p>
    <w:p w14:paraId="548EFD0E" w14:textId="2D8C4A80" w:rsidR="00F2087B" w:rsidRPr="001E6E9D" w:rsidRDefault="00F2087B" w:rsidP="00DC7081">
      <w:pPr>
        <w:pStyle w:val="Corpodetexto3"/>
        <w:spacing w:after="200"/>
        <w:rPr>
          <w:rFonts w:asciiTheme="minorHAnsi" w:hAnsiTheme="minorHAnsi" w:cstheme="minorHAnsi"/>
          <w:sz w:val="20"/>
          <w:szCs w:val="20"/>
        </w:rPr>
      </w:pPr>
      <w:r w:rsidRPr="001E6E9D">
        <w:rPr>
          <w:rFonts w:asciiTheme="minorHAnsi" w:hAnsiTheme="minorHAnsi" w:cstheme="minorHAnsi"/>
          <w:sz w:val="20"/>
          <w:szCs w:val="20"/>
        </w:rPr>
        <w:t>Sempre que solicitado por escrito por autoridades para fins de atendimento as normas e exigências de órgãos reguladores e fiscalizadores, em até 10 (dez) Dias Úteis do recebimento da solicitação, ou em prazo menor, se assim solicitado por qualquer autoridade ou determinado por norma, a Emissora se obriga a enviar ao Agente Fiduciário os documentos que, a critério das respectivas autoridades ou órgãos reguladores, comprovem o emprego dos recursos oriundos das Debêntures nas atividades indicadas acima.</w:t>
      </w:r>
    </w:p>
    <w:p w14:paraId="7243C34C" w14:textId="77777777" w:rsidR="003468A1" w:rsidRPr="001E6E9D" w:rsidRDefault="0053704D" w:rsidP="00DC7081">
      <w:pPr>
        <w:pStyle w:val="Ttulo4"/>
        <w:rPr>
          <w:rFonts w:asciiTheme="minorHAnsi" w:hAnsiTheme="minorHAnsi"/>
          <w:i w:val="0"/>
        </w:rPr>
      </w:pPr>
      <w:bookmarkStart w:id="90" w:name="_Toc158844633"/>
      <w:bookmarkStart w:id="91" w:name="_Ref158844921"/>
      <w:bookmarkEnd w:id="89"/>
      <w:r w:rsidRPr="001E6E9D">
        <w:rPr>
          <w:rFonts w:asciiTheme="minorHAnsi" w:hAnsiTheme="minorHAnsi"/>
          <w:i w:val="0"/>
        </w:rPr>
        <w:t>3.1.1. Impacto da Oferta na situação patrimonial e nos resultados da Emissora</w:t>
      </w:r>
      <w:bookmarkEnd w:id="90"/>
      <w:bookmarkEnd w:id="91"/>
    </w:p>
    <w:p w14:paraId="0AAB270A" w14:textId="77777777" w:rsidR="003468A1" w:rsidRPr="001E6E9D" w:rsidRDefault="0053704D" w:rsidP="00DC7081">
      <w:pPr>
        <w:tabs>
          <w:tab w:val="left" w:pos="567"/>
        </w:tabs>
        <w:autoSpaceDE w:val="0"/>
        <w:autoSpaceDN w:val="0"/>
        <w:rPr>
          <w:rFonts w:asciiTheme="minorHAnsi" w:eastAsia="Times New Roman" w:hAnsiTheme="minorHAnsi" w:cstheme="minorHAnsi"/>
          <w:iCs/>
          <w:szCs w:val="20"/>
          <w:lang w:eastAsia="pt-BR"/>
        </w:rPr>
      </w:pPr>
      <w:bookmarkStart w:id="92" w:name="_Hlk183015020"/>
      <w:bookmarkStart w:id="93" w:name="_Hlk183014996"/>
      <w:bookmarkStart w:id="94" w:name="_Hlk183015007"/>
      <w:r w:rsidRPr="001E6E9D">
        <w:rPr>
          <w:rFonts w:asciiTheme="minorHAnsi" w:eastAsia="Times New Roman" w:hAnsiTheme="minorHAnsi" w:cstheme="minorHAnsi"/>
          <w:b/>
          <w:iCs/>
          <w:szCs w:val="20"/>
          <w:lang w:eastAsia="pt-BR"/>
        </w:rPr>
        <w:t>a)</w:t>
      </w:r>
      <w:r w:rsidRPr="001E6E9D">
        <w:rPr>
          <w:rFonts w:asciiTheme="minorHAnsi" w:eastAsia="Times New Roman" w:hAnsiTheme="minorHAnsi" w:cstheme="minorHAnsi"/>
          <w:b/>
          <w:iCs/>
          <w:szCs w:val="20"/>
          <w:lang w:eastAsia="pt-BR"/>
        </w:rPr>
        <w:tab/>
        <w:t>Capitalização da Emissora</w:t>
      </w:r>
      <w:r w:rsidRPr="001E6E9D">
        <w:rPr>
          <w:rFonts w:asciiTheme="minorHAnsi" w:eastAsia="Times New Roman" w:hAnsiTheme="minorHAnsi" w:cstheme="minorHAnsi"/>
          <w:bCs/>
          <w:iCs/>
          <w:szCs w:val="20"/>
          <w:lang w:eastAsia="pt-BR"/>
        </w:rPr>
        <w:t xml:space="preserve"> </w:t>
      </w:r>
    </w:p>
    <w:p w14:paraId="63055843" w14:textId="6504C372" w:rsidR="0053704D"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 tabela abaixo apresenta a capitalização total da Emissora, correspondente à soma dos valores referentes a </w:t>
      </w:r>
      <w:r w:rsidR="002A4489" w:rsidRPr="001E6E9D">
        <w:rPr>
          <w:rFonts w:asciiTheme="minorHAnsi" w:eastAsia="Times New Roman" w:hAnsiTheme="minorHAnsi" w:cstheme="minorHAnsi"/>
          <w:szCs w:val="20"/>
          <w:lang w:eastAsia="pt-BR"/>
        </w:rPr>
        <w:t>empréstimos e financiamentos</w:t>
      </w:r>
      <w:r w:rsidRPr="001E6E9D">
        <w:rPr>
          <w:rFonts w:asciiTheme="minorHAnsi" w:eastAsia="Times New Roman" w:hAnsiTheme="minorHAnsi" w:cstheme="minorHAnsi"/>
          <w:szCs w:val="20"/>
          <w:lang w:eastAsia="pt-BR"/>
        </w:rPr>
        <w:t>, passivo de arrendamento e patrimônio líquido, em 30 de setembro de 202</w:t>
      </w:r>
      <w:r w:rsidR="00606BDE" w:rsidRPr="001E6E9D">
        <w:rPr>
          <w:rFonts w:asciiTheme="minorHAnsi" w:eastAsia="Times New Roman" w:hAnsiTheme="minorHAnsi" w:cstheme="minorHAnsi"/>
          <w:szCs w:val="20"/>
          <w:lang w:eastAsia="pt-BR"/>
        </w:rPr>
        <w:t>4</w:t>
      </w:r>
      <w:r w:rsidR="002A4489" w:rsidRPr="001E6E9D">
        <w:rPr>
          <w:rFonts w:asciiTheme="minorHAnsi" w:eastAsia="Times New Roman" w:hAnsiTheme="minorHAnsi" w:cstheme="minorHAnsi"/>
          <w:szCs w:val="20"/>
          <w:lang w:eastAsia="pt-BR"/>
        </w:rPr>
        <w:t xml:space="preserve">, combinados com os valores relativos à Faro Energy Projetos Solares Holding V Ltda., que foi incorporada pela </w:t>
      </w:r>
      <w:r w:rsidR="00850BEF">
        <w:rPr>
          <w:rFonts w:asciiTheme="minorHAnsi" w:eastAsia="Times New Roman" w:hAnsiTheme="minorHAnsi" w:cstheme="minorHAnsi"/>
          <w:szCs w:val="20"/>
          <w:lang w:eastAsia="pt-BR"/>
        </w:rPr>
        <w:t>Emissora em 1º de outubro de 2024</w:t>
      </w:r>
      <w:r w:rsidR="00850BEF" w:rsidRPr="00E46B3D">
        <w:rPr>
          <w:rFonts w:asciiTheme="minorHAnsi" w:eastAsia="Times New Roman" w:hAnsiTheme="minorHAnsi" w:cstheme="minorHAnsi"/>
          <w:szCs w:val="20"/>
          <w:lang w:eastAsia="pt-BR"/>
        </w:rPr>
        <w:t xml:space="preserve">: </w:t>
      </w:r>
      <w:r w:rsidR="00850BEF" w:rsidRPr="00E46B3D">
        <w:rPr>
          <w:rFonts w:asciiTheme="minorHAnsi" w:eastAsia="Times New Roman" w:hAnsiTheme="minorHAnsi" w:cstheme="minorHAnsi"/>
          <w:b/>
          <w:bCs/>
          <w:szCs w:val="20"/>
          <w:lang w:eastAsia="pt-BR"/>
        </w:rPr>
        <w:t>(i)</w:t>
      </w:r>
      <w:r w:rsidR="00850BEF" w:rsidRPr="00E46B3D">
        <w:rPr>
          <w:rFonts w:asciiTheme="minorHAnsi" w:eastAsia="Times New Roman" w:hAnsiTheme="minorHAnsi" w:cstheme="minorHAnsi"/>
          <w:szCs w:val="20"/>
          <w:lang w:eastAsia="pt-BR"/>
        </w:rPr>
        <w:t xml:space="preserve"> na coluna </w:t>
      </w:r>
      <w:r w:rsidR="00850BEF">
        <w:rPr>
          <w:rFonts w:asciiTheme="minorHAnsi" w:eastAsia="Times New Roman" w:hAnsiTheme="minorHAnsi" w:cstheme="minorHAnsi"/>
          <w:szCs w:val="20"/>
          <w:lang w:eastAsia="pt-BR"/>
        </w:rPr>
        <w:t>“</w:t>
      </w:r>
      <w:r w:rsidR="00850BEF" w:rsidRPr="00E46B3D">
        <w:rPr>
          <w:rFonts w:asciiTheme="minorHAnsi" w:eastAsia="Times New Roman" w:hAnsiTheme="minorHAnsi" w:cstheme="minorHAnsi"/>
          <w:szCs w:val="20"/>
          <w:lang w:eastAsia="pt-BR"/>
        </w:rPr>
        <w:t>Capitalização efetiva”, com valores extraídos das ITRs 3T202</w:t>
      </w:r>
      <w:r w:rsidR="00850BEF">
        <w:rPr>
          <w:rFonts w:asciiTheme="minorHAnsi" w:eastAsia="Times New Roman" w:hAnsiTheme="minorHAnsi" w:cstheme="minorHAnsi"/>
          <w:szCs w:val="20"/>
          <w:lang w:eastAsia="pt-BR"/>
        </w:rPr>
        <w:t>4</w:t>
      </w:r>
      <w:r w:rsidR="00850BEF" w:rsidRPr="00E46B3D">
        <w:rPr>
          <w:rFonts w:asciiTheme="minorHAnsi" w:eastAsia="Times New Roman" w:hAnsiTheme="minorHAnsi" w:cstheme="minorHAnsi"/>
          <w:szCs w:val="20"/>
          <w:lang w:eastAsia="pt-BR"/>
        </w:rPr>
        <w:t xml:space="preserve">; e, </w:t>
      </w:r>
      <w:r w:rsidR="00850BEF" w:rsidRPr="00E46B3D">
        <w:rPr>
          <w:rFonts w:asciiTheme="minorHAnsi" w:eastAsia="Times New Roman" w:hAnsiTheme="minorHAnsi" w:cstheme="minorHAnsi"/>
          <w:b/>
          <w:bCs/>
          <w:szCs w:val="20"/>
          <w:lang w:eastAsia="pt-BR"/>
        </w:rPr>
        <w:t>(ii)</w:t>
      </w:r>
      <w:r w:rsidR="00850BEF" w:rsidRPr="00E46B3D">
        <w:rPr>
          <w:rFonts w:asciiTheme="minorHAnsi" w:eastAsia="Times New Roman" w:hAnsiTheme="minorHAnsi" w:cstheme="minorHAnsi"/>
          <w:szCs w:val="20"/>
          <w:lang w:eastAsia="pt-BR"/>
        </w:rPr>
        <w:t xml:space="preserve"> na coluna </w:t>
      </w:r>
      <w:r w:rsidR="00850BEF">
        <w:rPr>
          <w:rFonts w:asciiTheme="minorHAnsi" w:eastAsia="Times New Roman" w:hAnsiTheme="minorHAnsi" w:cstheme="minorHAnsi"/>
          <w:szCs w:val="20"/>
          <w:lang w:eastAsia="pt-BR"/>
        </w:rPr>
        <w:t>“</w:t>
      </w:r>
      <w:r w:rsidR="00850BEF" w:rsidRPr="00E46B3D">
        <w:rPr>
          <w:rFonts w:asciiTheme="minorHAnsi" w:eastAsia="Times New Roman" w:hAnsiTheme="minorHAnsi" w:cstheme="minorHAnsi"/>
          <w:szCs w:val="20"/>
          <w:lang w:eastAsia="pt-BR"/>
        </w:rPr>
        <w:t xml:space="preserve">Capitalização ajustada”, com valores ajustados para refletir </w:t>
      </w:r>
      <w:r w:rsidR="00850BEF">
        <w:rPr>
          <w:rFonts w:asciiTheme="minorHAnsi" w:eastAsia="Times New Roman" w:hAnsiTheme="minorHAnsi" w:cstheme="minorHAnsi"/>
          <w:szCs w:val="20"/>
          <w:lang w:eastAsia="pt-BR"/>
        </w:rPr>
        <w:t xml:space="preserve">(a) </w:t>
      </w:r>
      <w:r w:rsidR="00850BEF" w:rsidRPr="00E46B3D">
        <w:rPr>
          <w:rFonts w:asciiTheme="minorHAnsi" w:eastAsia="Times New Roman" w:hAnsiTheme="minorHAnsi" w:cstheme="minorHAnsi"/>
          <w:szCs w:val="20"/>
          <w:lang w:eastAsia="pt-BR"/>
        </w:rPr>
        <w:t>os recursos que a Emissora espera receber com a Oferta, considerando a colocação da totalidade das Debêntures</w:t>
      </w:r>
      <w:r w:rsidR="00850BEF">
        <w:rPr>
          <w:rFonts w:asciiTheme="minorHAnsi" w:eastAsia="Times New Roman" w:hAnsiTheme="minorHAnsi" w:cstheme="minorHAnsi"/>
          <w:szCs w:val="20"/>
          <w:lang w:eastAsia="pt-BR"/>
        </w:rPr>
        <w:t xml:space="preserve">, no valor de R$200.000.000,00 (duzentos milhões de reais), e (b) o pré-pagamento da totalidade da dívida decorrente </w:t>
      </w:r>
      <w:r w:rsidR="00850BEF" w:rsidRPr="008844CA">
        <w:rPr>
          <w:rFonts w:asciiTheme="minorHAnsi" w:eastAsia="Times New Roman" w:hAnsiTheme="minorHAnsi" w:cstheme="minorHAnsi"/>
          <w:szCs w:val="20"/>
          <w:lang w:eastAsia="pt-BR"/>
        </w:rPr>
        <w:t xml:space="preserve">da </w:t>
      </w:r>
      <w:r w:rsidR="00850BEF" w:rsidRPr="00925AA2">
        <w:rPr>
          <w:rFonts w:asciiTheme="minorHAnsi" w:eastAsia="Times New Roman" w:hAnsiTheme="minorHAnsi" w:cstheme="minorHAnsi"/>
          <w:szCs w:val="20"/>
          <w:lang w:eastAsia="pt-BR"/>
        </w:rPr>
        <w:t>1ª Emissão de Notas Comerciais Escriturais da Emissora</w:t>
      </w:r>
      <w:r w:rsidRPr="001E6E9D">
        <w:rPr>
          <w:rFonts w:asciiTheme="minorHAnsi" w:eastAsia="Times New Roman" w:hAnsiTheme="minorHAnsi" w:cstheme="minorHAnsi"/>
          <w:szCs w:val="20"/>
          <w:lang w:eastAsia="pt-BR"/>
        </w:rPr>
        <w:t>:</w:t>
      </w:r>
      <w:r w:rsidR="00606BDE" w:rsidRPr="001E6E9D">
        <w:rPr>
          <w:rFonts w:asciiTheme="minorHAnsi" w:eastAsia="Times New Roman" w:hAnsiTheme="minorHAnsi" w:cstheme="minorHAnsi"/>
          <w:szCs w:val="20"/>
          <w:lang w:eastAsia="pt-BR"/>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3894"/>
        <w:gridCol w:w="2628"/>
        <w:gridCol w:w="2539"/>
      </w:tblGrid>
      <w:tr w:rsidR="00116422" w:rsidRPr="001E6E9D" w14:paraId="56A18255" w14:textId="77777777" w:rsidTr="00116422">
        <w:trPr>
          <w:tblHeader/>
        </w:trPr>
        <w:tc>
          <w:tcPr>
            <w:tcW w:w="2149" w:type="pct"/>
            <w:vMerge w:val="restart"/>
            <w:shd w:val="clear" w:color="auto" w:fill="0082CB"/>
            <w:vAlign w:val="center"/>
          </w:tcPr>
          <w:p w14:paraId="5F17F3EE" w14:textId="77777777" w:rsidR="0053704D" w:rsidRPr="001E6E9D" w:rsidRDefault="0053704D" w:rsidP="00DC7081">
            <w:pPr>
              <w:tabs>
                <w:tab w:val="left" w:pos="851"/>
              </w:tabs>
              <w:autoSpaceDE w:val="0"/>
              <w:autoSpaceDN w:val="0"/>
              <w:spacing w:before="60" w:after="60"/>
              <w:rPr>
                <w:rFonts w:asciiTheme="minorHAnsi" w:eastAsia="Times New Roman" w:hAnsiTheme="minorHAnsi" w:cstheme="minorHAnsi"/>
                <w:b/>
                <w:bCs/>
                <w:color w:val="FFFFFF" w:themeColor="background1"/>
                <w:sz w:val="16"/>
                <w:szCs w:val="16"/>
                <w:lang w:eastAsia="pt-BR"/>
              </w:rPr>
            </w:pPr>
            <w:r w:rsidRPr="001E6E9D">
              <w:rPr>
                <w:rFonts w:asciiTheme="minorHAnsi" w:eastAsia="Times New Roman" w:hAnsiTheme="minorHAnsi" w:cstheme="minorHAnsi"/>
                <w:b/>
                <w:bCs/>
                <w:color w:val="FFFFFF" w:themeColor="background1"/>
                <w:sz w:val="16"/>
                <w:szCs w:val="16"/>
                <w:lang w:eastAsia="pt-BR"/>
              </w:rPr>
              <w:t>(em milhares de reais)</w:t>
            </w:r>
          </w:p>
        </w:tc>
        <w:tc>
          <w:tcPr>
            <w:tcW w:w="2851" w:type="pct"/>
            <w:gridSpan w:val="2"/>
            <w:shd w:val="clear" w:color="auto" w:fill="0082CB"/>
            <w:vAlign w:val="center"/>
          </w:tcPr>
          <w:p w14:paraId="34F5D963" w14:textId="2025D5D9" w:rsidR="0053704D" w:rsidRPr="001E6E9D" w:rsidRDefault="0053704D" w:rsidP="00DC7081">
            <w:pPr>
              <w:tabs>
                <w:tab w:val="left" w:pos="851"/>
              </w:tabs>
              <w:autoSpaceDE w:val="0"/>
              <w:autoSpaceDN w:val="0"/>
              <w:spacing w:before="60" w:after="60"/>
              <w:jc w:val="center"/>
              <w:rPr>
                <w:rFonts w:asciiTheme="minorHAnsi" w:eastAsia="Times New Roman" w:hAnsiTheme="minorHAnsi" w:cstheme="minorHAnsi"/>
                <w:color w:val="FFFFFF" w:themeColor="background1"/>
                <w:sz w:val="16"/>
                <w:szCs w:val="16"/>
                <w:lang w:eastAsia="pt-BR"/>
              </w:rPr>
            </w:pPr>
            <w:r w:rsidRPr="001E6E9D">
              <w:rPr>
                <w:rFonts w:asciiTheme="minorHAnsi" w:eastAsia="Times New Roman" w:hAnsiTheme="minorHAnsi" w:cstheme="minorHAnsi"/>
                <w:b/>
                <w:bCs/>
                <w:color w:val="FFFFFF" w:themeColor="background1"/>
                <w:sz w:val="16"/>
                <w:szCs w:val="16"/>
                <w:lang w:eastAsia="pt-BR"/>
              </w:rPr>
              <w:t>30 de setembro de 202</w:t>
            </w:r>
            <w:r w:rsidR="00606BDE" w:rsidRPr="001E6E9D">
              <w:rPr>
                <w:rFonts w:asciiTheme="minorHAnsi" w:eastAsia="Times New Roman" w:hAnsiTheme="minorHAnsi" w:cstheme="minorHAnsi"/>
                <w:b/>
                <w:bCs/>
                <w:color w:val="FFFFFF" w:themeColor="background1"/>
                <w:sz w:val="16"/>
                <w:szCs w:val="16"/>
                <w:lang w:eastAsia="pt-BR"/>
              </w:rPr>
              <w:t>4</w:t>
            </w:r>
          </w:p>
        </w:tc>
      </w:tr>
      <w:tr w:rsidR="00116422" w:rsidRPr="001E6E9D" w14:paraId="4CA4D9C6" w14:textId="77777777" w:rsidTr="00116422">
        <w:trPr>
          <w:tblHeader/>
        </w:trPr>
        <w:tc>
          <w:tcPr>
            <w:tcW w:w="2149" w:type="pct"/>
            <w:vMerge/>
            <w:shd w:val="clear" w:color="auto" w:fill="0082CB"/>
            <w:vAlign w:val="center"/>
          </w:tcPr>
          <w:p w14:paraId="0D11C8C7" w14:textId="77777777" w:rsidR="0053704D" w:rsidRPr="001E6E9D" w:rsidRDefault="0053704D" w:rsidP="00DC7081">
            <w:pPr>
              <w:tabs>
                <w:tab w:val="left" w:pos="851"/>
              </w:tabs>
              <w:autoSpaceDE w:val="0"/>
              <w:autoSpaceDN w:val="0"/>
              <w:spacing w:before="60" w:after="60"/>
              <w:rPr>
                <w:rFonts w:asciiTheme="minorHAnsi" w:eastAsia="Times New Roman" w:hAnsiTheme="minorHAnsi" w:cstheme="minorHAnsi"/>
                <w:color w:val="FFFFFF" w:themeColor="background1"/>
                <w:sz w:val="16"/>
                <w:szCs w:val="16"/>
                <w:lang w:eastAsia="pt-BR"/>
              </w:rPr>
            </w:pPr>
          </w:p>
        </w:tc>
        <w:tc>
          <w:tcPr>
            <w:tcW w:w="1450" w:type="pct"/>
            <w:shd w:val="clear" w:color="auto" w:fill="0082CB"/>
            <w:vAlign w:val="center"/>
          </w:tcPr>
          <w:p w14:paraId="7E504238" w14:textId="77777777" w:rsidR="0053704D" w:rsidRPr="001E6E9D" w:rsidRDefault="0053704D" w:rsidP="00DC7081">
            <w:pPr>
              <w:tabs>
                <w:tab w:val="left" w:pos="851"/>
              </w:tabs>
              <w:autoSpaceDE w:val="0"/>
              <w:autoSpaceDN w:val="0"/>
              <w:spacing w:before="60" w:after="60"/>
              <w:jc w:val="center"/>
              <w:rPr>
                <w:rFonts w:asciiTheme="minorHAnsi" w:eastAsia="Times New Roman" w:hAnsiTheme="minorHAnsi" w:cstheme="minorHAnsi"/>
                <w:b/>
                <w:bCs/>
                <w:color w:val="FFFFFF" w:themeColor="background1"/>
                <w:sz w:val="16"/>
                <w:szCs w:val="16"/>
                <w:lang w:eastAsia="pt-BR"/>
              </w:rPr>
            </w:pPr>
            <w:r w:rsidRPr="001E6E9D">
              <w:rPr>
                <w:rFonts w:asciiTheme="minorHAnsi" w:eastAsia="Times New Roman" w:hAnsiTheme="minorHAnsi" w:cstheme="minorHAnsi"/>
                <w:b/>
                <w:bCs/>
                <w:color w:val="FFFFFF" w:themeColor="background1"/>
                <w:sz w:val="16"/>
                <w:szCs w:val="16"/>
                <w:lang w:eastAsia="pt-BR"/>
              </w:rPr>
              <w:t>Capitalização efetiva</w:t>
            </w:r>
          </w:p>
        </w:tc>
        <w:tc>
          <w:tcPr>
            <w:tcW w:w="1401" w:type="pct"/>
            <w:shd w:val="clear" w:color="auto" w:fill="0082CB"/>
            <w:vAlign w:val="center"/>
          </w:tcPr>
          <w:p w14:paraId="68096CEE" w14:textId="77777777" w:rsidR="0053704D" w:rsidRPr="001E6E9D" w:rsidRDefault="0053704D" w:rsidP="00DC7081">
            <w:pPr>
              <w:tabs>
                <w:tab w:val="left" w:pos="851"/>
              </w:tabs>
              <w:autoSpaceDE w:val="0"/>
              <w:autoSpaceDN w:val="0"/>
              <w:spacing w:before="60" w:after="60"/>
              <w:jc w:val="center"/>
              <w:rPr>
                <w:rFonts w:asciiTheme="minorHAnsi" w:eastAsia="Times New Roman" w:hAnsiTheme="minorHAnsi" w:cstheme="minorHAnsi"/>
                <w:b/>
                <w:bCs/>
                <w:color w:val="FFFFFF" w:themeColor="background1"/>
                <w:sz w:val="16"/>
                <w:szCs w:val="16"/>
                <w:lang w:eastAsia="pt-BR"/>
              </w:rPr>
            </w:pPr>
            <w:r w:rsidRPr="001E6E9D">
              <w:rPr>
                <w:rFonts w:asciiTheme="minorHAnsi" w:eastAsia="Times New Roman" w:hAnsiTheme="minorHAnsi" w:cstheme="minorHAnsi"/>
                <w:b/>
                <w:bCs/>
                <w:color w:val="FFFFFF" w:themeColor="background1"/>
                <w:sz w:val="16"/>
                <w:szCs w:val="16"/>
                <w:lang w:eastAsia="pt-BR"/>
              </w:rPr>
              <w:t>Capitalização ajustada</w:t>
            </w:r>
          </w:p>
        </w:tc>
      </w:tr>
      <w:tr w:rsidR="00606BDE" w:rsidRPr="001E6E9D" w14:paraId="31F531E4" w14:textId="77777777" w:rsidTr="00116422">
        <w:tc>
          <w:tcPr>
            <w:tcW w:w="2149" w:type="pct"/>
            <w:shd w:val="clear" w:color="auto" w:fill="F2F4FC"/>
            <w:vAlign w:val="center"/>
          </w:tcPr>
          <w:p w14:paraId="6B436FAC" w14:textId="77777777" w:rsidR="00606BDE" w:rsidRPr="001E6E9D" w:rsidRDefault="00606BDE" w:rsidP="00DC7081">
            <w:pPr>
              <w:tabs>
                <w:tab w:val="left" w:pos="851"/>
              </w:tabs>
              <w:autoSpaceDE w:val="0"/>
              <w:autoSpaceDN w:val="0"/>
              <w:spacing w:before="60" w:after="60"/>
              <w:rPr>
                <w:rFonts w:asciiTheme="minorHAnsi" w:eastAsia="Times New Roman" w:hAnsiTheme="minorHAnsi" w:cstheme="minorHAnsi"/>
                <w:b/>
                <w:bCs/>
                <w:sz w:val="16"/>
                <w:szCs w:val="16"/>
                <w:lang w:eastAsia="pt-BR"/>
              </w:rPr>
            </w:pPr>
            <w:r w:rsidRPr="001E6E9D">
              <w:rPr>
                <w:rFonts w:asciiTheme="minorHAnsi" w:eastAsia="Times New Roman" w:hAnsiTheme="minorHAnsi" w:cstheme="minorHAnsi"/>
                <w:b/>
                <w:bCs/>
                <w:sz w:val="16"/>
                <w:szCs w:val="16"/>
                <w:lang w:eastAsia="pt-BR"/>
              </w:rPr>
              <w:t>Passivo circulante</w:t>
            </w:r>
          </w:p>
        </w:tc>
        <w:tc>
          <w:tcPr>
            <w:tcW w:w="1450" w:type="pct"/>
            <w:shd w:val="clear" w:color="auto" w:fill="F2F4FC"/>
            <w:vAlign w:val="center"/>
          </w:tcPr>
          <w:p w14:paraId="15200529" w14:textId="24D09806" w:rsidR="00606BDE" w:rsidRPr="001E6E9D" w:rsidRDefault="00E40A5A" w:rsidP="00DC7081">
            <w:pPr>
              <w:tabs>
                <w:tab w:val="left" w:pos="851"/>
              </w:tabs>
              <w:autoSpaceDE w:val="0"/>
              <w:autoSpaceDN w:val="0"/>
              <w:spacing w:before="60" w:after="60"/>
              <w:rPr>
                <w:rFonts w:asciiTheme="minorHAnsi" w:eastAsia="Times New Roman" w:hAnsiTheme="minorHAnsi" w:cstheme="minorHAnsi"/>
                <w:b/>
                <w:bCs/>
                <w:sz w:val="16"/>
                <w:szCs w:val="16"/>
                <w:lang w:eastAsia="pt-BR"/>
              </w:rPr>
            </w:pPr>
            <w:r w:rsidRPr="001E6E9D">
              <w:rPr>
                <w:rFonts w:asciiTheme="minorHAnsi" w:eastAsia="Times New Roman" w:hAnsiTheme="minorHAnsi" w:cstheme="minorHAnsi"/>
                <w:sz w:val="16"/>
                <w:szCs w:val="16"/>
                <w:lang w:eastAsia="pt-BR"/>
              </w:rPr>
              <w:t>339</w:t>
            </w:r>
          </w:p>
        </w:tc>
        <w:tc>
          <w:tcPr>
            <w:tcW w:w="1401" w:type="pct"/>
            <w:shd w:val="clear" w:color="auto" w:fill="F2F4FC"/>
            <w:vAlign w:val="center"/>
          </w:tcPr>
          <w:p w14:paraId="0872AA20" w14:textId="22BF9E31" w:rsidR="00606BDE" w:rsidRPr="001E6E9D" w:rsidRDefault="008844CA" w:rsidP="00DC7081">
            <w:pPr>
              <w:tabs>
                <w:tab w:val="left" w:pos="851"/>
              </w:tabs>
              <w:autoSpaceDE w:val="0"/>
              <w:autoSpaceDN w:val="0"/>
              <w:spacing w:before="60" w:after="60"/>
              <w:rPr>
                <w:rFonts w:asciiTheme="minorHAnsi" w:eastAsia="Times New Roman" w:hAnsiTheme="minorHAnsi" w:cstheme="minorHAnsi"/>
                <w:b/>
                <w:bCs/>
                <w:sz w:val="16"/>
                <w:szCs w:val="16"/>
                <w:lang w:eastAsia="pt-BR"/>
              </w:rPr>
            </w:pPr>
            <w:r w:rsidRPr="001E6E9D">
              <w:rPr>
                <w:rFonts w:asciiTheme="minorHAnsi" w:eastAsia="Times New Roman" w:hAnsiTheme="minorHAnsi" w:cstheme="minorHAnsi"/>
                <w:sz w:val="16"/>
                <w:szCs w:val="16"/>
                <w:lang w:eastAsia="pt-BR"/>
              </w:rPr>
              <w:t>339</w:t>
            </w:r>
          </w:p>
        </w:tc>
      </w:tr>
      <w:tr w:rsidR="002A4489" w:rsidRPr="001E6E9D" w14:paraId="4E0866CE" w14:textId="77777777" w:rsidTr="002A4489">
        <w:tc>
          <w:tcPr>
            <w:tcW w:w="2149" w:type="pct"/>
            <w:vAlign w:val="center"/>
          </w:tcPr>
          <w:p w14:paraId="7D5046F9" w14:textId="24778F99" w:rsidR="002A4489" w:rsidRPr="001E6E9D" w:rsidRDefault="002A4489"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Empréstimos e Financiamentos</w:t>
            </w:r>
          </w:p>
        </w:tc>
        <w:tc>
          <w:tcPr>
            <w:tcW w:w="1450" w:type="pct"/>
            <w:vAlign w:val="center"/>
          </w:tcPr>
          <w:p w14:paraId="0BBFB213" w14:textId="38FAB7E8" w:rsidR="002A4489" w:rsidRPr="001E6E9D" w:rsidRDefault="002A4489"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w:t>
            </w:r>
          </w:p>
        </w:tc>
        <w:tc>
          <w:tcPr>
            <w:tcW w:w="1401" w:type="pct"/>
            <w:vAlign w:val="center"/>
          </w:tcPr>
          <w:p w14:paraId="541F40DE" w14:textId="0DF0F189" w:rsidR="002A4489" w:rsidRPr="001E6E9D" w:rsidRDefault="009B1120"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w:t>
            </w:r>
          </w:p>
        </w:tc>
      </w:tr>
      <w:tr w:rsidR="00D903B2" w:rsidRPr="001E6E9D" w14:paraId="2CDCD6B5" w14:textId="77777777" w:rsidTr="002A4489">
        <w:tc>
          <w:tcPr>
            <w:tcW w:w="2149" w:type="pct"/>
            <w:vAlign w:val="center"/>
          </w:tcPr>
          <w:p w14:paraId="29CD4412" w14:textId="39B3405A" w:rsidR="00D903B2" w:rsidRPr="001E6E9D" w:rsidRDefault="00D903B2"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Passivo de arrendamento</w:t>
            </w:r>
          </w:p>
        </w:tc>
        <w:tc>
          <w:tcPr>
            <w:tcW w:w="1450" w:type="pct"/>
            <w:vAlign w:val="center"/>
          </w:tcPr>
          <w:p w14:paraId="42B92481" w14:textId="69E0707D" w:rsidR="00D903B2" w:rsidRPr="001E6E9D" w:rsidRDefault="002A4489"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339</w:t>
            </w:r>
          </w:p>
        </w:tc>
        <w:tc>
          <w:tcPr>
            <w:tcW w:w="1401" w:type="pct"/>
            <w:vAlign w:val="center"/>
          </w:tcPr>
          <w:p w14:paraId="53BA4B05" w14:textId="09E7413F" w:rsidR="00D903B2" w:rsidRPr="001E6E9D" w:rsidRDefault="009B1120"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339</w:t>
            </w:r>
          </w:p>
        </w:tc>
      </w:tr>
      <w:tr w:rsidR="00606BDE" w:rsidRPr="001E6E9D" w14:paraId="1876E843" w14:textId="77777777" w:rsidTr="00116422">
        <w:tc>
          <w:tcPr>
            <w:tcW w:w="2149" w:type="pct"/>
            <w:shd w:val="clear" w:color="auto" w:fill="F2F4FC"/>
            <w:vAlign w:val="center"/>
          </w:tcPr>
          <w:p w14:paraId="2F25BA11" w14:textId="77777777" w:rsidR="00606BDE" w:rsidRPr="001E6E9D" w:rsidRDefault="00606BDE" w:rsidP="00DC7081">
            <w:pPr>
              <w:tabs>
                <w:tab w:val="left" w:pos="851"/>
              </w:tabs>
              <w:autoSpaceDE w:val="0"/>
              <w:autoSpaceDN w:val="0"/>
              <w:spacing w:before="60" w:after="60"/>
              <w:rPr>
                <w:rFonts w:asciiTheme="minorHAnsi" w:eastAsia="Times New Roman" w:hAnsiTheme="minorHAnsi" w:cstheme="minorHAnsi"/>
                <w:b/>
                <w:bCs/>
                <w:sz w:val="16"/>
                <w:szCs w:val="16"/>
                <w:lang w:eastAsia="pt-BR"/>
              </w:rPr>
            </w:pPr>
            <w:r w:rsidRPr="001E6E9D">
              <w:rPr>
                <w:rFonts w:asciiTheme="minorHAnsi" w:eastAsia="Times New Roman" w:hAnsiTheme="minorHAnsi" w:cstheme="minorHAnsi"/>
                <w:b/>
                <w:bCs/>
                <w:sz w:val="16"/>
                <w:szCs w:val="16"/>
                <w:lang w:eastAsia="pt-BR"/>
              </w:rPr>
              <w:t>Passivo não circulante</w:t>
            </w:r>
          </w:p>
        </w:tc>
        <w:tc>
          <w:tcPr>
            <w:tcW w:w="1450" w:type="pct"/>
            <w:shd w:val="clear" w:color="auto" w:fill="F2F4FC"/>
            <w:vAlign w:val="center"/>
          </w:tcPr>
          <w:p w14:paraId="555FEF9F" w14:textId="7C7C70AA" w:rsidR="00606BDE" w:rsidRPr="001E6E9D" w:rsidRDefault="00E40A5A" w:rsidP="00DC7081">
            <w:pPr>
              <w:tabs>
                <w:tab w:val="left" w:pos="851"/>
              </w:tabs>
              <w:autoSpaceDE w:val="0"/>
              <w:autoSpaceDN w:val="0"/>
              <w:spacing w:before="60" w:after="60"/>
              <w:rPr>
                <w:rFonts w:asciiTheme="minorHAnsi" w:eastAsia="Times New Roman" w:hAnsiTheme="minorHAnsi" w:cstheme="minorHAnsi"/>
                <w:b/>
                <w:bCs/>
                <w:sz w:val="16"/>
                <w:szCs w:val="16"/>
                <w:lang w:eastAsia="pt-BR"/>
              </w:rPr>
            </w:pPr>
            <w:r w:rsidRPr="001E6E9D">
              <w:rPr>
                <w:rFonts w:asciiTheme="minorHAnsi" w:eastAsia="Times New Roman" w:hAnsiTheme="minorHAnsi" w:cstheme="minorHAnsi"/>
                <w:sz w:val="16"/>
                <w:szCs w:val="16"/>
                <w:lang w:eastAsia="pt-BR"/>
              </w:rPr>
              <w:t>133.029</w:t>
            </w:r>
          </w:p>
        </w:tc>
        <w:tc>
          <w:tcPr>
            <w:tcW w:w="1401" w:type="pct"/>
            <w:shd w:val="clear" w:color="auto" w:fill="F2F4FC"/>
            <w:vAlign w:val="center"/>
          </w:tcPr>
          <w:p w14:paraId="5C78919C" w14:textId="6E5F5F28" w:rsidR="00606BDE" w:rsidRPr="001E6E9D" w:rsidRDefault="00B81CCE" w:rsidP="00DC7081">
            <w:pPr>
              <w:tabs>
                <w:tab w:val="left" w:pos="851"/>
              </w:tabs>
              <w:autoSpaceDE w:val="0"/>
              <w:autoSpaceDN w:val="0"/>
              <w:spacing w:before="60" w:after="60"/>
              <w:rPr>
                <w:rFonts w:asciiTheme="minorHAnsi" w:hAnsiTheme="minorHAnsi" w:cstheme="minorHAnsi"/>
                <w:b/>
                <w:sz w:val="16"/>
              </w:rPr>
            </w:pPr>
            <w:r w:rsidRPr="001E6E9D">
              <w:rPr>
                <w:rFonts w:asciiTheme="minorHAnsi" w:eastAsia="Times New Roman" w:hAnsiTheme="minorHAnsi" w:cstheme="minorHAnsi"/>
                <w:sz w:val="16"/>
                <w:szCs w:val="16"/>
                <w:lang w:eastAsia="pt-BR"/>
              </w:rPr>
              <w:t>223.945</w:t>
            </w:r>
          </w:p>
        </w:tc>
      </w:tr>
      <w:tr w:rsidR="002A4489" w:rsidRPr="001E6E9D" w14:paraId="6F032DBB" w14:textId="77777777" w:rsidTr="002A4489">
        <w:tc>
          <w:tcPr>
            <w:tcW w:w="2149" w:type="pct"/>
            <w:vAlign w:val="center"/>
          </w:tcPr>
          <w:p w14:paraId="3F1158A7" w14:textId="06278026" w:rsidR="002A4489" w:rsidRPr="001E6E9D" w:rsidRDefault="002A4489"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Empréstimos e Financiamentos</w:t>
            </w:r>
          </w:p>
        </w:tc>
        <w:tc>
          <w:tcPr>
            <w:tcW w:w="1450" w:type="pct"/>
            <w:vAlign w:val="center"/>
          </w:tcPr>
          <w:p w14:paraId="1782C627" w14:textId="585CD20D" w:rsidR="002A4489" w:rsidRPr="001E6E9D" w:rsidRDefault="002A4489"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109.084</w:t>
            </w:r>
          </w:p>
        </w:tc>
        <w:tc>
          <w:tcPr>
            <w:tcW w:w="1401" w:type="pct"/>
            <w:vAlign w:val="center"/>
          </w:tcPr>
          <w:p w14:paraId="0EF88496" w14:textId="51DAA507" w:rsidR="002A4489" w:rsidRPr="001E6E9D" w:rsidRDefault="00B81CCE" w:rsidP="00DC7081">
            <w:pPr>
              <w:tabs>
                <w:tab w:val="left" w:pos="851"/>
              </w:tabs>
              <w:autoSpaceDE w:val="0"/>
              <w:autoSpaceDN w:val="0"/>
              <w:spacing w:before="60" w:after="60"/>
              <w:rPr>
                <w:rFonts w:asciiTheme="minorHAnsi" w:hAnsiTheme="minorHAnsi" w:cstheme="minorHAnsi"/>
                <w:sz w:val="16"/>
              </w:rPr>
            </w:pPr>
            <w:r w:rsidRPr="001E6E9D">
              <w:rPr>
                <w:rFonts w:asciiTheme="minorHAnsi" w:eastAsia="Times New Roman" w:hAnsiTheme="minorHAnsi" w:cstheme="minorHAnsi"/>
                <w:sz w:val="16"/>
                <w:szCs w:val="16"/>
                <w:lang w:eastAsia="pt-BR"/>
              </w:rPr>
              <w:t>200.000</w:t>
            </w:r>
            <w:r w:rsidR="00850BEF" w:rsidRPr="00A726DB">
              <w:rPr>
                <w:rFonts w:asciiTheme="minorHAnsi" w:eastAsia="Times New Roman" w:hAnsiTheme="minorHAnsi" w:cstheme="minorHAnsi"/>
                <w:sz w:val="16"/>
                <w:szCs w:val="16"/>
                <w:vertAlign w:val="superscript"/>
                <w:lang w:eastAsia="pt-BR"/>
              </w:rPr>
              <w:t>(</w:t>
            </w:r>
            <w:r w:rsidR="00850BEF">
              <w:rPr>
                <w:rFonts w:asciiTheme="minorHAnsi" w:eastAsia="Times New Roman" w:hAnsiTheme="minorHAnsi" w:cstheme="minorHAnsi"/>
                <w:sz w:val="16"/>
                <w:szCs w:val="16"/>
                <w:vertAlign w:val="superscript"/>
                <w:lang w:eastAsia="pt-BR"/>
              </w:rPr>
              <w:t>1</w:t>
            </w:r>
            <w:r w:rsidR="00850BEF" w:rsidRPr="00A726DB">
              <w:rPr>
                <w:rFonts w:asciiTheme="minorHAnsi" w:eastAsia="Times New Roman" w:hAnsiTheme="minorHAnsi" w:cstheme="minorHAnsi"/>
                <w:sz w:val="16"/>
                <w:szCs w:val="16"/>
                <w:vertAlign w:val="superscript"/>
                <w:lang w:eastAsia="pt-BR"/>
              </w:rPr>
              <w:t>)</w:t>
            </w:r>
          </w:p>
        </w:tc>
      </w:tr>
      <w:tr w:rsidR="00D903B2" w:rsidRPr="001E6E9D" w14:paraId="7E968E87" w14:textId="77777777" w:rsidTr="002A4489">
        <w:tc>
          <w:tcPr>
            <w:tcW w:w="2149" w:type="pct"/>
            <w:vAlign w:val="center"/>
          </w:tcPr>
          <w:p w14:paraId="4782DA16" w14:textId="2CB87CE9" w:rsidR="00D903B2" w:rsidRPr="001E6E9D" w:rsidRDefault="00D903B2"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Passivo de arrendamento</w:t>
            </w:r>
          </w:p>
        </w:tc>
        <w:tc>
          <w:tcPr>
            <w:tcW w:w="1450" w:type="pct"/>
            <w:vAlign w:val="center"/>
          </w:tcPr>
          <w:p w14:paraId="01F5695E" w14:textId="6D4B5B9E" w:rsidR="00D903B2" w:rsidRPr="001E6E9D" w:rsidRDefault="002A4489"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23.945</w:t>
            </w:r>
          </w:p>
        </w:tc>
        <w:tc>
          <w:tcPr>
            <w:tcW w:w="1401" w:type="pct"/>
            <w:vAlign w:val="center"/>
          </w:tcPr>
          <w:p w14:paraId="3ED7F9CA" w14:textId="34CFD902" w:rsidR="00D903B2" w:rsidRPr="001E6E9D" w:rsidRDefault="009B1120"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23.945</w:t>
            </w:r>
          </w:p>
        </w:tc>
      </w:tr>
      <w:tr w:rsidR="00606BDE" w:rsidRPr="001E6E9D" w14:paraId="0098A7FC" w14:textId="77777777" w:rsidTr="00116422">
        <w:tc>
          <w:tcPr>
            <w:tcW w:w="2149" w:type="pct"/>
            <w:shd w:val="clear" w:color="auto" w:fill="F2F4FC"/>
            <w:vAlign w:val="center"/>
          </w:tcPr>
          <w:p w14:paraId="41742D43" w14:textId="77777777" w:rsidR="00606BDE" w:rsidRPr="001E6E9D" w:rsidRDefault="00606BDE" w:rsidP="00DC7081">
            <w:pPr>
              <w:tabs>
                <w:tab w:val="left" w:pos="851"/>
              </w:tabs>
              <w:autoSpaceDE w:val="0"/>
              <w:autoSpaceDN w:val="0"/>
              <w:spacing w:before="60" w:after="60"/>
              <w:rPr>
                <w:rFonts w:asciiTheme="minorHAnsi" w:eastAsia="Times New Roman" w:hAnsiTheme="minorHAnsi" w:cstheme="minorHAnsi"/>
                <w:b/>
                <w:bCs/>
                <w:sz w:val="16"/>
                <w:szCs w:val="16"/>
                <w:lang w:eastAsia="pt-BR"/>
              </w:rPr>
            </w:pPr>
            <w:r w:rsidRPr="001E6E9D">
              <w:rPr>
                <w:rFonts w:asciiTheme="minorHAnsi" w:eastAsia="Times New Roman" w:hAnsiTheme="minorHAnsi" w:cstheme="minorHAnsi"/>
                <w:b/>
                <w:bCs/>
                <w:sz w:val="16"/>
                <w:szCs w:val="16"/>
                <w:lang w:eastAsia="pt-BR"/>
              </w:rPr>
              <w:t>Patrimônio líquido</w:t>
            </w:r>
          </w:p>
        </w:tc>
        <w:tc>
          <w:tcPr>
            <w:tcW w:w="1450" w:type="pct"/>
            <w:shd w:val="clear" w:color="auto" w:fill="F2F4FC"/>
            <w:vAlign w:val="center"/>
          </w:tcPr>
          <w:p w14:paraId="20F92A00" w14:textId="0E9583EF" w:rsidR="00606BDE" w:rsidRPr="001E6E9D" w:rsidRDefault="00E40A5A" w:rsidP="00DC7081">
            <w:pPr>
              <w:tabs>
                <w:tab w:val="left" w:pos="851"/>
              </w:tabs>
              <w:autoSpaceDE w:val="0"/>
              <w:autoSpaceDN w:val="0"/>
              <w:spacing w:before="60" w:after="60"/>
              <w:rPr>
                <w:rFonts w:asciiTheme="minorHAnsi" w:eastAsia="Times New Roman" w:hAnsiTheme="minorHAnsi" w:cstheme="minorHAnsi"/>
                <w:b/>
                <w:bCs/>
                <w:sz w:val="16"/>
                <w:szCs w:val="16"/>
                <w:lang w:eastAsia="pt-BR"/>
              </w:rPr>
            </w:pPr>
            <w:r w:rsidRPr="001E6E9D">
              <w:rPr>
                <w:rFonts w:asciiTheme="minorHAnsi" w:eastAsia="Times New Roman" w:hAnsiTheme="minorHAnsi" w:cstheme="minorHAnsi"/>
                <w:sz w:val="16"/>
                <w:szCs w:val="16"/>
                <w:lang w:eastAsia="pt-BR"/>
              </w:rPr>
              <w:t>7.854</w:t>
            </w:r>
          </w:p>
        </w:tc>
        <w:tc>
          <w:tcPr>
            <w:tcW w:w="1401" w:type="pct"/>
            <w:shd w:val="clear" w:color="auto" w:fill="F2F4FC"/>
            <w:vAlign w:val="center"/>
          </w:tcPr>
          <w:p w14:paraId="11CD007E" w14:textId="74C1EA4B" w:rsidR="00606BDE" w:rsidRPr="001E6E9D" w:rsidRDefault="00A726DB"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7.854</w:t>
            </w:r>
          </w:p>
        </w:tc>
      </w:tr>
      <w:tr w:rsidR="00606BDE" w:rsidRPr="001E6E9D" w14:paraId="1E748B39" w14:textId="77777777" w:rsidTr="00116422">
        <w:tc>
          <w:tcPr>
            <w:tcW w:w="2149" w:type="pct"/>
            <w:shd w:val="clear" w:color="auto" w:fill="F2F4FC"/>
            <w:vAlign w:val="center"/>
          </w:tcPr>
          <w:p w14:paraId="4C123E40" w14:textId="31292463" w:rsidR="00606BDE" w:rsidRPr="001E6E9D" w:rsidRDefault="00606BDE" w:rsidP="00DC7081">
            <w:pPr>
              <w:tabs>
                <w:tab w:val="left" w:pos="851"/>
              </w:tabs>
              <w:autoSpaceDE w:val="0"/>
              <w:autoSpaceDN w:val="0"/>
              <w:spacing w:before="60" w:after="60"/>
              <w:rPr>
                <w:rFonts w:asciiTheme="minorHAnsi" w:eastAsia="Times New Roman" w:hAnsiTheme="minorHAnsi" w:cstheme="minorHAnsi"/>
                <w:b/>
                <w:bCs/>
                <w:sz w:val="16"/>
                <w:szCs w:val="16"/>
                <w:lang w:eastAsia="pt-BR"/>
              </w:rPr>
            </w:pPr>
            <w:r w:rsidRPr="001E6E9D">
              <w:rPr>
                <w:rFonts w:asciiTheme="minorHAnsi" w:eastAsia="Times New Roman" w:hAnsiTheme="minorHAnsi" w:cstheme="minorHAnsi"/>
                <w:b/>
                <w:bCs/>
                <w:sz w:val="16"/>
                <w:szCs w:val="16"/>
                <w:lang w:eastAsia="pt-BR"/>
              </w:rPr>
              <w:t>Capitalização total</w:t>
            </w:r>
            <w:r w:rsidRPr="001E6E9D">
              <w:rPr>
                <w:rFonts w:asciiTheme="minorHAnsi" w:eastAsia="Times New Roman" w:hAnsiTheme="minorHAnsi" w:cstheme="minorHAnsi"/>
                <w:sz w:val="16"/>
                <w:szCs w:val="16"/>
                <w:vertAlign w:val="superscript"/>
                <w:lang w:eastAsia="pt-BR"/>
              </w:rPr>
              <w:t>(2)</w:t>
            </w:r>
            <w:r w:rsidR="00A726DB" w:rsidRPr="001E6E9D">
              <w:rPr>
                <w:rFonts w:asciiTheme="minorHAnsi" w:eastAsia="Times New Roman" w:hAnsiTheme="minorHAnsi" w:cstheme="minorHAnsi"/>
                <w:sz w:val="16"/>
                <w:szCs w:val="16"/>
                <w:vertAlign w:val="superscript"/>
                <w:lang w:eastAsia="pt-BR"/>
              </w:rPr>
              <w:t>(3)</w:t>
            </w:r>
          </w:p>
        </w:tc>
        <w:tc>
          <w:tcPr>
            <w:tcW w:w="1450" w:type="pct"/>
            <w:shd w:val="clear" w:color="auto" w:fill="F2F4FC"/>
            <w:vAlign w:val="center"/>
          </w:tcPr>
          <w:p w14:paraId="72EB033A" w14:textId="6F774C6E" w:rsidR="00606BDE" w:rsidRPr="001E6E9D" w:rsidRDefault="00706230"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141.222</w:t>
            </w:r>
          </w:p>
        </w:tc>
        <w:tc>
          <w:tcPr>
            <w:tcW w:w="1401" w:type="pct"/>
            <w:shd w:val="clear" w:color="auto" w:fill="F2F4FC"/>
            <w:vAlign w:val="center"/>
          </w:tcPr>
          <w:p w14:paraId="3CE7AA14" w14:textId="330A7A9A" w:rsidR="00606BDE" w:rsidRPr="001E6E9D" w:rsidRDefault="00B81CCE" w:rsidP="00DC7081">
            <w:pPr>
              <w:tabs>
                <w:tab w:val="left" w:pos="851"/>
              </w:tabs>
              <w:autoSpaceDE w:val="0"/>
              <w:autoSpaceDN w:val="0"/>
              <w:spacing w:before="60" w:after="60"/>
              <w:rPr>
                <w:rFonts w:asciiTheme="minorHAnsi" w:eastAsia="Times New Roman" w:hAnsiTheme="minorHAnsi" w:cstheme="minorHAnsi"/>
                <w:sz w:val="16"/>
                <w:szCs w:val="16"/>
                <w:lang w:eastAsia="pt-BR"/>
              </w:rPr>
            </w:pPr>
            <w:r w:rsidRPr="001E6E9D">
              <w:rPr>
                <w:rFonts w:asciiTheme="minorHAnsi" w:eastAsia="Times New Roman" w:hAnsiTheme="minorHAnsi" w:cstheme="minorHAnsi"/>
                <w:sz w:val="16"/>
                <w:szCs w:val="16"/>
                <w:lang w:eastAsia="pt-BR"/>
              </w:rPr>
              <w:t>232.138</w:t>
            </w:r>
          </w:p>
        </w:tc>
      </w:tr>
    </w:tbl>
    <w:p w14:paraId="780DC7E5" w14:textId="38B9F690" w:rsidR="0053704D" w:rsidRPr="00E51FAE" w:rsidRDefault="0053704D" w:rsidP="00E51FAE">
      <w:pPr>
        <w:spacing w:before="160" w:after="100"/>
        <w:rPr>
          <w:rFonts w:asciiTheme="minorHAnsi" w:eastAsia="MS Mincho" w:hAnsiTheme="minorHAnsi" w:cstheme="minorHAnsi"/>
          <w:sz w:val="14"/>
          <w:szCs w:val="14"/>
          <w:lang w:eastAsia="x-none"/>
        </w:rPr>
      </w:pPr>
      <w:r w:rsidRPr="00E51FAE">
        <w:rPr>
          <w:rFonts w:asciiTheme="minorHAnsi" w:eastAsia="MS Mincho" w:hAnsiTheme="minorHAnsi" w:cstheme="minorHAnsi"/>
          <w:sz w:val="14"/>
          <w:szCs w:val="14"/>
          <w:vertAlign w:val="superscript"/>
          <w:lang w:eastAsia="x-none"/>
        </w:rPr>
        <w:t xml:space="preserve">(1) </w:t>
      </w:r>
      <w:r w:rsidR="00850BEF" w:rsidRPr="00850BEF">
        <w:rPr>
          <w:rFonts w:asciiTheme="minorHAnsi" w:eastAsia="MS Mincho" w:hAnsiTheme="minorHAnsi" w:cstheme="minorHAnsi"/>
          <w:sz w:val="14"/>
          <w:szCs w:val="14"/>
          <w:lang w:eastAsia="x-none"/>
        </w:rPr>
        <w:t>Refere-se ao saldo ajustado para refletir os recursos da Oferta, com base no valor bruto do Valor Total da Oferta (de R$ 200.000.000,00 (duzentos milhões de reais) e o pré-pagamento da totalidade da dívida decorrente da 1ª Emissão de Notas Comerciais Escriturais da Emissora, com saldo de R$109.084 em 30 de setembro de 2024. Essas premissas não consideram quaisquer custos associados ao pré-pagamento da dívida, juros a serem incorridos até a data do efetivo pré-pagamento, e despesas de captação da Emissão</w:t>
      </w:r>
      <w:r w:rsidRPr="00E51FAE">
        <w:rPr>
          <w:rFonts w:asciiTheme="minorHAnsi" w:eastAsia="MS Mincho" w:hAnsiTheme="minorHAnsi" w:cstheme="minorHAnsi"/>
          <w:sz w:val="14"/>
          <w:szCs w:val="14"/>
          <w:lang w:eastAsia="x-none"/>
        </w:rPr>
        <w:t xml:space="preserve">. </w:t>
      </w:r>
    </w:p>
    <w:p w14:paraId="67AFF037" w14:textId="3EE8E8E1" w:rsidR="003468A1" w:rsidRPr="00E51FAE" w:rsidRDefault="0053704D" w:rsidP="00E51FAE">
      <w:pPr>
        <w:spacing w:after="100"/>
        <w:rPr>
          <w:rFonts w:asciiTheme="minorHAnsi" w:eastAsia="MS Mincho" w:hAnsiTheme="minorHAnsi" w:cstheme="minorHAnsi"/>
          <w:sz w:val="14"/>
          <w:szCs w:val="14"/>
          <w:lang w:eastAsia="x-none"/>
        </w:rPr>
      </w:pPr>
      <w:r w:rsidRPr="00E51FAE">
        <w:rPr>
          <w:rFonts w:asciiTheme="minorHAnsi" w:eastAsia="MS Mincho" w:hAnsiTheme="minorHAnsi" w:cstheme="minorHAnsi"/>
          <w:sz w:val="14"/>
          <w:szCs w:val="14"/>
          <w:vertAlign w:val="superscript"/>
          <w:lang w:eastAsia="x-none"/>
        </w:rPr>
        <w:t>(</w:t>
      </w:r>
      <w:r w:rsidR="00041F97" w:rsidRPr="00E51FAE">
        <w:rPr>
          <w:rFonts w:asciiTheme="minorHAnsi" w:eastAsia="MS Mincho" w:hAnsiTheme="minorHAnsi" w:cstheme="minorHAnsi"/>
          <w:sz w:val="14"/>
          <w:szCs w:val="14"/>
          <w:vertAlign w:val="superscript"/>
          <w:lang w:eastAsia="x-none"/>
        </w:rPr>
        <w:t>2</w:t>
      </w:r>
      <w:r w:rsidRPr="00E51FAE">
        <w:rPr>
          <w:rFonts w:asciiTheme="minorHAnsi" w:eastAsia="MS Mincho" w:hAnsiTheme="minorHAnsi" w:cstheme="minorHAnsi"/>
          <w:sz w:val="14"/>
          <w:szCs w:val="14"/>
          <w:vertAlign w:val="superscript"/>
          <w:lang w:eastAsia="x-none"/>
        </w:rPr>
        <w:t>)</w:t>
      </w:r>
      <w:r w:rsidRPr="00E51FAE">
        <w:rPr>
          <w:rFonts w:asciiTheme="minorHAnsi" w:eastAsia="MS Mincho" w:hAnsiTheme="minorHAnsi" w:cstheme="minorHAnsi"/>
          <w:sz w:val="14"/>
          <w:szCs w:val="14"/>
          <w:lang w:eastAsia="x-none"/>
        </w:rPr>
        <w:t xml:space="preserve"> Corresponde à soma dos valores referentes a </w:t>
      </w:r>
      <w:r w:rsidR="002A4489" w:rsidRPr="00E51FAE">
        <w:rPr>
          <w:rFonts w:asciiTheme="minorHAnsi" w:eastAsia="MS Mincho" w:hAnsiTheme="minorHAnsi" w:cstheme="minorHAnsi"/>
          <w:sz w:val="14"/>
          <w:szCs w:val="14"/>
          <w:lang w:eastAsia="x-none"/>
        </w:rPr>
        <w:t>empréstimos e financiamentos</w:t>
      </w:r>
      <w:r w:rsidRPr="00E51FAE">
        <w:rPr>
          <w:rFonts w:asciiTheme="minorHAnsi" w:eastAsia="MS Mincho" w:hAnsiTheme="minorHAnsi" w:cstheme="minorHAnsi"/>
          <w:sz w:val="14"/>
          <w:szCs w:val="14"/>
          <w:lang w:eastAsia="x-none"/>
        </w:rPr>
        <w:t>, passivo de arrendamento e patrimônio líquido.</w:t>
      </w:r>
    </w:p>
    <w:p w14:paraId="4912CC9B" w14:textId="458C2248" w:rsidR="00A726DB" w:rsidRPr="00E51FAE" w:rsidRDefault="00A726DB" w:rsidP="00E51FAE">
      <w:pPr>
        <w:spacing w:after="100"/>
        <w:rPr>
          <w:rFonts w:asciiTheme="minorHAnsi" w:eastAsia="Times New Roman" w:hAnsiTheme="minorHAnsi" w:cstheme="minorHAnsi"/>
          <w:sz w:val="14"/>
          <w:szCs w:val="14"/>
          <w:lang w:eastAsia="pt-BR"/>
        </w:rPr>
      </w:pPr>
      <w:r w:rsidRPr="00E51FAE">
        <w:rPr>
          <w:rFonts w:asciiTheme="minorHAnsi" w:eastAsia="MS Mincho" w:hAnsiTheme="minorHAnsi" w:cstheme="minorHAnsi"/>
          <w:sz w:val="14"/>
          <w:szCs w:val="14"/>
          <w:vertAlign w:val="superscript"/>
          <w:lang w:eastAsia="x-none"/>
        </w:rPr>
        <w:t>(3)</w:t>
      </w:r>
      <w:r w:rsidRPr="00E51FAE">
        <w:rPr>
          <w:rFonts w:asciiTheme="minorHAnsi" w:eastAsia="MS Mincho" w:hAnsiTheme="minorHAnsi" w:cstheme="minorHAnsi"/>
          <w:sz w:val="14"/>
          <w:szCs w:val="14"/>
          <w:lang w:eastAsia="x-none"/>
        </w:rPr>
        <w:t xml:space="preserve"> </w:t>
      </w:r>
      <w:r w:rsidRPr="00E51FAE">
        <w:rPr>
          <w:rFonts w:asciiTheme="minorHAnsi" w:eastAsia="Times New Roman" w:hAnsiTheme="minorHAnsi" w:cstheme="minorHAnsi"/>
          <w:sz w:val="14"/>
          <w:szCs w:val="14"/>
          <w:lang w:eastAsia="pt-BR"/>
        </w:rPr>
        <w:t>A Capitalização Total não possui um significado padrão e esta definição relativa à capitalização total da Emissora pode divergir daquelas adotadas por outras empresas.</w:t>
      </w:r>
      <w:bookmarkEnd w:id="92"/>
      <w:bookmarkEnd w:id="93"/>
    </w:p>
    <w:bookmarkEnd w:id="94"/>
    <w:p w14:paraId="639F5262" w14:textId="77777777" w:rsidR="003468A1" w:rsidRPr="001E6E9D" w:rsidRDefault="0053704D" w:rsidP="0015374F">
      <w:pPr>
        <w:pageBreakBefore/>
        <w:tabs>
          <w:tab w:val="left" w:pos="851"/>
        </w:tabs>
        <w:autoSpaceDE w:val="0"/>
        <w:autoSpaceDN w:val="0"/>
        <w:rPr>
          <w:rFonts w:asciiTheme="minorHAnsi" w:eastAsia="Times New Roman" w:hAnsiTheme="minorHAnsi" w:cstheme="minorHAnsi"/>
          <w:b/>
          <w:iCs/>
          <w:szCs w:val="20"/>
          <w:lang w:eastAsia="pt-BR"/>
        </w:rPr>
      </w:pPr>
      <w:r w:rsidRPr="001E6E9D">
        <w:rPr>
          <w:rFonts w:asciiTheme="minorHAnsi" w:eastAsia="Times New Roman" w:hAnsiTheme="minorHAnsi" w:cstheme="minorHAnsi"/>
          <w:b/>
          <w:iCs/>
          <w:szCs w:val="20"/>
          <w:lang w:eastAsia="pt-BR"/>
        </w:rPr>
        <w:lastRenderedPageBreak/>
        <w:t>b)</w:t>
      </w:r>
      <w:r w:rsidRPr="001E6E9D">
        <w:rPr>
          <w:rFonts w:asciiTheme="minorHAnsi" w:eastAsia="Times New Roman" w:hAnsiTheme="minorHAnsi" w:cstheme="minorHAnsi"/>
          <w:b/>
          <w:iCs/>
          <w:szCs w:val="20"/>
          <w:lang w:eastAsia="pt-BR"/>
        </w:rPr>
        <w:tab/>
        <w:t xml:space="preserve">Capacidade de pagamento </w:t>
      </w:r>
    </w:p>
    <w:p w14:paraId="722862B9" w14:textId="286944C1" w:rsidR="0053704D" w:rsidRPr="001E6E9D" w:rsidRDefault="00680A4C" w:rsidP="00DC7081">
      <w:pPr>
        <w:tabs>
          <w:tab w:val="left" w:pos="851"/>
        </w:tabs>
        <w:autoSpaceDE w:val="0"/>
        <w:autoSpaceDN w:val="0"/>
        <w:rPr>
          <w:rFonts w:asciiTheme="minorHAnsi" w:eastAsia="Times New Roman" w:hAnsiTheme="minorHAnsi" w:cstheme="minorHAnsi"/>
          <w:szCs w:val="20"/>
          <w:lang w:eastAsia="pt-BR"/>
        </w:rPr>
      </w:pPr>
      <w:r w:rsidRPr="00E46B3D">
        <w:rPr>
          <w:rFonts w:asciiTheme="minorHAnsi" w:eastAsia="Times New Roman" w:hAnsiTheme="minorHAnsi" w:cstheme="minorHAnsi"/>
          <w:szCs w:val="20"/>
          <w:lang w:eastAsia="pt-BR"/>
        </w:rPr>
        <w:t>A tabela abaixo apresenta o fluxo de caixa da Emissora no</w:t>
      </w:r>
      <w:r>
        <w:rPr>
          <w:rFonts w:asciiTheme="minorHAnsi" w:eastAsia="Times New Roman" w:hAnsiTheme="minorHAnsi" w:cstheme="minorHAnsi"/>
          <w:szCs w:val="20"/>
          <w:lang w:eastAsia="pt-BR"/>
        </w:rPr>
        <w:t>s</w:t>
      </w:r>
      <w:r w:rsidRPr="00E46B3D">
        <w:rPr>
          <w:rFonts w:asciiTheme="minorHAnsi" w:eastAsia="Times New Roman" w:hAnsiTheme="minorHAnsi" w:cstheme="minorHAnsi"/>
          <w:szCs w:val="20"/>
          <w:lang w:eastAsia="pt-BR"/>
        </w:rPr>
        <w:t xml:space="preserve"> período</w:t>
      </w:r>
      <w:r>
        <w:rPr>
          <w:rFonts w:asciiTheme="minorHAnsi" w:eastAsia="Times New Roman" w:hAnsiTheme="minorHAnsi" w:cstheme="minorHAnsi"/>
          <w:szCs w:val="20"/>
          <w:lang w:eastAsia="pt-BR"/>
        </w:rPr>
        <w:t>s</w:t>
      </w:r>
      <w:r w:rsidRPr="00E46B3D">
        <w:rPr>
          <w:rFonts w:asciiTheme="minorHAnsi" w:eastAsia="Times New Roman" w:hAnsiTheme="minorHAnsi" w:cstheme="minorHAnsi"/>
          <w:szCs w:val="20"/>
          <w:lang w:eastAsia="pt-BR"/>
        </w:rPr>
        <w:t xml:space="preserve"> de nove meses findo</w:t>
      </w:r>
      <w:r>
        <w:rPr>
          <w:rFonts w:asciiTheme="minorHAnsi" w:eastAsia="Times New Roman" w:hAnsiTheme="minorHAnsi" w:cstheme="minorHAnsi"/>
          <w:szCs w:val="20"/>
          <w:lang w:eastAsia="pt-BR"/>
        </w:rPr>
        <w:t>s</w:t>
      </w:r>
      <w:r w:rsidRPr="00E46B3D">
        <w:rPr>
          <w:rFonts w:asciiTheme="minorHAnsi" w:eastAsia="Times New Roman" w:hAnsiTheme="minorHAnsi" w:cstheme="minorHAnsi"/>
          <w:szCs w:val="20"/>
          <w:lang w:eastAsia="pt-BR"/>
        </w:rPr>
        <w:t xml:space="preserve"> em 30 de setembro de 2024 </w:t>
      </w:r>
      <w:r>
        <w:rPr>
          <w:rFonts w:asciiTheme="minorHAnsi" w:eastAsia="Times New Roman" w:hAnsiTheme="minorHAnsi" w:cstheme="minorHAnsi"/>
          <w:szCs w:val="20"/>
          <w:lang w:eastAsia="pt-BR"/>
        </w:rPr>
        <w:t xml:space="preserve">e 30 de setembro de 2023 </w:t>
      </w:r>
      <w:r w:rsidRPr="00E46B3D">
        <w:rPr>
          <w:rFonts w:asciiTheme="minorHAnsi" w:eastAsia="Times New Roman" w:hAnsiTheme="minorHAnsi" w:cstheme="minorHAnsi"/>
          <w:szCs w:val="20"/>
          <w:lang w:eastAsia="pt-BR"/>
        </w:rPr>
        <w:t>e nos exercícios sociais findos em 31 de dezembro de 202</w:t>
      </w:r>
      <w:r>
        <w:rPr>
          <w:rFonts w:asciiTheme="minorHAnsi" w:eastAsia="Times New Roman" w:hAnsiTheme="minorHAnsi" w:cstheme="minorHAnsi"/>
          <w:szCs w:val="20"/>
          <w:lang w:eastAsia="pt-BR"/>
        </w:rPr>
        <w:t>3</w:t>
      </w:r>
      <w:r w:rsidRPr="00E46B3D">
        <w:rPr>
          <w:rFonts w:asciiTheme="minorHAnsi" w:eastAsia="Times New Roman" w:hAnsiTheme="minorHAnsi" w:cstheme="minorHAnsi"/>
          <w:szCs w:val="20"/>
          <w:lang w:eastAsia="pt-BR"/>
        </w:rPr>
        <w:t xml:space="preserve"> e 31 de dezembro de 202</w:t>
      </w:r>
      <w:r>
        <w:rPr>
          <w:rFonts w:asciiTheme="minorHAnsi" w:eastAsia="Times New Roman" w:hAnsiTheme="minorHAnsi" w:cstheme="minorHAnsi"/>
          <w:szCs w:val="20"/>
          <w:lang w:eastAsia="pt-BR"/>
        </w:rPr>
        <w:t>2</w:t>
      </w:r>
      <w:r w:rsidR="0053704D" w:rsidRPr="001E6E9D">
        <w:rPr>
          <w:rFonts w:asciiTheme="minorHAnsi" w:eastAsia="Times New Roman" w:hAnsiTheme="minorHAnsi" w:cstheme="minorHAnsi"/>
          <w:szCs w:val="20"/>
          <w:lang w:eastAsia="pt-BR"/>
        </w:rPr>
        <w:t>:</w:t>
      </w:r>
      <w:r w:rsidR="00706230" w:rsidRPr="001E6E9D">
        <w:rPr>
          <w:rFonts w:asciiTheme="minorHAnsi" w:eastAsia="Times New Roman" w:hAnsiTheme="minorHAnsi" w:cstheme="minorHAnsi"/>
          <w:szCs w:val="20"/>
          <w:lang w:eastAsia="pt-BR"/>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2360"/>
        <w:gridCol w:w="2234"/>
        <w:gridCol w:w="2234"/>
        <w:gridCol w:w="2233"/>
      </w:tblGrid>
      <w:tr w:rsidR="00A31D92" w:rsidRPr="001E6E9D" w14:paraId="49DC21F0" w14:textId="77777777" w:rsidTr="00A9008E">
        <w:trPr>
          <w:tblHeader/>
          <w:jc w:val="center"/>
        </w:trPr>
        <w:tc>
          <w:tcPr>
            <w:tcW w:w="1302" w:type="pct"/>
            <w:shd w:val="clear" w:color="auto" w:fill="0082CB"/>
            <w:vAlign w:val="center"/>
          </w:tcPr>
          <w:p w14:paraId="12604D58" w14:textId="61BB39AA"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b/>
                <w:bCs/>
                <w:color w:val="FFFFFF" w:themeColor="background1"/>
                <w:sz w:val="16"/>
                <w:szCs w:val="16"/>
                <w:lang w:eastAsia="pt-BR"/>
              </w:rPr>
            </w:pPr>
            <w:r w:rsidRPr="003E2857">
              <w:rPr>
                <w:rFonts w:asciiTheme="minorHAnsi" w:eastAsia="Times New Roman" w:hAnsiTheme="minorHAnsi" w:cstheme="minorHAnsi"/>
                <w:b/>
                <w:bCs/>
                <w:color w:val="FFFFFF" w:themeColor="background1"/>
                <w:sz w:val="16"/>
                <w:szCs w:val="16"/>
                <w:lang w:eastAsia="pt-BR"/>
              </w:rPr>
              <w:t>(em milhares de reais)</w:t>
            </w:r>
          </w:p>
        </w:tc>
        <w:tc>
          <w:tcPr>
            <w:tcW w:w="1233" w:type="pct"/>
            <w:shd w:val="clear" w:color="auto" w:fill="0082CB"/>
            <w:vAlign w:val="center"/>
          </w:tcPr>
          <w:p w14:paraId="1383DF72" w14:textId="26F1EAAD"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b/>
                <w:bCs/>
                <w:color w:val="FFFFFF" w:themeColor="background1"/>
                <w:sz w:val="16"/>
                <w:szCs w:val="16"/>
                <w:lang w:eastAsia="pt-BR"/>
              </w:rPr>
            </w:pPr>
            <w:r w:rsidRPr="003E2857">
              <w:rPr>
                <w:rFonts w:asciiTheme="minorHAnsi" w:eastAsia="Times New Roman" w:hAnsiTheme="minorHAnsi" w:cstheme="minorHAnsi"/>
                <w:b/>
                <w:bCs/>
                <w:color w:val="FFFFFF" w:themeColor="background1"/>
                <w:sz w:val="16"/>
                <w:szCs w:val="16"/>
                <w:lang w:eastAsia="pt-BR"/>
              </w:rPr>
              <w:t>Período de nove meses findo em 30 de setembro de 2024</w:t>
            </w:r>
          </w:p>
        </w:tc>
        <w:tc>
          <w:tcPr>
            <w:tcW w:w="1233" w:type="pct"/>
            <w:shd w:val="clear" w:color="auto" w:fill="0082CB"/>
          </w:tcPr>
          <w:p w14:paraId="451FCDEA" w14:textId="22E3B1EA"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b/>
                <w:bCs/>
                <w:color w:val="FFFFFF" w:themeColor="background1"/>
                <w:sz w:val="16"/>
                <w:szCs w:val="16"/>
                <w:lang w:eastAsia="pt-BR"/>
              </w:rPr>
            </w:pPr>
            <w:r w:rsidRPr="003E2857">
              <w:rPr>
                <w:rFonts w:asciiTheme="minorHAnsi" w:eastAsia="Times New Roman" w:hAnsiTheme="minorHAnsi" w:cstheme="minorHAnsi"/>
                <w:b/>
                <w:bCs/>
                <w:color w:val="FFFFFF" w:themeColor="background1"/>
                <w:sz w:val="16"/>
                <w:szCs w:val="16"/>
                <w:lang w:eastAsia="pt-BR"/>
              </w:rPr>
              <w:t>Período de nove meses findo em 30 de setembro de 202</w:t>
            </w:r>
            <w:r>
              <w:rPr>
                <w:rFonts w:asciiTheme="minorHAnsi" w:eastAsia="Times New Roman" w:hAnsiTheme="minorHAnsi" w:cstheme="minorHAnsi"/>
                <w:b/>
                <w:bCs/>
                <w:color w:val="FFFFFF" w:themeColor="background1"/>
                <w:sz w:val="16"/>
                <w:szCs w:val="16"/>
                <w:lang w:eastAsia="pt-BR"/>
              </w:rPr>
              <w:t>3</w:t>
            </w:r>
          </w:p>
        </w:tc>
        <w:tc>
          <w:tcPr>
            <w:tcW w:w="1232" w:type="pct"/>
            <w:shd w:val="clear" w:color="auto" w:fill="0082CB"/>
            <w:vAlign w:val="center"/>
          </w:tcPr>
          <w:p w14:paraId="702B5801" w14:textId="23320F1F"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color w:val="FFFFFF" w:themeColor="background1"/>
                <w:sz w:val="16"/>
                <w:szCs w:val="16"/>
                <w:lang w:eastAsia="pt-BR"/>
              </w:rPr>
            </w:pPr>
            <w:r w:rsidRPr="003E2857">
              <w:rPr>
                <w:rFonts w:asciiTheme="minorHAnsi" w:eastAsia="Times New Roman" w:hAnsiTheme="minorHAnsi" w:cstheme="minorHAnsi"/>
                <w:b/>
                <w:bCs/>
                <w:color w:val="FFFFFF" w:themeColor="background1"/>
                <w:sz w:val="16"/>
                <w:szCs w:val="16"/>
                <w:lang w:eastAsia="pt-BR"/>
              </w:rPr>
              <w:t>Exercício social findo em 31 de dezembro de 2023</w:t>
            </w:r>
          </w:p>
        </w:tc>
      </w:tr>
      <w:tr w:rsidR="00850BEF" w:rsidRPr="001E6E9D" w14:paraId="361E8009" w14:textId="77777777" w:rsidTr="001F7A69">
        <w:trPr>
          <w:jc w:val="center"/>
        </w:trPr>
        <w:tc>
          <w:tcPr>
            <w:tcW w:w="1302" w:type="pct"/>
            <w:vAlign w:val="center"/>
          </w:tcPr>
          <w:p w14:paraId="1D0ECC88" w14:textId="41C060F6" w:rsidR="00850BEF" w:rsidRPr="001E6E9D" w:rsidRDefault="00850BEF" w:rsidP="00850BEF">
            <w:pPr>
              <w:tabs>
                <w:tab w:val="left" w:pos="851"/>
              </w:tabs>
              <w:autoSpaceDE w:val="0"/>
              <w:autoSpaceDN w:val="0"/>
              <w:spacing w:before="60" w:after="60"/>
              <w:jc w:val="left"/>
              <w:rPr>
                <w:rFonts w:asciiTheme="minorHAnsi" w:eastAsia="Times New Roman" w:hAnsiTheme="minorHAnsi" w:cstheme="minorHAnsi"/>
                <w:sz w:val="16"/>
                <w:szCs w:val="16"/>
                <w:lang w:eastAsia="pt-BR"/>
              </w:rPr>
            </w:pPr>
            <w:r w:rsidRPr="00116422">
              <w:rPr>
                <w:rFonts w:asciiTheme="minorHAnsi" w:eastAsia="Times New Roman" w:hAnsiTheme="minorHAnsi" w:cstheme="minorHAnsi"/>
                <w:sz w:val="16"/>
                <w:szCs w:val="16"/>
                <w:lang w:eastAsia="pt-BR"/>
              </w:rPr>
              <w:t>Caixa líquido proveniente das atividades operacionais</w:t>
            </w:r>
          </w:p>
        </w:tc>
        <w:tc>
          <w:tcPr>
            <w:tcW w:w="1233" w:type="pct"/>
            <w:vAlign w:val="center"/>
          </w:tcPr>
          <w:p w14:paraId="5BC936CD" w14:textId="266FE473"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925AA2">
              <w:rPr>
                <w:rFonts w:asciiTheme="minorHAnsi" w:hAnsiTheme="minorHAnsi" w:cstheme="minorHAnsi"/>
                <w:sz w:val="16"/>
                <w:szCs w:val="16"/>
              </w:rPr>
              <w:t>8.165</w:t>
            </w:r>
          </w:p>
        </w:tc>
        <w:tc>
          <w:tcPr>
            <w:tcW w:w="1233" w:type="pct"/>
            <w:vAlign w:val="center"/>
          </w:tcPr>
          <w:p w14:paraId="5148358E" w14:textId="505E4F94"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925AA2">
              <w:rPr>
                <w:rFonts w:asciiTheme="minorHAnsi" w:hAnsiTheme="minorHAnsi" w:cstheme="minorHAnsi"/>
                <w:sz w:val="16"/>
                <w:szCs w:val="16"/>
              </w:rPr>
              <w:t>(325)</w:t>
            </w:r>
          </w:p>
        </w:tc>
        <w:tc>
          <w:tcPr>
            <w:tcW w:w="1232" w:type="pct"/>
            <w:vAlign w:val="center"/>
          </w:tcPr>
          <w:p w14:paraId="5A3B75AE" w14:textId="527AE24A"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D73353">
              <w:rPr>
                <w:rFonts w:asciiTheme="minorHAnsi" w:hAnsiTheme="minorHAnsi" w:cstheme="minorHAnsi"/>
                <w:sz w:val="16"/>
                <w:szCs w:val="16"/>
              </w:rPr>
              <w:t xml:space="preserve">3.414 </w:t>
            </w:r>
          </w:p>
        </w:tc>
      </w:tr>
      <w:tr w:rsidR="00850BEF" w:rsidRPr="001E6E9D" w14:paraId="4A0E1C96" w14:textId="77777777" w:rsidTr="001F7A69">
        <w:trPr>
          <w:jc w:val="center"/>
        </w:trPr>
        <w:tc>
          <w:tcPr>
            <w:tcW w:w="1302" w:type="pct"/>
            <w:vAlign w:val="center"/>
          </w:tcPr>
          <w:p w14:paraId="4B229B5B" w14:textId="521A019B" w:rsidR="00850BEF" w:rsidRPr="001E6E9D" w:rsidRDefault="00850BEF" w:rsidP="00850BEF">
            <w:pPr>
              <w:tabs>
                <w:tab w:val="left" w:pos="851"/>
              </w:tabs>
              <w:autoSpaceDE w:val="0"/>
              <w:autoSpaceDN w:val="0"/>
              <w:spacing w:before="60" w:after="60"/>
              <w:jc w:val="left"/>
              <w:rPr>
                <w:rFonts w:asciiTheme="minorHAnsi" w:eastAsia="Times New Roman" w:hAnsiTheme="minorHAnsi" w:cstheme="minorHAnsi"/>
                <w:sz w:val="16"/>
                <w:szCs w:val="16"/>
                <w:lang w:eastAsia="pt-BR"/>
              </w:rPr>
            </w:pPr>
            <w:r w:rsidRPr="00116422">
              <w:rPr>
                <w:rFonts w:asciiTheme="minorHAnsi" w:eastAsia="Times New Roman" w:hAnsiTheme="minorHAnsi" w:cstheme="minorHAnsi"/>
                <w:sz w:val="16"/>
                <w:szCs w:val="16"/>
                <w:lang w:eastAsia="pt-BR"/>
              </w:rPr>
              <w:t>Caixa líquido usado nas atividades de investimentos</w:t>
            </w:r>
          </w:p>
        </w:tc>
        <w:tc>
          <w:tcPr>
            <w:tcW w:w="1233" w:type="pct"/>
            <w:vAlign w:val="center"/>
          </w:tcPr>
          <w:p w14:paraId="09AED3D8" w14:textId="395EFB36"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925AA2">
              <w:rPr>
                <w:rFonts w:asciiTheme="minorHAnsi" w:hAnsiTheme="minorHAnsi" w:cstheme="minorHAnsi"/>
                <w:sz w:val="16"/>
                <w:szCs w:val="16"/>
              </w:rPr>
              <w:t>(85.510)</w:t>
            </w:r>
          </w:p>
        </w:tc>
        <w:tc>
          <w:tcPr>
            <w:tcW w:w="1233" w:type="pct"/>
            <w:vAlign w:val="center"/>
          </w:tcPr>
          <w:p w14:paraId="1301BA85" w14:textId="7CD52082"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925AA2">
              <w:rPr>
                <w:rFonts w:asciiTheme="minorHAnsi" w:hAnsiTheme="minorHAnsi" w:cstheme="minorHAnsi"/>
                <w:sz w:val="16"/>
                <w:szCs w:val="16"/>
              </w:rPr>
              <w:t>-</w:t>
            </w:r>
          </w:p>
        </w:tc>
        <w:tc>
          <w:tcPr>
            <w:tcW w:w="1232" w:type="pct"/>
            <w:vAlign w:val="center"/>
          </w:tcPr>
          <w:p w14:paraId="445D4ADF" w14:textId="0594EBF4"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Pr>
                <w:rFonts w:asciiTheme="minorHAnsi" w:hAnsiTheme="minorHAnsi" w:cstheme="minorHAnsi"/>
                <w:sz w:val="16"/>
                <w:szCs w:val="16"/>
              </w:rPr>
              <w:t>-</w:t>
            </w:r>
          </w:p>
        </w:tc>
      </w:tr>
      <w:tr w:rsidR="00850BEF" w:rsidRPr="001E6E9D" w14:paraId="547036A4" w14:textId="77777777" w:rsidTr="001F7A69">
        <w:trPr>
          <w:jc w:val="center"/>
        </w:trPr>
        <w:tc>
          <w:tcPr>
            <w:tcW w:w="1302" w:type="pct"/>
            <w:vAlign w:val="center"/>
          </w:tcPr>
          <w:p w14:paraId="1A6B7C96" w14:textId="753B1EE7" w:rsidR="00850BEF" w:rsidRPr="001E6E9D" w:rsidRDefault="00850BEF" w:rsidP="00850BEF">
            <w:pPr>
              <w:tabs>
                <w:tab w:val="left" w:pos="851"/>
              </w:tabs>
              <w:autoSpaceDE w:val="0"/>
              <w:autoSpaceDN w:val="0"/>
              <w:spacing w:before="60" w:after="60"/>
              <w:jc w:val="left"/>
              <w:rPr>
                <w:rFonts w:asciiTheme="minorHAnsi" w:eastAsia="Times New Roman" w:hAnsiTheme="minorHAnsi" w:cstheme="minorHAnsi"/>
                <w:sz w:val="16"/>
                <w:szCs w:val="16"/>
                <w:lang w:eastAsia="pt-BR"/>
              </w:rPr>
            </w:pPr>
            <w:r w:rsidRPr="00116422">
              <w:rPr>
                <w:rFonts w:asciiTheme="minorHAnsi" w:eastAsia="Times New Roman" w:hAnsiTheme="minorHAnsi" w:cstheme="minorHAnsi"/>
                <w:sz w:val="16"/>
                <w:szCs w:val="16"/>
                <w:lang w:eastAsia="pt-BR"/>
              </w:rPr>
              <w:t>Caixa líquido proveniente das atividades de financiamentos</w:t>
            </w:r>
          </w:p>
        </w:tc>
        <w:tc>
          <w:tcPr>
            <w:tcW w:w="1233" w:type="pct"/>
            <w:vAlign w:val="center"/>
          </w:tcPr>
          <w:p w14:paraId="28975505" w14:textId="1E2ED8C6"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925AA2">
              <w:rPr>
                <w:rFonts w:asciiTheme="minorHAnsi" w:hAnsiTheme="minorHAnsi" w:cstheme="minorHAnsi"/>
                <w:sz w:val="16"/>
                <w:szCs w:val="16"/>
              </w:rPr>
              <w:t>102.270</w:t>
            </w:r>
          </w:p>
        </w:tc>
        <w:tc>
          <w:tcPr>
            <w:tcW w:w="1233" w:type="pct"/>
            <w:vAlign w:val="center"/>
          </w:tcPr>
          <w:p w14:paraId="50A56214" w14:textId="36A36262"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925AA2">
              <w:rPr>
                <w:rFonts w:asciiTheme="minorHAnsi" w:hAnsiTheme="minorHAnsi" w:cstheme="minorHAnsi"/>
                <w:sz w:val="16"/>
                <w:szCs w:val="16"/>
              </w:rPr>
              <w:t>1.347</w:t>
            </w:r>
          </w:p>
        </w:tc>
        <w:tc>
          <w:tcPr>
            <w:tcW w:w="1232" w:type="pct"/>
            <w:vAlign w:val="center"/>
          </w:tcPr>
          <w:p w14:paraId="73B07B1F" w14:textId="4F481C68"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D73353">
              <w:rPr>
                <w:rFonts w:asciiTheme="minorHAnsi" w:hAnsiTheme="minorHAnsi" w:cstheme="minorHAnsi"/>
                <w:sz w:val="16"/>
                <w:szCs w:val="16"/>
              </w:rPr>
              <w:t xml:space="preserve">(1.727)    </w:t>
            </w:r>
          </w:p>
        </w:tc>
      </w:tr>
      <w:tr w:rsidR="00850BEF" w:rsidRPr="001E6E9D" w14:paraId="1EEB3DA7" w14:textId="77777777" w:rsidTr="001F7A69">
        <w:trPr>
          <w:jc w:val="center"/>
        </w:trPr>
        <w:tc>
          <w:tcPr>
            <w:tcW w:w="1302" w:type="pct"/>
            <w:vAlign w:val="center"/>
          </w:tcPr>
          <w:p w14:paraId="6FED1E72" w14:textId="3F7A9115" w:rsidR="00850BEF" w:rsidRPr="001E6E9D" w:rsidRDefault="00850BEF" w:rsidP="00850BEF">
            <w:pPr>
              <w:tabs>
                <w:tab w:val="left" w:pos="851"/>
              </w:tabs>
              <w:autoSpaceDE w:val="0"/>
              <w:autoSpaceDN w:val="0"/>
              <w:spacing w:before="60" w:after="60"/>
              <w:jc w:val="left"/>
              <w:rPr>
                <w:rFonts w:asciiTheme="minorHAnsi" w:eastAsia="Times New Roman" w:hAnsiTheme="minorHAnsi" w:cstheme="minorHAnsi"/>
                <w:sz w:val="16"/>
                <w:szCs w:val="16"/>
                <w:lang w:eastAsia="pt-BR"/>
              </w:rPr>
            </w:pPr>
            <w:r w:rsidRPr="00116422">
              <w:rPr>
                <w:rFonts w:asciiTheme="minorHAnsi" w:eastAsia="Times New Roman" w:hAnsiTheme="minorHAnsi" w:cstheme="minorHAnsi"/>
                <w:sz w:val="16"/>
                <w:szCs w:val="16"/>
                <w:lang w:eastAsia="pt-BR"/>
              </w:rPr>
              <w:t>Aumento do caixa e equivalentes de caixa</w:t>
            </w:r>
          </w:p>
        </w:tc>
        <w:tc>
          <w:tcPr>
            <w:tcW w:w="1233" w:type="pct"/>
            <w:vAlign w:val="center"/>
          </w:tcPr>
          <w:p w14:paraId="76B5F8B1" w14:textId="54C075DE"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925AA2">
              <w:rPr>
                <w:rFonts w:asciiTheme="minorHAnsi" w:hAnsiTheme="minorHAnsi" w:cstheme="minorHAnsi"/>
                <w:sz w:val="16"/>
                <w:szCs w:val="16"/>
              </w:rPr>
              <w:t>24.925</w:t>
            </w:r>
          </w:p>
        </w:tc>
        <w:tc>
          <w:tcPr>
            <w:tcW w:w="1233" w:type="pct"/>
            <w:vAlign w:val="center"/>
          </w:tcPr>
          <w:p w14:paraId="3E12931D" w14:textId="3F19585C"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925AA2">
              <w:rPr>
                <w:rFonts w:asciiTheme="minorHAnsi" w:hAnsiTheme="minorHAnsi" w:cstheme="minorHAnsi"/>
                <w:sz w:val="16"/>
                <w:szCs w:val="16"/>
              </w:rPr>
              <w:t>1.022</w:t>
            </w:r>
          </w:p>
        </w:tc>
        <w:tc>
          <w:tcPr>
            <w:tcW w:w="1232" w:type="pct"/>
            <w:vAlign w:val="center"/>
          </w:tcPr>
          <w:p w14:paraId="69A2A044" w14:textId="1C768E5C" w:rsidR="00850BEF" w:rsidRPr="001E6E9D" w:rsidRDefault="00850BEF" w:rsidP="00850BEF">
            <w:pPr>
              <w:tabs>
                <w:tab w:val="left" w:pos="851"/>
              </w:tabs>
              <w:autoSpaceDE w:val="0"/>
              <w:autoSpaceDN w:val="0"/>
              <w:spacing w:before="60" w:after="60"/>
              <w:jc w:val="center"/>
              <w:rPr>
                <w:rFonts w:asciiTheme="minorHAnsi" w:eastAsia="Times New Roman" w:hAnsiTheme="minorHAnsi" w:cstheme="minorHAnsi"/>
                <w:sz w:val="16"/>
                <w:szCs w:val="16"/>
                <w:lang w:eastAsia="pt-BR"/>
              </w:rPr>
            </w:pPr>
            <w:r w:rsidRPr="00D73353">
              <w:rPr>
                <w:rFonts w:asciiTheme="minorHAnsi" w:hAnsiTheme="minorHAnsi" w:cstheme="minorHAnsi"/>
                <w:sz w:val="16"/>
                <w:szCs w:val="16"/>
              </w:rPr>
              <w:t xml:space="preserve">1.687    </w:t>
            </w:r>
          </w:p>
        </w:tc>
      </w:tr>
    </w:tbl>
    <w:p w14:paraId="41A8E731" w14:textId="79247A5F" w:rsidR="003468A1" w:rsidRPr="001E6E9D" w:rsidRDefault="0053704D" w:rsidP="00DC7081">
      <w:pPr>
        <w:pStyle w:val="Ttulo2"/>
        <w:spacing w:before="200"/>
      </w:pPr>
      <w:bookmarkStart w:id="95" w:name="_Ref158844922"/>
      <w:bookmarkStart w:id="96" w:name="_Toc159073471"/>
      <w:bookmarkStart w:id="97" w:name="_Toc184129212"/>
      <w:bookmarkEnd w:id="84"/>
      <w:bookmarkEnd w:id="85"/>
      <w:r w:rsidRPr="001E6E9D">
        <w:t>3.2.</w:t>
      </w:r>
      <w:r w:rsidR="00FC6851" w:rsidRPr="001E6E9D">
        <w:t xml:space="preserve"> </w:t>
      </w:r>
      <w:r w:rsidRPr="001E6E9D">
        <w:t>Se os Recursos forem, direta ou indiretamente, utilizados na aquisição de ativos, à exceção daqueles adquiridos no curso regular dos negócios, descrever sumariamente esses ativos e seus custos. Se forem adquiridos de partes relacionadas, informar de quem serão comprados e como o custo será determinado</w:t>
      </w:r>
      <w:bookmarkEnd w:id="95"/>
      <w:bookmarkEnd w:id="96"/>
      <w:bookmarkEnd w:id="97"/>
    </w:p>
    <w:p w14:paraId="07BA0D22" w14:textId="7FC509E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Não aplicável, pois os Recursos não serão utilizados na aquisição de ativos.</w:t>
      </w:r>
    </w:p>
    <w:p w14:paraId="07968C06" w14:textId="77777777" w:rsidR="003468A1" w:rsidRPr="001E6E9D" w:rsidRDefault="0053704D" w:rsidP="00DC7081">
      <w:pPr>
        <w:pStyle w:val="Ttulo2"/>
      </w:pPr>
      <w:bookmarkStart w:id="98" w:name="_Ref158844923"/>
      <w:bookmarkStart w:id="99" w:name="_Toc159073472"/>
      <w:bookmarkStart w:id="100" w:name="_Toc184129213"/>
      <w:r w:rsidRPr="001E6E9D">
        <w:t>3.3.</w:t>
      </w:r>
      <w:r w:rsidR="00FC6851" w:rsidRPr="001E6E9D">
        <w:t xml:space="preserve"> </w:t>
      </w:r>
      <w:r w:rsidRPr="001E6E9D">
        <w:t>Se os Recursos forem utilizados para adquirir outros negócios, apresentar descrição sumária desses negócios e o estágio das aquisições. Se forem adquiridos de partes relacionadas, informar de quem serão comprados e como o custo será determinado</w:t>
      </w:r>
      <w:bookmarkEnd w:id="98"/>
      <w:bookmarkEnd w:id="99"/>
      <w:bookmarkEnd w:id="100"/>
    </w:p>
    <w:p w14:paraId="35867E46"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Não aplicável, pois os Recursos não serão utilizados para adquirir quaisquer outros negócios.</w:t>
      </w:r>
    </w:p>
    <w:p w14:paraId="03A710D6" w14:textId="77777777" w:rsidR="003468A1" w:rsidRPr="001E6E9D" w:rsidRDefault="0053704D" w:rsidP="00DC7081">
      <w:pPr>
        <w:pStyle w:val="Ttulo2"/>
      </w:pPr>
      <w:bookmarkStart w:id="101" w:name="_Toc159073473"/>
      <w:bookmarkStart w:id="102" w:name="_Toc184129214"/>
      <w:r w:rsidRPr="001E6E9D">
        <w:t>3.4.</w:t>
      </w:r>
      <w:r w:rsidR="00FC6851" w:rsidRPr="001E6E9D">
        <w:t xml:space="preserve"> </w:t>
      </w:r>
      <w:r w:rsidRPr="001E6E9D">
        <w:t>Se parte significativa dos Recursos for utilizada para abater dívidas, descrever taxa de juros e prazo dessas dívidas e, para aquelas incorridas a partir do ano anterior, apresentar a destinação daqueles recursos</w:t>
      </w:r>
      <w:bookmarkEnd w:id="101"/>
      <w:bookmarkEnd w:id="102"/>
    </w:p>
    <w:p w14:paraId="3B3D8735" w14:textId="6A580F43" w:rsidR="003468A1" w:rsidRPr="001E6E9D" w:rsidRDefault="004271A5"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Os Recursos serão utilizados em parte para quitação integral das notas comerciais escriturais emitidas no âmbito da </w:t>
      </w:r>
      <w:r w:rsidRPr="001E6E9D">
        <w:rPr>
          <w:rFonts w:asciiTheme="minorHAnsi" w:hAnsiTheme="minorHAnsi" w:cstheme="minorHAnsi"/>
          <w:sz w:val="17"/>
          <w:szCs w:val="17"/>
          <w:u w:val="single"/>
        </w:rPr>
        <w:t>1ª Emissão de Notas Comerciais Escriturais da Emissora</w:t>
      </w:r>
      <w:r w:rsidRPr="001E6E9D">
        <w:rPr>
          <w:rFonts w:asciiTheme="minorHAnsi" w:eastAsia="Times New Roman" w:hAnsiTheme="minorHAnsi" w:cstheme="minorHAnsi"/>
          <w:szCs w:val="20"/>
          <w:lang w:eastAsia="pt-BR"/>
        </w:rPr>
        <w:t>. O referido financiamento tem prazo de vencimento em 24 meses, juros remuneratórios correspondentes a 100,00% (cem por cento) da variação acumulada Taxa DI, acrescida exponencialmente de sobretaxa (spread) de 3,99% (três inteiros e noventa e nove centésimos por cento) ao ano, com base 252 (duzentos e cinquenta e dois) Dias Úteis.</w:t>
      </w:r>
    </w:p>
    <w:p w14:paraId="4278CF33" w14:textId="6993A29A" w:rsidR="003468A1" w:rsidRPr="001E6E9D" w:rsidRDefault="0053704D" w:rsidP="00DC7081">
      <w:pPr>
        <w:pStyle w:val="Ttulo2"/>
      </w:pPr>
      <w:bookmarkStart w:id="103" w:name="_Ref158844924"/>
      <w:bookmarkStart w:id="104" w:name="_Toc159073474"/>
      <w:bookmarkStart w:id="105" w:name="_Toc184129215"/>
      <w:r w:rsidRPr="001E6E9D">
        <w:t>3.</w:t>
      </w:r>
      <w:r w:rsidR="000A1614" w:rsidRPr="001E6E9D">
        <w:t>5</w:t>
      </w:r>
      <w:r w:rsidRPr="001E6E9D">
        <w:t>.</w:t>
      </w:r>
      <w:r w:rsidR="00FC6851" w:rsidRPr="001E6E9D">
        <w:t xml:space="preserve"> </w:t>
      </w:r>
      <w:r w:rsidRPr="001E6E9D">
        <w:t>No caso de parte dos Recursos serem destinados a pagamentos a serem efetuados a partes relacionadas ou a Coordenadores, por conta de transações já realizadas ou cuja celebração seja esperada, indicação do montante e dos beneficiários do pagamento</w:t>
      </w:r>
      <w:bookmarkEnd w:id="103"/>
      <w:bookmarkEnd w:id="104"/>
      <w:bookmarkEnd w:id="105"/>
    </w:p>
    <w:p w14:paraId="2FB1B44A" w14:textId="77777777" w:rsidR="003468A1" w:rsidRPr="001E6E9D" w:rsidRDefault="0053704D" w:rsidP="00DC7081">
      <w:pPr>
        <w:tabs>
          <w:tab w:val="left" w:pos="851"/>
        </w:tabs>
        <w:autoSpaceDE w:val="0"/>
        <w:autoSpaceDN w:val="0"/>
        <w:rPr>
          <w:rFonts w:asciiTheme="minorHAnsi" w:eastAsia="Times New Roman" w:hAnsiTheme="minorHAnsi" w:cstheme="minorHAnsi"/>
          <w:b/>
          <w:szCs w:val="20"/>
          <w:lang w:eastAsia="pt-BR"/>
        </w:rPr>
      </w:pPr>
      <w:r w:rsidRPr="001E6E9D">
        <w:rPr>
          <w:rFonts w:asciiTheme="minorHAnsi" w:eastAsia="Times New Roman" w:hAnsiTheme="minorHAnsi" w:cstheme="minorHAnsi"/>
          <w:szCs w:val="20"/>
          <w:lang w:eastAsia="pt-BR"/>
        </w:rPr>
        <w:t>Não aplicável, pois os Recursos não serão destinados a pagamentos a serem efetuados a partes relacionadas ou aos Coordenadores, por conta de transações já realizadas ou cuja celebração seja esperada.</w:t>
      </w:r>
      <w:r w:rsidRPr="001E6E9D">
        <w:rPr>
          <w:rFonts w:asciiTheme="minorHAnsi" w:eastAsia="Times New Roman" w:hAnsiTheme="minorHAnsi" w:cstheme="minorHAnsi"/>
          <w:b/>
          <w:szCs w:val="20"/>
          <w:lang w:eastAsia="pt-BR"/>
        </w:rPr>
        <w:t xml:space="preserve"> </w:t>
      </w:r>
    </w:p>
    <w:p w14:paraId="4F5E4FC7" w14:textId="131D1FD1" w:rsidR="003468A1" w:rsidRPr="001E6E9D" w:rsidRDefault="0053704D" w:rsidP="00DC7081">
      <w:pPr>
        <w:pStyle w:val="Ttulo2"/>
      </w:pPr>
      <w:bookmarkStart w:id="106" w:name="_Ref158844925"/>
      <w:bookmarkStart w:id="107" w:name="_Toc159073475"/>
      <w:bookmarkStart w:id="108" w:name="_Toc184129216"/>
      <w:r w:rsidRPr="001E6E9D">
        <w:t>3.</w:t>
      </w:r>
      <w:r w:rsidR="000A1614" w:rsidRPr="001E6E9D">
        <w:t>6</w:t>
      </w:r>
      <w:r w:rsidRPr="001E6E9D">
        <w:t>.</w:t>
      </w:r>
      <w:r w:rsidR="00FC6851" w:rsidRPr="001E6E9D">
        <w:t xml:space="preserve"> </w:t>
      </w:r>
      <w:r w:rsidRPr="001E6E9D">
        <w:t>No caso de apenas parte dos Recursos vir a ser obtida por meio da distribuição, especificação dos objetivos prioritários e se há outras formas de captação previstas para atingir todos os objetivos originais da Emissora</w:t>
      </w:r>
      <w:bookmarkEnd w:id="106"/>
      <w:bookmarkEnd w:id="107"/>
      <w:bookmarkEnd w:id="108"/>
    </w:p>
    <w:p w14:paraId="70275769" w14:textId="77777777" w:rsidR="0053704D"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Não aplicável, pois os Recursos serão totalmente obtidos por meio da distribuição pública da Emissão.</w:t>
      </w:r>
    </w:p>
    <w:p w14:paraId="30515A58" w14:textId="270B3869" w:rsidR="003468A1" w:rsidRPr="001E6E9D" w:rsidRDefault="0053704D" w:rsidP="00DC7081">
      <w:pPr>
        <w:pStyle w:val="Ttulo2"/>
      </w:pPr>
      <w:bookmarkStart w:id="109" w:name="_Ref158844926"/>
      <w:bookmarkStart w:id="110" w:name="_Toc159073476"/>
      <w:bookmarkStart w:id="111" w:name="_Toc184129217"/>
      <w:r w:rsidRPr="001E6E9D">
        <w:t>3.</w:t>
      </w:r>
      <w:r w:rsidR="000A1614" w:rsidRPr="001E6E9D">
        <w:t>7</w:t>
      </w:r>
      <w:r w:rsidRPr="001E6E9D">
        <w:t>.</w:t>
      </w:r>
      <w:r w:rsidR="00FC6851" w:rsidRPr="001E6E9D">
        <w:t xml:space="preserve"> </w:t>
      </w:r>
      <w:r w:rsidRPr="001E6E9D">
        <w:t>Outras fontes de recursos: se aplicável, discriminar outras fontes de recursos que terão destinação associada àquela relativa à distribuição pública</w:t>
      </w:r>
      <w:bookmarkEnd w:id="109"/>
      <w:bookmarkEnd w:id="110"/>
      <w:bookmarkEnd w:id="111"/>
    </w:p>
    <w:p w14:paraId="3C03BDE8" w14:textId="3A9604AD" w:rsidR="003468A1" w:rsidRPr="001E6E9D" w:rsidRDefault="00427E19" w:rsidP="00DC7081">
      <w:pPr>
        <w:tabs>
          <w:tab w:val="left" w:pos="567"/>
        </w:tabs>
        <w:autoSpaceDE w:val="0"/>
        <w:autoSpaceDN w:val="0"/>
        <w:rPr>
          <w:rFonts w:asciiTheme="minorHAnsi" w:eastAsia="Times New Roman" w:hAnsiTheme="minorHAnsi" w:cstheme="minorHAnsi"/>
          <w:bCs/>
          <w:iCs/>
          <w:szCs w:val="20"/>
          <w:lang w:eastAsia="pt-BR"/>
        </w:rPr>
      </w:pPr>
      <w:r w:rsidRPr="001E6E9D">
        <w:rPr>
          <w:rFonts w:asciiTheme="minorHAnsi" w:eastAsia="Times New Roman" w:hAnsiTheme="minorHAnsi" w:cstheme="minorHAnsi"/>
          <w:szCs w:val="20"/>
          <w:lang w:eastAsia="pt-BR"/>
        </w:rPr>
        <w:t>Os recursos adicionais necessários à conclusão dos Projetos poderão decorrer de uma combinação de recursos próprios de acionistas diretos e indiretos da Emissora ou provenientes das atividades da Emissora, dentre outros, a exclusivo critério da Emissora.</w:t>
      </w:r>
    </w:p>
    <w:p w14:paraId="7699423F" w14:textId="1DA4CF5A" w:rsidR="003468A1" w:rsidRPr="001E6E9D" w:rsidRDefault="0053704D" w:rsidP="0015374F">
      <w:pPr>
        <w:pStyle w:val="Ttulo2"/>
        <w:keepNext/>
        <w:keepLines/>
      </w:pPr>
      <w:bookmarkStart w:id="112" w:name="_Toc184129218"/>
      <w:r w:rsidRPr="001E6E9D">
        <w:lastRenderedPageBreak/>
        <w:t>3.</w:t>
      </w:r>
      <w:r w:rsidR="000A1614" w:rsidRPr="001E6E9D">
        <w:t>8</w:t>
      </w:r>
      <w:r w:rsidRPr="001E6E9D">
        <w:t>.</w:t>
      </w:r>
      <w:r w:rsidR="00FC6851" w:rsidRPr="001E6E9D">
        <w:t xml:space="preserve"> </w:t>
      </w:r>
      <w:r w:rsidRPr="001E6E9D">
        <w:t xml:space="preserve">Se o título ofertado for qualificado pelo emissor como </w:t>
      </w:r>
      <w:r w:rsidR="000D5E35" w:rsidRPr="001E6E9D">
        <w:t>“</w:t>
      </w:r>
      <w:r w:rsidRPr="001E6E9D">
        <w:t xml:space="preserve">verde”, </w:t>
      </w:r>
      <w:r w:rsidR="000D5E35" w:rsidRPr="001E6E9D">
        <w:t>“</w:t>
      </w:r>
      <w:r w:rsidRPr="001E6E9D">
        <w:t xml:space="preserve">social”, </w:t>
      </w:r>
      <w:r w:rsidR="000D5E35" w:rsidRPr="001E6E9D">
        <w:t>“</w:t>
      </w:r>
      <w:r w:rsidRPr="001E6E9D">
        <w:t>sustentável” ou termos correlatos, informar:</w:t>
      </w:r>
      <w:r w:rsidR="002B421C" w:rsidRPr="001E6E9D">
        <w:t xml:space="preserve"> (a) quais metodologias, princípios ou diretrizes amplamente reconhecidos foram seguidos para qualificação da oferta conforme item acima; (b) qual a entidade independente responsável pela averiguação acima citada e tipo de avaliação envolvida; (c) obrigações que a oferta impõe quanto à persecução de objetivos </w:t>
      </w:r>
      <w:r w:rsidR="000D5E35" w:rsidRPr="001E6E9D">
        <w:t>“</w:t>
      </w:r>
      <w:r w:rsidR="002B421C" w:rsidRPr="001E6E9D">
        <w:t xml:space="preserve">verdes”, </w:t>
      </w:r>
      <w:r w:rsidR="000D5E35" w:rsidRPr="001E6E9D">
        <w:t>“</w:t>
      </w:r>
      <w:r w:rsidR="002B421C" w:rsidRPr="001E6E9D">
        <w:t xml:space="preserve">sociais”, </w:t>
      </w:r>
      <w:r w:rsidR="000D5E35" w:rsidRPr="001E6E9D">
        <w:t>“</w:t>
      </w:r>
      <w:r w:rsidR="002B421C" w:rsidRPr="001E6E9D">
        <w:t xml:space="preserve">sustentáveis” ou termos correlatos, conforme metodologias, princípios ou diretrizes amplamente reconhecidos; e (d) especificação sobre a forma, a periodicidade e a entidade responsável pelo reporte acerca do cumprimento de obrigações impostas pela oferta quanto à persecução de objetivos </w:t>
      </w:r>
      <w:r w:rsidR="000D5E35" w:rsidRPr="001E6E9D">
        <w:t>“</w:t>
      </w:r>
      <w:r w:rsidR="002B421C" w:rsidRPr="001E6E9D">
        <w:t xml:space="preserve">verdes”, </w:t>
      </w:r>
      <w:r w:rsidR="000D5E35" w:rsidRPr="001E6E9D">
        <w:t>“</w:t>
      </w:r>
      <w:r w:rsidR="002B421C" w:rsidRPr="001E6E9D">
        <w:t xml:space="preserve">sociais”, </w:t>
      </w:r>
      <w:r w:rsidR="000D5E35" w:rsidRPr="001E6E9D">
        <w:t>“</w:t>
      </w:r>
      <w:r w:rsidR="002B421C" w:rsidRPr="001E6E9D">
        <w:t>sustentáveis” ou termos correlatos, conforme a metodologia, princípios ou diretrizes amplamente reconhecidos.</w:t>
      </w:r>
      <w:bookmarkEnd w:id="112"/>
    </w:p>
    <w:p w14:paraId="48EF6465" w14:textId="1F477778" w:rsidR="003468A1" w:rsidRPr="001E6E9D" w:rsidRDefault="00606BDE" w:rsidP="00DC7081">
      <w:pPr>
        <w:tabs>
          <w:tab w:val="left" w:pos="0"/>
        </w:tabs>
        <w:autoSpaceDE w:val="0"/>
        <w:autoSpaceDN w:val="0"/>
        <w:rPr>
          <w:rFonts w:asciiTheme="minorHAnsi" w:eastAsia="Times New Roman" w:hAnsiTheme="minorHAnsi" w:cstheme="minorHAnsi"/>
          <w:szCs w:val="20"/>
          <w:lang w:eastAsia="pt-BR"/>
        </w:rPr>
      </w:pPr>
      <w:bookmarkStart w:id="113" w:name="_Ref122630668"/>
      <w:r w:rsidRPr="001E6E9D">
        <w:rPr>
          <w:rFonts w:asciiTheme="minorHAnsi" w:eastAsia="Times New Roman" w:hAnsiTheme="minorHAnsi" w:cstheme="minorHAnsi"/>
          <w:szCs w:val="20"/>
          <w:lang w:eastAsia="pt-BR"/>
        </w:rPr>
        <w:t xml:space="preserve">As Debêntures serão caracterizadas como </w:t>
      </w:r>
      <w:r w:rsidR="000D5E35" w:rsidRPr="001E6E9D">
        <w:rPr>
          <w:rFonts w:asciiTheme="minorHAnsi" w:eastAsia="Times New Roman" w:hAnsiTheme="minorHAnsi" w:cstheme="minorHAnsi"/>
          <w:szCs w:val="20"/>
          <w:lang w:eastAsia="pt-BR"/>
        </w:rPr>
        <w:t>“</w:t>
      </w:r>
      <w:r w:rsidRPr="001E6E9D">
        <w:rPr>
          <w:rFonts w:asciiTheme="minorHAnsi" w:eastAsia="Times New Roman" w:hAnsiTheme="minorHAnsi" w:cstheme="minorHAnsi"/>
          <w:szCs w:val="20"/>
          <w:lang w:eastAsia="pt-BR"/>
        </w:rPr>
        <w:t xml:space="preserve">Debêntures Verdes” com base no compromisso da Emissora em destinar os recursos captados com as Debêntures para projetos operados pela Emissora na categoria </w:t>
      </w:r>
      <w:r w:rsidR="00FA1018" w:rsidRPr="001E6E9D">
        <w:rPr>
          <w:rFonts w:asciiTheme="minorHAnsi" w:eastAsia="Times New Roman" w:hAnsiTheme="minorHAnsi" w:cstheme="minorHAnsi"/>
          <w:szCs w:val="20"/>
          <w:lang w:eastAsia="pt-BR"/>
        </w:rPr>
        <w:t>em linha com os Princípios para Títulos Verdes (</w:t>
      </w:r>
      <w:r w:rsidR="00FA1018" w:rsidRPr="001E6E9D">
        <w:rPr>
          <w:rFonts w:asciiTheme="minorHAnsi" w:eastAsia="Times New Roman" w:hAnsiTheme="minorHAnsi" w:cstheme="minorHAnsi"/>
          <w:i/>
          <w:iCs/>
          <w:szCs w:val="20"/>
          <w:lang w:eastAsia="pt-BR"/>
        </w:rPr>
        <w:t>Green Bond Principles</w:t>
      </w:r>
      <w:r w:rsidR="00FA1018" w:rsidRPr="001E6E9D">
        <w:rPr>
          <w:rFonts w:asciiTheme="minorHAnsi" w:eastAsia="Times New Roman" w:hAnsiTheme="minorHAnsi" w:cstheme="minorHAnsi"/>
          <w:szCs w:val="20"/>
          <w:lang w:eastAsia="pt-BR"/>
        </w:rPr>
        <w:t>) publicado pela International Capital Markets Association (ICMA) e com os Princípios para Empréstimos Verdes (</w:t>
      </w:r>
      <w:r w:rsidR="00FA1018" w:rsidRPr="001E6E9D">
        <w:rPr>
          <w:rFonts w:asciiTheme="minorHAnsi" w:eastAsia="Times New Roman" w:hAnsiTheme="minorHAnsi" w:cstheme="minorHAnsi"/>
          <w:i/>
          <w:iCs/>
          <w:szCs w:val="20"/>
          <w:lang w:eastAsia="pt-BR"/>
        </w:rPr>
        <w:t>Green Loan Principles</w:t>
      </w:r>
      <w:r w:rsidR="00FA1018" w:rsidRPr="001E6E9D">
        <w:rPr>
          <w:rFonts w:asciiTheme="minorHAnsi" w:eastAsia="Times New Roman" w:hAnsiTheme="minorHAnsi" w:cstheme="minorHAnsi"/>
          <w:szCs w:val="20"/>
          <w:lang w:eastAsia="pt-BR"/>
        </w:rPr>
        <w:t>) publicados pela Loan Market Association (LMA), Loan Syndications &amp; Trading Association (LSTA) e a Asia Pacific Loan Market Association (APLMA), e em conformidade com o Guia para Ofertas de Títulos Sustentáveis ANBIMA, bem como com o preenchimento dos Objetivos de Desenvolvimento Sustentávei (ODS) 7, 9 e 13</w:t>
      </w:r>
      <w:r w:rsidRPr="001E6E9D">
        <w:rPr>
          <w:rFonts w:asciiTheme="minorHAnsi" w:eastAsia="Times New Roman" w:hAnsiTheme="minorHAnsi" w:cstheme="minorHAnsi"/>
          <w:szCs w:val="20"/>
          <w:lang w:eastAsia="pt-BR"/>
        </w:rPr>
        <w:t xml:space="preserve">, conforme confirmado por Parecer Independente, emitido por consultoria especializada independente contratada pela Emissora, qual seja EXAME. LTDA., com endereço na cidade do São Paulo, Estado do São Paulo, na Avenida Presidente Juscelino Kubitschek, </w:t>
      </w:r>
      <w:r w:rsidR="000D5E35" w:rsidRPr="001E6E9D">
        <w:rPr>
          <w:rFonts w:asciiTheme="minorHAnsi" w:eastAsia="Times New Roman" w:hAnsiTheme="minorHAnsi" w:cstheme="minorHAnsi"/>
          <w:szCs w:val="20"/>
          <w:lang w:eastAsia="pt-BR"/>
        </w:rPr>
        <w:t>nº</w:t>
      </w:r>
      <w:r w:rsidRPr="001E6E9D">
        <w:rPr>
          <w:rFonts w:asciiTheme="minorHAnsi" w:eastAsia="Times New Roman" w:hAnsiTheme="minorHAnsi" w:cstheme="minorHAnsi"/>
          <w:szCs w:val="20"/>
          <w:lang w:eastAsia="pt-BR"/>
        </w:rPr>
        <w:t xml:space="preserve"> 1.830, Torre I, sala 31, Vila Nova Conceição, CEP </w:t>
      </w:r>
      <w:r w:rsidR="000D5E35" w:rsidRPr="001E6E9D">
        <w:rPr>
          <w:rFonts w:asciiTheme="minorHAnsi" w:eastAsia="Times New Roman" w:hAnsiTheme="minorHAnsi" w:cstheme="minorHAnsi"/>
          <w:szCs w:val="20"/>
          <w:lang w:eastAsia="pt-BR"/>
        </w:rPr>
        <w:t>nº</w:t>
      </w:r>
      <w:r w:rsidRPr="001E6E9D">
        <w:rPr>
          <w:rFonts w:asciiTheme="minorHAnsi" w:eastAsia="Times New Roman" w:hAnsiTheme="minorHAnsi" w:cstheme="minorHAnsi"/>
          <w:szCs w:val="20"/>
          <w:lang w:eastAsia="pt-BR"/>
        </w:rPr>
        <w:t xml:space="preserve"> 04.543-900, inscrito no CNPJ/MF sob </w:t>
      </w:r>
      <w:r w:rsidR="000D5E35" w:rsidRPr="001E6E9D">
        <w:rPr>
          <w:rFonts w:asciiTheme="minorHAnsi" w:eastAsia="Times New Roman" w:hAnsiTheme="minorHAnsi" w:cstheme="minorHAnsi"/>
          <w:szCs w:val="20"/>
          <w:lang w:eastAsia="pt-BR"/>
        </w:rPr>
        <w:t>nº</w:t>
      </w:r>
      <w:r w:rsidRPr="001E6E9D">
        <w:rPr>
          <w:rFonts w:asciiTheme="minorHAnsi" w:eastAsia="Times New Roman" w:hAnsiTheme="minorHAnsi" w:cstheme="minorHAnsi"/>
          <w:szCs w:val="20"/>
          <w:lang w:eastAsia="pt-BR"/>
        </w:rPr>
        <w:t xml:space="preserve"> 34.906.443/0001-68, com base nas diretrizes nos Princípios para Títulos Verdes International Capital Markets Association (ICMA), Princípios para Empréstimos Verdes (LMA/APLMA/LSTA), nas melhores práticas descritas no Guia para Ofertas de Títulos Sustentáveis da Associação Brasileira das Entidades dos Mercados Financeiro e de Capitais (ANBIMA) e Objetivos de Desenvolvimento Sustentável da Organização das Nações Unidas (ONU) de tempos em tempos.</w:t>
      </w:r>
      <w:bookmarkEnd w:id="113"/>
    </w:p>
    <w:p w14:paraId="39E772C9" w14:textId="3F017095" w:rsidR="003468A1" w:rsidRPr="001E6E9D" w:rsidRDefault="002B421C" w:rsidP="00DC7081">
      <w:pPr>
        <w:tabs>
          <w:tab w:val="left" w:pos="0"/>
        </w:tabs>
        <w:autoSpaceDE w:val="0"/>
        <w:autoSpaceDN w:val="0"/>
        <w:rPr>
          <w:rFonts w:asciiTheme="minorHAnsi" w:hAnsiTheme="minorHAnsi" w:cstheme="minorHAnsi"/>
          <w:szCs w:val="20"/>
        </w:rPr>
      </w:pPr>
      <w:bookmarkStart w:id="114" w:name="_Ref123556590"/>
      <w:r w:rsidRPr="001E6E9D">
        <w:rPr>
          <w:rFonts w:asciiTheme="minorHAnsi" w:eastAsia="Times New Roman" w:hAnsiTheme="minorHAnsi" w:cstheme="minorHAnsi"/>
          <w:szCs w:val="20"/>
          <w:lang w:eastAsia="pt-BR"/>
        </w:rPr>
        <w:t>Até a primeira Data de Integralização, a Emissora deverá disponibilizar o Parecer Independente elaborado</w:t>
      </w:r>
      <w:r w:rsidR="003E2857" w:rsidRPr="001E6E9D">
        <w:rPr>
          <w:rFonts w:asciiTheme="minorHAnsi" w:eastAsia="Times New Roman" w:hAnsiTheme="minorHAnsi" w:cstheme="minorHAnsi"/>
          <w:szCs w:val="20"/>
          <w:lang w:eastAsia="pt-BR"/>
        </w:rPr>
        <w:t> </w:t>
      </w:r>
      <w:r w:rsidRPr="001E6E9D">
        <w:rPr>
          <w:rFonts w:asciiTheme="minorHAnsi" w:eastAsia="Times New Roman" w:hAnsiTheme="minorHAnsi" w:cstheme="minorHAnsi"/>
          <w:szCs w:val="20"/>
          <w:lang w:eastAsia="pt-BR"/>
        </w:rPr>
        <w:t>pela</w:t>
      </w:r>
      <w:r w:rsidR="003E2857" w:rsidRPr="001E6E9D">
        <w:rPr>
          <w:rFonts w:asciiTheme="minorHAnsi" w:eastAsia="Times New Roman" w:hAnsiTheme="minorHAnsi" w:cstheme="minorHAnsi"/>
          <w:szCs w:val="20"/>
          <w:lang w:eastAsia="pt-BR"/>
        </w:rPr>
        <w:t> </w:t>
      </w:r>
      <w:r w:rsidRPr="001E6E9D">
        <w:rPr>
          <w:rFonts w:asciiTheme="minorHAnsi" w:eastAsia="Times New Roman" w:hAnsiTheme="minorHAnsi" w:cstheme="minorHAnsi"/>
          <w:szCs w:val="20"/>
          <w:lang w:eastAsia="pt-BR"/>
        </w:rPr>
        <w:t>attestESG em sua página da rede mundial de computadores da Emissora (https://faroenergy.com/debentureincentivada), bem como será enviada uma cópia eletrônica (pdf) para o Agente Fiduc</w:t>
      </w:r>
      <w:r w:rsidRPr="001E6E9D">
        <w:rPr>
          <w:rFonts w:asciiTheme="minorHAnsi" w:hAnsiTheme="minorHAnsi" w:cstheme="minorHAnsi"/>
          <w:szCs w:val="20"/>
        </w:rPr>
        <w:t>iário, em conjunto com os demais documentos da Oferta até a primeira Data de Integralização</w:t>
      </w:r>
      <w:r w:rsidRPr="001E6E9D" w:rsidDel="0092613B">
        <w:rPr>
          <w:rFonts w:asciiTheme="minorHAnsi" w:hAnsiTheme="minorHAnsi" w:cstheme="minorHAnsi"/>
          <w:szCs w:val="20"/>
        </w:rPr>
        <w:t xml:space="preserve"> </w:t>
      </w:r>
      <w:r w:rsidRPr="001E6E9D">
        <w:rPr>
          <w:rFonts w:asciiTheme="minorHAnsi" w:hAnsiTheme="minorHAnsi" w:cstheme="minorHAnsi"/>
          <w:szCs w:val="20"/>
        </w:rPr>
        <w:t>das Debêntures.</w:t>
      </w:r>
      <w:bookmarkEnd w:id="114"/>
      <w:r w:rsidR="0053704D" w:rsidRPr="001E6E9D">
        <w:rPr>
          <w:rFonts w:asciiTheme="minorHAnsi" w:hAnsiTheme="minorHAnsi" w:cstheme="minorHAnsi"/>
          <w:szCs w:val="20"/>
        </w:rPr>
        <w:t xml:space="preserve"> </w:t>
      </w:r>
    </w:p>
    <w:p w14:paraId="5F1F97B5" w14:textId="51C8E175" w:rsidR="002B421C" w:rsidRPr="001E6E9D" w:rsidRDefault="002B421C" w:rsidP="00DC7081">
      <w:pPr>
        <w:tabs>
          <w:tab w:val="left" w:pos="0"/>
        </w:tabs>
        <w:autoSpaceDE w:val="0"/>
        <w:autoSpaceDN w:val="0"/>
        <w:rPr>
          <w:rFonts w:asciiTheme="minorHAnsi" w:hAnsiTheme="minorHAnsi" w:cstheme="minorHAnsi"/>
          <w:szCs w:val="20"/>
        </w:rPr>
      </w:pPr>
      <w:r w:rsidRPr="001E6E9D">
        <w:rPr>
          <w:rFonts w:asciiTheme="minorHAnsi" w:hAnsiTheme="minorHAnsi" w:cstheme="minorHAnsi"/>
          <w:szCs w:val="20"/>
        </w:rPr>
        <w:t>As Debêntures poderão receber marcação nos sistemas da B3 como título verde, com base nos critérios emitidos pela B3.</w:t>
      </w:r>
    </w:p>
    <w:p w14:paraId="0756D791" w14:textId="6EAFE1DE" w:rsidR="002B421C" w:rsidRPr="001E6E9D" w:rsidRDefault="002B421C" w:rsidP="00DC7081">
      <w:pPr>
        <w:tabs>
          <w:tab w:val="left" w:pos="0"/>
        </w:tabs>
        <w:autoSpaceDE w:val="0"/>
        <w:autoSpaceDN w:val="0"/>
        <w:rPr>
          <w:rFonts w:asciiTheme="minorHAnsi" w:hAnsiTheme="minorHAnsi" w:cstheme="minorHAnsi"/>
          <w:szCs w:val="20"/>
        </w:rPr>
      </w:pPr>
      <w:r w:rsidRPr="001E6E9D">
        <w:rPr>
          <w:rFonts w:asciiTheme="minorHAnsi" w:hAnsiTheme="minorHAnsi" w:cstheme="minorHAnsi"/>
          <w:szCs w:val="20"/>
        </w:rPr>
        <w:t>Para todos os fins desta Oferta, o Framework e o Parecer Independente não constituem documentos da Oferta e, portanto, não foram objeto de análise e/ou avaliação pelos Coordenadores, ficando os Coordenadores isentos de qualquer responsabilidade sobre o seu conteúdo.</w:t>
      </w:r>
    </w:p>
    <w:p w14:paraId="409023C1" w14:textId="6EF335AC" w:rsidR="002B421C" w:rsidRPr="001E6E9D" w:rsidRDefault="002B421C" w:rsidP="00DC7081">
      <w:pPr>
        <w:pStyle w:val="Corpodetexto3"/>
        <w:spacing w:after="200"/>
        <w:rPr>
          <w:rFonts w:asciiTheme="minorHAnsi" w:hAnsiTheme="minorHAnsi" w:cstheme="minorHAnsi"/>
          <w:sz w:val="20"/>
          <w:szCs w:val="20"/>
        </w:rPr>
      </w:pPr>
      <w:r w:rsidRPr="001E6E9D">
        <w:rPr>
          <w:rFonts w:asciiTheme="minorHAnsi" w:hAnsiTheme="minorHAnsi" w:cstheme="minorHAnsi"/>
          <w:sz w:val="20"/>
          <w:szCs w:val="20"/>
        </w:rPr>
        <w:t xml:space="preserve">O Projeto é considerado elegível para fins de </w:t>
      </w:r>
      <w:r w:rsidR="000D5E35" w:rsidRPr="001E6E9D">
        <w:rPr>
          <w:rFonts w:asciiTheme="minorHAnsi" w:hAnsiTheme="minorHAnsi" w:cstheme="minorHAnsi"/>
          <w:sz w:val="20"/>
          <w:szCs w:val="20"/>
        </w:rPr>
        <w:t>“</w:t>
      </w:r>
      <w:r w:rsidR="00F6789A" w:rsidRPr="001E6E9D">
        <w:rPr>
          <w:rFonts w:asciiTheme="minorHAnsi" w:hAnsiTheme="minorHAnsi" w:cstheme="minorHAnsi"/>
          <w:sz w:val="20"/>
          <w:szCs w:val="20"/>
          <w:u w:val="single"/>
        </w:rPr>
        <w:t>título</w:t>
      </w:r>
      <w:r w:rsidRPr="001E6E9D">
        <w:rPr>
          <w:rFonts w:asciiTheme="minorHAnsi" w:hAnsiTheme="minorHAnsi" w:cstheme="minorHAnsi"/>
          <w:sz w:val="20"/>
          <w:szCs w:val="20"/>
          <w:u w:val="single"/>
        </w:rPr>
        <w:t xml:space="preserve"> verde</w:t>
      </w:r>
      <w:r w:rsidRPr="001E6E9D">
        <w:rPr>
          <w:rFonts w:asciiTheme="minorHAnsi" w:hAnsiTheme="minorHAnsi" w:cstheme="minorHAnsi"/>
          <w:sz w:val="20"/>
          <w:szCs w:val="20"/>
        </w:rPr>
        <w:t xml:space="preserve">”, por estar alinhado à categoria </w:t>
      </w:r>
      <w:r w:rsidR="000D5E35" w:rsidRPr="001E6E9D">
        <w:rPr>
          <w:rFonts w:asciiTheme="minorHAnsi" w:hAnsiTheme="minorHAnsi" w:cstheme="minorHAnsi"/>
          <w:sz w:val="20"/>
          <w:szCs w:val="20"/>
        </w:rPr>
        <w:t>“</w:t>
      </w:r>
      <w:r w:rsidRPr="001E6E9D">
        <w:rPr>
          <w:rFonts w:asciiTheme="minorHAnsi" w:hAnsiTheme="minorHAnsi" w:cstheme="minorHAnsi"/>
          <w:sz w:val="20"/>
          <w:szCs w:val="20"/>
          <w:u w:val="single"/>
        </w:rPr>
        <w:t>Energia Renovável</w:t>
      </w:r>
      <w:r w:rsidRPr="001E6E9D">
        <w:rPr>
          <w:rFonts w:asciiTheme="minorHAnsi" w:hAnsiTheme="minorHAnsi" w:cstheme="minorHAnsi"/>
          <w:sz w:val="20"/>
          <w:szCs w:val="20"/>
        </w:rPr>
        <w:t>”, descrita no Framework de Finanças Verdes (</w:t>
      </w:r>
      <w:r w:rsidR="000D5E35" w:rsidRPr="001E6E9D">
        <w:rPr>
          <w:rFonts w:asciiTheme="minorHAnsi" w:hAnsiTheme="minorHAnsi" w:cstheme="minorHAnsi"/>
          <w:sz w:val="20"/>
          <w:szCs w:val="20"/>
        </w:rPr>
        <w:t>“</w:t>
      </w:r>
      <w:r w:rsidRPr="001E6E9D">
        <w:rPr>
          <w:rFonts w:asciiTheme="minorHAnsi" w:hAnsiTheme="minorHAnsi" w:cstheme="minorHAnsi"/>
          <w:sz w:val="20"/>
          <w:szCs w:val="20"/>
          <w:u w:val="single"/>
        </w:rPr>
        <w:t>Framework</w:t>
      </w:r>
      <w:r w:rsidRPr="001E6E9D">
        <w:rPr>
          <w:rFonts w:asciiTheme="minorHAnsi" w:hAnsiTheme="minorHAnsi" w:cstheme="minorHAnsi"/>
          <w:sz w:val="20"/>
          <w:szCs w:val="20"/>
        </w:rPr>
        <w:t>”), conforme definidos pelas diretrizes do Green Bond Principles (</w:t>
      </w:r>
      <w:r w:rsidR="000D5E35" w:rsidRPr="001E6E9D">
        <w:rPr>
          <w:rFonts w:asciiTheme="minorHAnsi" w:hAnsiTheme="minorHAnsi" w:cstheme="minorHAnsi"/>
          <w:sz w:val="20"/>
          <w:szCs w:val="20"/>
        </w:rPr>
        <w:t>“</w:t>
      </w:r>
      <w:r w:rsidRPr="001E6E9D">
        <w:rPr>
          <w:rFonts w:asciiTheme="minorHAnsi" w:hAnsiTheme="minorHAnsi" w:cstheme="minorHAnsi"/>
          <w:sz w:val="20"/>
          <w:szCs w:val="20"/>
          <w:u w:val="single"/>
        </w:rPr>
        <w:t>GBP</w:t>
      </w:r>
      <w:r w:rsidRPr="001E6E9D">
        <w:rPr>
          <w:rFonts w:asciiTheme="minorHAnsi" w:hAnsiTheme="minorHAnsi" w:cstheme="minorHAnsi"/>
          <w:sz w:val="20"/>
          <w:szCs w:val="20"/>
        </w:rPr>
        <w:t>”) de 2021, conforme emitidas e atualizadas pela Interna</w:t>
      </w:r>
      <w:r w:rsidR="00551380" w:rsidRPr="001E6E9D">
        <w:rPr>
          <w:rFonts w:asciiTheme="minorHAnsi" w:hAnsiTheme="minorHAnsi" w:cstheme="minorHAnsi"/>
          <w:sz w:val="20"/>
          <w:szCs w:val="20"/>
        </w:rPr>
        <w:t>t</w:t>
      </w:r>
      <w:r w:rsidRPr="001E6E9D">
        <w:rPr>
          <w:rFonts w:asciiTheme="minorHAnsi" w:hAnsiTheme="minorHAnsi" w:cstheme="minorHAnsi"/>
          <w:sz w:val="20"/>
          <w:szCs w:val="20"/>
        </w:rPr>
        <w:t>ional Capital Market Association (</w:t>
      </w:r>
      <w:r w:rsidR="000D5E35" w:rsidRPr="001E6E9D">
        <w:rPr>
          <w:rFonts w:asciiTheme="minorHAnsi" w:hAnsiTheme="minorHAnsi" w:cstheme="minorHAnsi"/>
          <w:sz w:val="20"/>
          <w:szCs w:val="20"/>
        </w:rPr>
        <w:t>“</w:t>
      </w:r>
      <w:r w:rsidRPr="001E6E9D">
        <w:rPr>
          <w:rFonts w:asciiTheme="minorHAnsi" w:hAnsiTheme="minorHAnsi" w:cstheme="minorHAnsi"/>
          <w:sz w:val="20"/>
          <w:szCs w:val="20"/>
          <w:u w:val="single"/>
        </w:rPr>
        <w:t>ICMA</w:t>
      </w:r>
      <w:r w:rsidRPr="001E6E9D">
        <w:rPr>
          <w:rFonts w:asciiTheme="minorHAnsi" w:hAnsiTheme="minorHAnsi" w:cstheme="minorHAnsi"/>
          <w:sz w:val="20"/>
          <w:szCs w:val="20"/>
        </w:rPr>
        <w:t>”) de tempos em tempos (</w:t>
      </w:r>
      <w:r w:rsidR="000D5E35" w:rsidRPr="001E6E9D">
        <w:rPr>
          <w:rFonts w:asciiTheme="minorHAnsi" w:hAnsiTheme="minorHAnsi" w:cstheme="minorHAnsi"/>
          <w:sz w:val="20"/>
          <w:szCs w:val="20"/>
        </w:rPr>
        <w:t>“</w:t>
      </w:r>
      <w:r w:rsidRPr="001E6E9D">
        <w:rPr>
          <w:rFonts w:asciiTheme="minorHAnsi" w:hAnsiTheme="minorHAnsi" w:cstheme="minorHAnsi"/>
          <w:sz w:val="20"/>
          <w:szCs w:val="20"/>
          <w:u w:val="single"/>
        </w:rPr>
        <w:t>Projetos Elegíveis</w:t>
      </w:r>
      <w:r w:rsidRPr="001E6E9D">
        <w:rPr>
          <w:rFonts w:asciiTheme="minorHAnsi" w:hAnsiTheme="minorHAnsi" w:cstheme="minorHAnsi"/>
          <w:sz w:val="20"/>
          <w:szCs w:val="20"/>
        </w:rPr>
        <w:t>”).</w:t>
      </w:r>
    </w:p>
    <w:p w14:paraId="74B88B09" w14:textId="6A2389BD" w:rsidR="002B421C" w:rsidRPr="001E6E9D" w:rsidRDefault="002B421C" w:rsidP="00DC7081">
      <w:pPr>
        <w:pStyle w:val="Corpodetexto3"/>
        <w:spacing w:after="200"/>
        <w:rPr>
          <w:rFonts w:asciiTheme="minorHAnsi" w:hAnsiTheme="minorHAnsi" w:cstheme="minorHAnsi"/>
          <w:sz w:val="20"/>
          <w:szCs w:val="20"/>
        </w:rPr>
      </w:pPr>
      <w:bookmarkStart w:id="115" w:name="_Ref157533608"/>
      <w:r w:rsidRPr="001E6E9D">
        <w:rPr>
          <w:rFonts w:asciiTheme="minorHAnsi" w:hAnsiTheme="minorHAnsi" w:cstheme="minorHAnsi"/>
          <w:sz w:val="20"/>
          <w:szCs w:val="20"/>
        </w:rPr>
        <w:t>Até 10 (dez) Dias Úteis a contar da data de aniversário da primeira Data de Integralização, a Emissora deverá emitir relatório de sustentabilidade contendo o resumo da destinação dos recursos equivalente ao montante obtido com as Debêntures, nos termos da Escritura de Emissão (</w:t>
      </w:r>
      <w:r w:rsidR="000D5E35" w:rsidRPr="001E6E9D">
        <w:rPr>
          <w:rFonts w:asciiTheme="minorHAnsi" w:hAnsiTheme="minorHAnsi" w:cstheme="minorHAnsi"/>
          <w:sz w:val="20"/>
          <w:szCs w:val="20"/>
        </w:rPr>
        <w:t>“</w:t>
      </w:r>
      <w:r w:rsidRPr="001E6E9D">
        <w:rPr>
          <w:rFonts w:asciiTheme="minorHAnsi" w:hAnsiTheme="minorHAnsi" w:cstheme="minorHAnsi"/>
          <w:sz w:val="20"/>
          <w:szCs w:val="20"/>
          <w:u w:val="single"/>
        </w:rPr>
        <w:t>Reporte de Alocação de Título Verde</w:t>
      </w:r>
      <w:r w:rsidRPr="001E6E9D">
        <w:rPr>
          <w:rFonts w:asciiTheme="minorHAnsi" w:hAnsiTheme="minorHAnsi" w:cstheme="minorHAnsi"/>
          <w:sz w:val="20"/>
          <w:szCs w:val="20"/>
        </w:rPr>
        <w:t>”)</w:t>
      </w:r>
      <w:bookmarkEnd w:id="115"/>
      <w:r w:rsidRPr="001E6E9D">
        <w:rPr>
          <w:rFonts w:asciiTheme="minorHAnsi" w:hAnsiTheme="minorHAnsi" w:cstheme="minorHAnsi"/>
          <w:sz w:val="20"/>
          <w:szCs w:val="20"/>
        </w:rPr>
        <w:t xml:space="preserve">, devendo encaminhar uma cópia do referido relatório ao Agente Fiduciário em até 3 (três) Dias Úteis contados da emissão. </w:t>
      </w:r>
    </w:p>
    <w:p w14:paraId="66BAD5FF" w14:textId="77777777" w:rsidR="002B421C" w:rsidRPr="001E6E9D" w:rsidRDefault="002B421C" w:rsidP="00DC7081">
      <w:pPr>
        <w:pStyle w:val="Corpodetexto3"/>
        <w:spacing w:after="200"/>
        <w:rPr>
          <w:rFonts w:asciiTheme="minorHAnsi" w:hAnsiTheme="minorHAnsi" w:cstheme="minorHAnsi"/>
          <w:sz w:val="20"/>
          <w:szCs w:val="20"/>
        </w:rPr>
      </w:pPr>
      <w:r w:rsidRPr="001E6E9D">
        <w:rPr>
          <w:rFonts w:asciiTheme="minorHAnsi" w:hAnsiTheme="minorHAnsi" w:cstheme="minorHAnsi"/>
          <w:sz w:val="20"/>
          <w:szCs w:val="20"/>
        </w:rPr>
        <w:t>A Emissão, no que diz respeito às Debêntures, visa cumprir as disposições do Guia ANBIMA para Ofertas de Títulos ESG, conforme aplicáveis na Data de Emissão da Oferta.</w:t>
      </w:r>
    </w:p>
    <w:p w14:paraId="4DA890CC" w14:textId="77777777" w:rsidR="0053704D" w:rsidRPr="001E6E9D" w:rsidRDefault="0053704D" w:rsidP="00DC7081">
      <w:pPr>
        <w:pStyle w:val="Ttulo1"/>
        <w:rPr>
          <w:lang w:eastAsia="pt-BR"/>
        </w:rPr>
      </w:pPr>
      <w:bookmarkStart w:id="116" w:name="_Ref158844927"/>
      <w:bookmarkStart w:id="117" w:name="_Ref158845068"/>
      <w:bookmarkStart w:id="118" w:name="_Ref158845357"/>
      <w:bookmarkStart w:id="119" w:name="_Ref158845395"/>
      <w:bookmarkStart w:id="120" w:name="_Toc159073477"/>
      <w:bookmarkStart w:id="121" w:name="_Toc184129219"/>
      <w:r w:rsidRPr="001E6E9D">
        <w:rPr>
          <w:lang w:eastAsia="pt-BR"/>
        </w:rPr>
        <w:lastRenderedPageBreak/>
        <w:t>4.</w:t>
      </w:r>
      <w:r w:rsidR="00FC6851" w:rsidRPr="001E6E9D">
        <w:rPr>
          <w:lang w:eastAsia="pt-BR"/>
        </w:rPr>
        <w:t xml:space="preserve"> </w:t>
      </w:r>
      <w:r w:rsidRPr="001E6E9D">
        <w:rPr>
          <w:lang w:eastAsia="pt-BR"/>
        </w:rPr>
        <w:t>FATORES DE RISCO</w:t>
      </w:r>
      <w:bookmarkEnd w:id="116"/>
      <w:bookmarkEnd w:id="117"/>
      <w:bookmarkEnd w:id="118"/>
      <w:bookmarkEnd w:id="119"/>
      <w:bookmarkEnd w:id="120"/>
      <w:bookmarkEnd w:id="121"/>
    </w:p>
    <w:p w14:paraId="4731AE92" w14:textId="77777777" w:rsidR="003468A1" w:rsidRPr="001E6E9D" w:rsidRDefault="0053704D" w:rsidP="00DC7081">
      <w:pPr>
        <w:tabs>
          <w:tab w:val="left" w:pos="851"/>
        </w:tabs>
        <w:autoSpaceDE w:val="0"/>
        <w:autoSpaceDN w:val="0"/>
        <w:rPr>
          <w:rFonts w:asciiTheme="minorHAnsi" w:eastAsia="Times New Roman" w:hAnsiTheme="minorHAnsi" w:cstheme="minorHAnsi"/>
          <w:iCs/>
          <w:szCs w:val="20"/>
          <w:lang w:eastAsia="pt-BR"/>
        </w:rPr>
      </w:pPr>
      <w:r w:rsidRPr="001E6E9D">
        <w:rPr>
          <w:rFonts w:asciiTheme="minorHAnsi" w:eastAsia="Times New Roman" w:hAnsiTheme="minorHAnsi" w:cstheme="minorHAnsi"/>
          <w:iCs/>
          <w:szCs w:val="20"/>
          <w:lang w:eastAsia="pt-BR"/>
        </w:rPr>
        <w:t xml:space="preserve">O investimento nas Debêntures da Oferta envolve a exposição a determinados riscos. </w:t>
      </w:r>
    </w:p>
    <w:p w14:paraId="5802F0BA" w14:textId="06E746D8" w:rsidR="003468A1" w:rsidRPr="001E6E9D" w:rsidRDefault="0053704D" w:rsidP="00DC7081">
      <w:pPr>
        <w:tabs>
          <w:tab w:val="left" w:pos="851"/>
        </w:tabs>
        <w:autoSpaceDE w:val="0"/>
        <w:autoSpaceDN w:val="0"/>
        <w:rPr>
          <w:rFonts w:asciiTheme="minorHAnsi" w:eastAsia="Times New Roman" w:hAnsiTheme="minorHAnsi" w:cstheme="minorHAnsi"/>
          <w:iCs/>
          <w:szCs w:val="20"/>
          <w:lang w:eastAsia="pt-BR"/>
        </w:rPr>
      </w:pPr>
      <w:r w:rsidRPr="001E6E9D">
        <w:rPr>
          <w:rFonts w:asciiTheme="minorHAnsi" w:eastAsia="Times New Roman" w:hAnsiTheme="minorHAnsi" w:cstheme="minorHAnsi"/>
          <w:iCs/>
          <w:szCs w:val="20"/>
          <w:lang w:eastAsia="pt-BR"/>
        </w:rPr>
        <w:t xml:space="preserve">Antes de tomar qualquer decisão de investimento nas Debêntures, os potenciais investidores devem analisar cuidadosamente todas as informações contidas na Escritura de Emissão, neste Prospecto, no formulário de referência da Emissora, incorporado a este Prospecto como </w:t>
      </w:r>
      <w:r w:rsidRPr="001E6E9D">
        <w:rPr>
          <w:rFonts w:asciiTheme="minorHAnsi" w:eastAsia="Times New Roman" w:hAnsiTheme="minorHAnsi" w:cstheme="minorHAnsi"/>
          <w:iCs/>
          <w:szCs w:val="20"/>
          <w:u w:val="single"/>
          <w:lang w:eastAsia="pt-BR"/>
        </w:rPr>
        <w:t xml:space="preserve">Anexo </w:t>
      </w:r>
      <w:r w:rsidR="00850BEF">
        <w:rPr>
          <w:rFonts w:asciiTheme="minorHAnsi" w:eastAsia="Times New Roman" w:hAnsiTheme="minorHAnsi" w:cstheme="minorHAnsi"/>
          <w:iCs/>
          <w:szCs w:val="20"/>
          <w:u w:val="single"/>
          <w:lang w:eastAsia="pt-BR"/>
        </w:rPr>
        <w:t>IX</w:t>
      </w:r>
      <w:r w:rsidR="00603BA6" w:rsidRPr="001E6E9D">
        <w:rPr>
          <w:rFonts w:asciiTheme="minorHAnsi" w:eastAsia="Times New Roman" w:hAnsiTheme="minorHAnsi" w:cstheme="minorHAnsi"/>
          <w:iCs/>
          <w:szCs w:val="20"/>
          <w:u w:val="single"/>
          <w:lang w:eastAsia="pt-BR"/>
        </w:rPr>
        <w:t xml:space="preserve"> </w:t>
      </w:r>
      <w:r w:rsidRPr="001E6E9D">
        <w:rPr>
          <w:rFonts w:asciiTheme="minorHAnsi" w:eastAsia="Times New Roman" w:hAnsiTheme="minorHAnsi" w:cstheme="minorHAnsi"/>
          <w:iCs/>
          <w:szCs w:val="20"/>
          <w:lang w:eastAsia="pt-BR"/>
        </w:rPr>
        <w:t>(</w:t>
      </w:r>
      <w:r w:rsidR="000D5E35" w:rsidRPr="001E6E9D">
        <w:rPr>
          <w:rFonts w:asciiTheme="minorHAnsi" w:eastAsia="Times New Roman" w:hAnsiTheme="minorHAnsi" w:cstheme="minorHAnsi"/>
          <w:iCs/>
          <w:szCs w:val="20"/>
          <w:lang w:eastAsia="pt-BR"/>
        </w:rPr>
        <w:t>“</w:t>
      </w:r>
      <w:r w:rsidRPr="001E6E9D">
        <w:rPr>
          <w:rFonts w:asciiTheme="minorHAnsi" w:eastAsia="Times New Roman" w:hAnsiTheme="minorHAnsi" w:cstheme="minorHAnsi"/>
          <w:b/>
          <w:bCs/>
          <w:iCs/>
          <w:szCs w:val="20"/>
          <w:lang w:eastAsia="pt-BR"/>
        </w:rPr>
        <w:t>Formulário de Referência da Emissora</w:t>
      </w:r>
      <w:r w:rsidRPr="001E6E9D">
        <w:rPr>
          <w:rFonts w:asciiTheme="minorHAnsi" w:eastAsia="Times New Roman" w:hAnsiTheme="minorHAnsi" w:cstheme="minorHAnsi"/>
          <w:iCs/>
          <w:szCs w:val="20"/>
          <w:lang w:eastAsia="pt-BR"/>
        </w:rPr>
        <w:t xml:space="preserve">”) – elaborado exclusivamente para conformidade com a exigência do artigo 25, § 2º, inciso I, da Resolução CVM </w:t>
      </w:r>
      <w:r w:rsidR="000D5E35" w:rsidRPr="001E6E9D">
        <w:rPr>
          <w:rFonts w:asciiTheme="minorHAnsi" w:eastAsia="Times New Roman" w:hAnsiTheme="minorHAnsi" w:cstheme="minorHAnsi"/>
          <w:iCs/>
          <w:szCs w:val="20"/>
          <w:lang w:eastAsia="pt-BR"/>
        </w:rPr>
        <w:t>nº</w:t>
      </w:r>
      <w:r w:rsidRPr="001E6E9D">
        <w:rPr>
          <w:rFonts w:asciiTheme="minorHAnsi" w:eastAsia="Times New Roman" w:hAnsiTheme="minorHAnsi" w:cstheme="minorHAnsi"/>
          <w:iCs/>
          <w:szCs w:val="20"/>
          <w:lang w:eastAsia="pt-BR"/>
        </w:rPr>
        <w:t xml:space="preserve"> 80, de 29 de março de 2022, conforme em vigor</w:t>
      </w:r>
      <w:r w:rsidR="00DD4B42" w:rsidRPr="001E6E9D">
        <w:rPr>
          <w:rFonts w:asciiTheme="minorHAnsi" w:eastAsia="Times New Roman" w:hAnsiTheme="minorHAnsi" w:cstheme="minorHAnsi"/>
          <w:iCs/>
          <w:szCs w:val="20"/>
          <w:lang w:eastAsia="pt-BR"/>
        </w:rPr>
        <w:t xml:space="preserve"> (</w:t>
      </w:r>
      <w:r w:rsidR="000D5E35" w:rsidRPr="001E6E9D">
        <w:rPr>
          <w:rFonts w:asciiTheme="minorHAnsi" w:eastAsia="Times New Roman" w:hAnsiTheme="minorHAnsi" w:cstheme="minorHAnsi"/>
          <w:iCs/>
          <w:szCs w:val="20"/>
          <w:lang w:eastAsia="pt-BR"/>
        </w:rPr>
        <w:t>“</w:t>
      </w:r>
      <w:r w:rsidR="00DD4B42" w:rsidRPr="001E6E9D">
        <w:rPr>
          <w:rFonts w:asciiTheme="minorHAnsi" w:eastAsia="Times New Roman" w:hAnsiTheme="minorHAnsi" w:cstheme="minorHAnsi"/>
          <w:b/>
          <w:bCs/>
          <w:iCs/>
          <w:szCs w:val="20"/>
          <w:lang w:eastAsia="pt-BR"/>
        </w:rPr>
        <w:t>Resolução CVM 80</w:t>
      </w:r>
      <w:r w:rsidR="00DD4B42" w:rsidRPr="001E6E9D">
        <w:rPr>
          <w:rFonts w:asciiTheme="minorHAnsi" w:eastAsia="Times New Roman" w:hAnsiTheme="minorHAnsi" w:cstheme="minorHAnsi"/>
          <w:iCs/>
          <w:szCs w:val="20"/>
          <w:lang w:eastAsia="pt-BR"/>
        </w:rPr>
        <w:t>”)</w:t>
      </w:r>
      <w:r w:rsidRPr="001E6E9D">
        <w:rPr>
          <w:rFonts w:asciiTheme="minorHAnsi" w:eastAsia="Times New Roman" w:hAnsiTheme="minorHAnsi" w:cstheme="minorHAnsi"/>
          <w:iCs/>
          <w:szCs w:val="20"/>
          <w:lang w:eastAsia="pt-BR"/>
        </w:rPr>
        <w:t>, considerando que a Oferta é destinada exclusivamente a Investidores Qualificados –, e nas demonstrações financeiras da Emissora e suas notas explicativas. Os negócios, a situação financeira, os resultados operacionais, o fluxo de caixa, a liquidez e/ou os negócios atuais e futuros da Emissora e das Fiadoras poderão ser afetados de maneira adversa por qualquer dos fatores de risco descritos a seguir. O preço de mercado das Debêntures poderá diminuir em razão de qualquer desses e/ou de outros fatores de risco, hipóteses em que os potenciais investidores poderão perder parte substancial de seu investimento nas Debêntures. Os riscos descritos abaixo são, na data deste Prospecto, aqueles que a Emissora conhece e que acredita que podem afetar a Emissora, as Fiadoras e/ou a Oferta adversamente de forma relevante.</w:t>
      </w:r>
    </w:p>
    <w:p w14:paraId="03D9F9AC" w14:textId="035EFCAD" w:rsidR="003468A1" w:rsidRPr="001E6E9D" w:rsidRDefault="0053704D" w:rsidP="00DC7081">
      <w:pPr>
        <w:tabs>
          <w:tab w:val="left" w:pos="851"/>
        </w:tabs>
        <w:autoSpaceDE w:val="0"/>
        <w:autoSpaceDN w:val="0"/>
        <w:rPr>
          <w:rFonts w:asciiTheme="minorHAnsi" w:eastAsia="Times New Roman" w:hAnsiTheme="minorHAnsi" w:cstheme="minorHAnsi"/>
          <w:iCs/>
          <w:szCs w:val="20"/>
          <w:lang w:eastAsia="pt-BR"/>
        </w:rPr>
      </w:pPr>
      <w:r w:rsidRPr="001E6E9D">
        <w:rPr>
          <w:rFonts w:asciiTheme="minorHAnsi" w:eastAsia="Times New Roman" w:hAnsiTheme="minorHAnsi" w:cstheme="minorHAnsi"/>
          <w:iCs/>
          <w:szCs w:val="20"/>
          <w:lang w:eastAsia="pt-BR"/>
        </w:rPr>
        <w:t>Além disso, riscos adicionais não conhecidos ou que a Emissora considere atualmente irrelevantes também poderão afet</w:t>
      </w:r>
      <w:r w:rsidR="009D4C56" w:rsidRPr="001E6E9D">
        <w:rPr>
          <w:rFonts w:asciiTheme="minorHAnsi" w:eastAsia="Times New Roman" w:hAnsiTheme="minorHAnsi" w:cstheme="minorHAnsi"/>
          <w:iCs/>
          <w:szCs w:val="20"/>
          <w:lang w:eastAsia="pt-BR"/>
        </w:rPr>
        <w:t>ar a si</w:t>
      </w:r>
      <w:r w:rsidRPr="001E6E9D">
        <w:rPr>
          <w:rFonts w:asciiTheme="minorHAnsi" w:eastAsia="Times New Roman" w:hAnsiTheme="minorHAnsi" w:cstheme="minorHAnsi"/>
          <w:iCs/>
          <w:szCs w:val="20"/>
          <w:lang w:eastAsia="pt-BR"/>
        </w:rPr>
        <w:t xml:space="preserve">, as Fiadoras e/ou a Oferta adversamente. Para os fins desta </w:t>
      </w:r>
      <w:r w:rsidRPr="001E6E9D">
        <w:rPr>
          <w:rFonts w:asciiTheme="minorHAnsi" w:eastAsia="Times New Roman" w:hAnsiTheme="minorHAnsi" w:cstheme="minorHAnsi"/>
          <w:iCs/>
          <w:szCs w:val="20"/>
          <w:u w:val="single"/>
          <w:lang w:eastAsia="pt-BR"/>
        </w:rPr>
        <w:t>seção 4</w:t>
      </w:r>
      <w:r w:rsidRPr="001E6E9D">
        <w:rPr>
          <w:rFonts w:asciiTheme="minorHAnsi" w:eastAsia="Times New Roman" w:hAnsiTheme="minorHAnsi" w:cstheme="minorHAnsi"/>
          <w:iCs/>
          <w:szCs w:val="20"/>
          <w:lang w:eastAsia="pt-BR"/>
        </w:rPr>
        <w:t xml:space="preserve">, exceto se expressamente indicado de maneira diversa ou se o contexto assim o exigir, a menção ao fato de que um risco, incerteza ou problema poderá causar ou ter ou causará ou terá </w:t>
      </w:r>
      <w:r w:rsidR="000D5E35" w:rsidRPr="001E6E9D">
        <w:rPr>
          <w:rFonts w:asciiTheme="minorHAnsi" w:eastAsia="Times New Roman" w:hAnsiTheme="minorHAnsi" w:cstheme="minorHAnsi"/>
          <w:iCs/>
          <w:szCs w:val="20"/>
          <w:lang w:eastAsia="pt-BR"/>
        </w:rPr>
        <w:t>“</w:t>
      </w:r>
      <w:r w:rsidRPr="001E6E9D">
        <w:rPr>
          <w:rFonts w:asciiTheme="minorHAnsi" w:eastAsia="Times New Roman" w:hAnsiTheme="minorHAnsi" w:cstheme="minorHAnsi"/>
          <w:iCs/>
          <w:szCs w:val="20"/>
          <w:lang w:eastAsia="pt-BR"/>
        </w:rPr>
        <w:t xml:space="preserve">efeito adverso” ou </w:t>
      </w:r>
      <w:r w:rsidR="000D5E35" w:rsidRPr="001E6E9D">
        <w:rPr>
          <w:rFonts w:asciiTheme="minorHAnsi" w:eastAsia="Times New Roman" w:hAnsiTheme="minorHAnsi" w:cstheme="minorHAnsi"/>
          <w:iCs/>
          <w:szCs w:val="20"/>
          <w:lang w:eastAsia="pt-BR"/>
        </w:rPr>
        <w:t>“</w:t>
      </w:r>
      <w:r w:rsidRPr="001E6E9D">
        <w:rPr>
          <w:rFonts w:asciiTheme="minorHAnsi" w:eastAsia="Times New Roman" w:hAnsiTheme="minorHAnsi" w:cstheme="minorHAnsi"/>
          <w:iCs/>
          <w:szCs w:val="20"/>
          <w:lang w:eastAsia="pt-BR"/>
        </w:rPr>
        <w:t xml:space="preserve">efeito negativo” para a Emissora e/ou para as Fiadoras, ou expressões similares, significa que tal risco, incerteza ou problema poderá causar efeito adverso relevante nos negócios, na situação financeira, nos resultados operacionais, no fluxo de caixa, na liquidez e/ou nos negócios atuais e futuros da Emissora e/ou das Fiadoras, bem como no preço das Debêntures. Expressões similares incluídas nesta </w:t>
      </w:r>
      <w:r w:rsidRPr="001E6E9D">
        <w:rPr>
          <w:rFonts w:asciiTheme="minorHAnsi" w:eastAsia="Times New Roman" w:hAnsiTheme="minorHAnsi" w:cstheme="minorHAnsi"/>
          <w:iCs/>
          <w:szCs w:val="20"/>
          <w:u w:val="single"/>
          <w:lang w:eastAsia="pt-BR"/>
        </w:rPr>
        <w:t>seção 4</w:t>
      </w:r>
      <w:r w:rsidRPr="001E6E9D">
        <w:rPr>
          <w:rFonts w:asciiTheme="minorHAnsi" w:eastAsia="Times New Roman" w:hAnsiTheme="minorHAnsi" w:cstheme="minorHAnsi"/>
          <w:iCs/>
          <w:szCs w:val="20"/>
          <w:lang w:eastAsia="pt-BR"/>
        </w:rPr>
        <w:t xml:space="preserve"> devem ser compreendidas nesse contexto.</w:t>
      </w:r>
    </w:p>
    <w:p w14:paraId="5C4BF6C0" w14:textId="77777777" w:rsidR="003468A1" w:rsidRPr="001E6E9D" w:rsidRDefault="0053704D" w:rsidP="00DC7081">
      <w:pPr>
        <w:tabs>
          <w:tab w:val="left" w:pos="851"/>
        </w:tabs>
        <w:autoSpaceDE w:val="0"/>
        <w:autoSpaceDN w:val="0"/>
        <w:rPr>
          <w:rFonts w:asciiTheme="minorHAnsi" w:eastAsia="Times New Roman" w:hAnsiTheme="minorHAnsi" w:cstheme="minorHAnsi"/>
          <w:iCs/>
          <w:szCs w:val="20"/>
          <w:lang w:eastAsia="pt-BR"/>
        </w:rPr>
      </w:pPr>
      <w:r w:rsidRPr="001E6E9D">
        <w:rPr>
          <w:rFonts w:asciiTheme="minorHAnsi" w:eastAsia="Times New Roman" w:hAnsiTheme="minorHAnsi" w:cstheme="minorHAnsi"/>
          <w:iCs/>
          <w:szCs w:val="20"/>
          <w:lang w:eastAsia="pt-BR"/>
        </w:rPr>
        <w:t xml:space="preserve">Ademais, não obstante a subdivisão desta </w:t>
      </w:r>
      <w:r w:rsidRPr="001E6E9D">
        <w:rPr>
          <w:rFonts w:asciiTheme="minorHAnsi" w:eastAsia="Times New Roman" w:hAnsiTheme="minorHAnsi" w:cstheme="minorHAnsi"/>
          <w:iCs/>
          <w:szCs w:val="20"/>
          <w:u w:val="single"/>
          <w:lang w:eastAsia="pt-BR"/>
        </w:rPr>
        <w:t>seção 4</w:t>
      </w:r>
      <w:r w:rsidRPr="001E6E9D">
        <w:rPr>
          <w:rFonts w:asciiTheme="minorHAnsi" w:eastAsia="Times New Roman" w:hAnsiTheme="minorHAnsi" w:cstheme="minorHAnsi"/>
          <w:iCs/>
          <w:szCs w:val="20"/>
          <w:lang w:eastAsia="pt-BR"/>
        </w:rPr>
        <w:t xml:space="preserve">, determinados fatores de risco que estejam em um item podem também se aplicar a outros itens desta </w:t>
      </w:r>
      <w:r w:rsidRPr="001E6E9D">
        <w:rPr>
          <w:rFonts w:asciiTheme="minorHAnsi" w:eastAsia="Times New Roman" w:hAnsiTheme="minorHAnsi" w:cstheme="minorHAnsi"/>
          <w:iCs/>
          <w:szCs w:val="20"/>
          <w:u w:val="single"/>
          <w:lang w:eastAsia="pt-BR"/>
        </w:rPr>
        <w:t>seção 4</w:t>
      </w:r>
      <w:r w:rsidRPr="001E6E9D">
        <w:rPr>
          <w:rFonts w:asciiTheme="minorHAnsi" w:eastAsia="Times New Roman" w:hAnsiTheme="minorHAnsi" w:cstheme="minorHAnsi"/>
          <w:iCs/>
          <w:szCs w:val="20"/>
          <w:lang w:eastAsia="pt-BR"/>
        </w:rPr>
        <w:t>.</w:t>
      </w:r>
    </w:p>
    <w:p w14:paraId="69461796" w14:textId="77777777" w:rsidR="003468A1" w:rsidRPr="001E6E9D" w:rsidRDefault="0053704D" w:rsidP="00DC7081">
      <w:pPr>
        <w:tabs>
          <w:tab w:val="left" w:pos="851"/>
        </w:tabs>
        <w:autoSpaceDE w:val="0"/>
        <w:autoSpaceDN w:val="0"/>
        <w:rPr>
          <w:rFonts w:asciiTheme="minorHAnsi" w:eastAsia="Times New Roman" w:hAnsiTheme="minorHAnsi" w:cstheme="minorHAnsi"/>
          <w:b/>
          <w:bCs/>
          <w:iCs/>
          <w:szCs w:val="20"/>
          <w:lang w:eastAsia="pt-BR"/>
        </w:rPr>
      </w:pPr>
      <w:r w:rsidRPr="001E6E9D">
        <w:rPr>
          <w:rFonts w:asciiTheme="minorHAnsi" w:eastAsia="Times New Roman" w:hAnsiTheme="minorHAnsi" w:cstheme="minorHAnsi"/>
          <w:b/>
          <w:bCs/>
          <w:iCs/>
          <w:szCs w:val="20"/>
          <w:lang w:eastAsia="pt-BR"/>
        </w:rPr>
        <w:t>ANTES DE TOMAR UMA DECISÃO DE INVESTIMENTO NAS DEBÊNTURES, OS POTENCIAIS INVESTIDORES QUALIFICADOS DEVEM CONSIDERAR CUIDADOSAMENTE, À LUZ DE SEUS PRÓPRIOS OBJETIVOS E SITUAÇÃO FINANCEIRA, TODAS AS INFORMAÇÕES DISPONÍVEIS NA ESCRITURA DE EMISSÃO, NESTE PROSPECTO E NO FORMULÁRIO DE REFERÊNCIA DA EMISSORA. A OFERTA NÃO É ADEQUADA A INVESTIDORES QUALIFICADOS QUE NÃO TENHAM PROFUNDO CONHECIMENTO DOS RISCOS AQUI ENVOLVIDOS, QUE NÃO TENHAM ACESSO A CONSULTORIA ESPECIALIZADA E/OU QUE NECESSITEM DE LIQUIDEZ CONSIDERÁVEL COM RELAÇÃO ÀS DEBÊNTURES. RECOMENDA-SE QUE OS POTENCIAIS INVESTIDORES QUALIFICADOS CONTATEM SEUS CONSULTORES JURÍDICOS E FINANCEIROS ANTES DE INVESTIR NAS DEBÊNTURES.</w:t>
      </w:r>
    </w:p>
    <w:p w14:paraId="4103CEA7" w14:textId="77777777" w:rsidR="003468A1" w:rsidRPr="001E6E9D" w:rsidRDefault="0053704D" w:rsidP="00DC7081">
      <w:pPr>
        <w:pStyle w:val="Ttulo2"/>
      </w:pPr>
      <w:bookmarkStart w:id="122" w:name="_Ref158844928"/>
      <w:bookmarkStart w:id="123" w:name="_Toc159073478"/>
      <w:bookmarkStart w:id="124" w:name="_Toc184129220"/>
      <w:r w:rsidRPr="001E6E9D">
        <w:t>4.1.</w:t>
      </w:r>
      <w:r w:rsidR="00FC6851" w:rsidRPr="001E6E9D">
        <w:t xml:space="preserve"> </w:t>
      </w:r>
      <w:r w:rsidRPr="001E6E9D">
        <w:t>Em ordem decrescente de relevância, os principais fatores de risco associados à Oferta e à Emissora, incluindo os riscos: (a) associados a títulos quirografários, sem preferência ou subordinados, caso aplicável, e ao consequente impacto nos pagamentos aos investidores em caso de insolvência; e (b) relacionados com os terceiros prestadores de garantia, se houver, na medida em que sejam relevantes para a sua capacidade de cumprir o seu compromisso nos termos das garantias</w:t>
      </w:r>
      <w:bookmarkEnd w:id="122"/>
      <w:bookmarkEnd w:id="123"/>
      <w:bookmarkEnd w:id="124"/>
    </w:p>
    <w:p w14:paraId="4A1BAB7E" w14:textId="13BEFCA8" w:rsidR="003468A1" w:rsidRPr="001E6E9D" w:rsidRDefault="0053704D" w:rsidP="00DC7081">
      <w:pPr>
        <w:tabs>
          <w:tab w:val="left" w:pos="851"/>
        </w:tabs>
        <w:autoSpaceDE w:val="0"/>
        <w:autoSpaceDN w:val="0"/>
        <w:rPr>
          <w:rFonts w:asciiTheme="minorHAnsi" w:eastAsia="Times New Roman" w:hAnsiTheme="minorHAnsi" w:cstheme="minorHAnsi"/>
          <w:iCs/>
          <w:szCs w:val="20"/>
          <w:lang w:eastAsia="pt-BR"/>
        </w:rPr>
      </w:pPr>
      <w:r w:rsidRPr="001E6E9D">
        <w:rPr>
          <w:rFonts w:asciiTheme="minorHAnsi" w:eastAsia="Times New Roman" w:hAnsiTheme="minorHAnsi" w:cstheme="minorHAnsi"/>
          <w:iCs/>
          <w:szCs w:val="20"/>
          <w:lang w:eastAsia="pt-BR"/>
        </w:rPr>
        <w:t xml:space="preserve">Abaixo, a Emissora apresenta fatores de risco relacionados: </w:t>
      </w:r>
      <w:r w:rsidRPr="001E6E9D">
        <w:rPr>
          <w:rFonts w:asciiTheme="minorHAnsi" w:eastAsia="Times New Roman" w:hAnsiTheme="minorHAnsi" w:cstheme="minorHAnsi"/>
          <w:b/>
          <w:bCs/>
          <w:iCs/>
          <w:szCs w:val="20"/>
          <w:lang w:eastAsia="pt-BR"/>
        </w:rPr>
        <w:t>(i)</w:t>
      </w:r>
      <w:r w:rsidRPr="001E6E9D">
        <w:rPr>
          <w:rFonts w:asciiTheme="minorHAnsi" w:eastAsia="Times New Roman" w:hAnsiTheme="minorHAnsi" w:cstheme="minorHAnsi"/>
          <w:iCs/>
          <w:szCs w:val="20"/>
          <w:lang w:eastAsia="pt-BR"/>
        </w:rPr>
        <w:t xml:space="preserve"> às Debêntures, às Garantias, à Emissão e à Oferta; </w:t>
      </w:r>
      <w:r w:rsidRPr="001E6E9D">
        <w:rPr>
          <w:rFonts w:asciiTheme="minorHAnsi" w:eastAsia="Times New Roman" w:hAnsiTheme="minorHAnsi" w:cstheme="minorHAnsi"/>
          <w:b/>
          <w:bCs/>
          <w:iCs/>
          <w:szCs w:val="20"/>
          <w:lang w:eastAsia="pt-BR"/>
        </w:rPr>
        <w:t>(ii)</w:t>
      </w:r>
      <w:r w:rsidRPr="001E6E9D">
        <w:rPr>
          <w:rFonts w:asciiTheme="minorHAnsi" w:eastAsia="Times New Roman" w:hAnsiTheme="minorHAnsi" w:cstheme="minorHAnsi"/>
          <w:iCs/>
          <w:szCs w:val="20"/>
          <w:lang w:eastAsia="pt-BR"/>
        </w:rPr>
        <w:t xml:space="preserve"> às atividades da Emissora;</w:t>
      </w:r>
      <w:r w:rsidR="00AB4700" w:rsidRPr="001E6E9D">
        <w:rPr>
          <w:rFonts w:asciiTheme="minorHAnsi" w:eastAsia="Times New Roman" w:hAnsiTheme="minorHAnsi" w:cstheme="minorHAnsi"/>
          <w:iCs/>
          <w:szCs w:val="20"/>
          <w:lang w:eastAsia="pt-BR"/>
        </w:rPr>
        <w:t xml:space="preserve"> e </w:t>
      </w:r>
      <w:r w:rsidRPr="001E6E9D">
        <w:rPr>
          <w:rFonts w:asciiTheme="minorHAnsi" w:eastAsia="Times New Roman" w:hAnsiTheme="minorHAnsi" w:cstheme="minorHAnsi"/>
          <w:b/>
          <w:bCs/>
          <w:iCs/>
          <w:szCs w:val="20"/>
          <w:lang w:eastAsia="pt-BR"/>
        </w:rPr>
        <w:t>(iii)</w:t>
      </w:r>
      <w:r w:rsidRPr="001E6E9D">
        <w:rPr>
          <w:rFonts w:asciiTheme="minorHAnsi" w:eastAsia="Times New Roman" w:hAnsiTheme="minorHAnsi" w:cstheme="minorHAnsi"/>
          <w:iCs/>
          <w:szCs w:val="20"/>
          <w:lang w:eastAsia="pt-BR"/>
        </w:rPr>
        <w:t xml:space="preserve"> aos terceiros prestadores de garantia.</w:t>
      </w:r>
    </w:p>
    <w:p w14:paraId="228EDDE9" w14:textId="77777777" w:rsidR="003468A1" w:rsidRPr="001E6E9D" w:rsidRDefault="0053704D" w:rsidP="00DC7081">
      <w:pPr>
        <w:pStyle w:val="Ttulo3"/>
        <w:widowControl/>
        <w:rPr>
          <w:rFonts w:asciiTheme="minorHAnsi" w:hAnsiTheme="minorHAnsi"/>
        </w:rPr>
      </w:pPr>
      <w:bookmarkStart w:id="125" w:name="_Ref158844929"/>
      <w:r w:rsidRPr="001E6E9D">
        <w:rPr>
          <w:rFonts w:asciiTheme="minorHAnsi" w:hAnsiTheme="minorHAnsi"/>
        </w:rPr>
        <w:t>4.1.1.</w:t>
      </w:r>
      <w:r w:rsidR="00FC6851" w:rsidRPr="001E6E9D">
        <w:rPr>
          <w:rFonts w:asciiTheme="minorHAnsi" w:hAnsiTheme="minorHAnsi"/>
        </w:rPr>
        <w:t xml:space="preserve"> </w:t>
      </w:r>
      <w:r w:rsidRPr="001E6E9D">
        <w:rPr>
          <w:rFonts w:asciiTheme="minorHAnsi" w:hAnsiTheme="minorHAnsi"/>
        </w:rPr>
        <w:t>Fatores de risco relacionados às Debêntures, às Garantias, à Emissão e à Oferta</w:t>
      </w:r>
      <w:bookmarkEnd w:id="125"/>
    </w:p>
    <w:p w14:paraId="5DE40504" w14:textId="3CBE7C06" w:rsidR="003468A1" w:rsidRPr="001E6E9D" w:rsidRDefault="0053704D" w:rsidP="00DC7081">
      <w:pPr>
        <w:pStyle w:val="Ttulo4"/>
        <w:rPr>
          <w:rFonts w:asciiTheme="minorHAnsi" w:hAnsiTheme="minorHAnsi"/>
        </w:rPr>
      </w:pPr>
      <w:bookmarkStart w:id="126" w:name="_Ref158844930"/>
      <w:r w:rsidRPr="001E6E9D">
        <w:rPr>
          <w:rFonts w:asciiTheme="minorHAnsi" w:hAnsiTheme="minorHAnsi"/>
        </w:rPr>
        <w:t xml:space="preserve">Caso as Debêntures deixem de satisfazer determinadas características que as enquadrem como </w:t>
      </w:r>
      <w:r w:rsidR="0071644C" w:rsidRPr="001E6E9D">
        <w:rPr>
          <w:rFonts w:asciiTheme="minorHAnsi" w:hAnsiTheme="minorHAnsi"/>
        </w:rPr>
        <w:t>debêntures incentivadas</w:t>
      </w:r>
      <w:r w:rsidRPr="001E6E9D">
        <w:rPr>
          <w:rFonts w:asciiTheme="minorHAnsi" w:hAnsiTheme="minorHAnsi"/>
        </w:rPr>
        <w:t>, a Emissora não pode garantir que elas continuarão a receber o tratamento tributário diferenciado previsto na Lei 12.431, inclusive, a Emissora não pode garantir que a Lei 12.431 não será novamente alterada, questionada, extinta ou substituída por leis mais restritivas</w:t>
      </w:r>
      <w:bookmarkEnd w:id="126"/>
    </w:p>
    <w:p w14:paraId="0FA14E56"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da Lei 12.431, foi reduzida para 0% (zero por cento) a alíquota do imposto de renda incidente sobre os rendimentos auferidos por pessoas residentes no exterior que tenham se utilizado dos mecanismos de investimento da Resolução CMN 4.373, e que não sejam residentes ou domiciliados em jurisdição de tributação favorecida em decorrência da sua titularidade de, dentre outros, debêntures que atendam determinadas características, e que tenham sido objeto de oferta pública de distribuição por pessoas jurídicas de direito privado não classificadas como instituições financeiras e regulamentadas pelo CMN ou CVM.</w:t>
      </w:r>
    </w:p>
    <w:p w14:paraId="3A46F197" w14:textId="1A9BEFF7" w:rsidR="003468A1" w:rsidRPr="001E6E9D" w:rsidRDefault="0053704D" w:rsidP="001F7A69">
      <w:pPr>
        <w:tabs>
          <w:tab w:val="left" w:pos="851"/>
        </w:tabs>
        <w:autoSpaceDE w:val="0"/>
        <w:autoSpaceDN w:val="0"/>
        <w:spacing w:after="14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lastRenderedPageBreak/>
        <w:t xml:space="preserve">Adicionalmente, a Lei 12.431 estabeleceu que os rendimentos auferidos por pessoas físicas residentes no Brasil em decorrência de sua titularidade de </w:t>
      </w:r>
      <w:r w:rsidR="0071644C" w:rsidRPr="001E6E9D">
        <w:rPr>
          <w:rFonts w:asciiTheme="minorHAnsi" w:eastAsia="Times New Roman" w:hAnsiTheme="minorHAnsi" w:cstheme="minorHAnsi"/>
          <w:szCs w:val="20"/>
          <w:lang w:eastAsia="pt-BR"/>
        </w:rPr>
        <w:t>d</w:t>
      </w:r>
      <w:r w:rsidRPr="001E6E9D">
        <w:rPr>
          <w:rFonts w:asciiTheme="minorHAnsi" w:eastAsia="Times New Roman" w:hAnsiTheme="minorHAnsi" w:cstheme="minorHAnsi"/>
          <w:szCs w:val="20"/>
          <w:lang w:eastAsia="pt-BR"/>
        </w:rPr>
        <w:t xml:space="preserve">ebêntures </w:t>
      </w:r>
      <w:r w:rsidR="0071644C" w:rsidRPr="001E6E9D">
        <w:rPr>
          <w:rFonts w:asciiTheme="minorHAnsi" w:eastAsia="Times New Roman" w:hAnsiTheme="minorHAnsi" w:cstheme="minorHAnsi"/>
          <w:szCs w:val="20"/>
          <w:lang w:eastAsia="pt-BR"/>
        </w:rPr>
        <w:t>incentivadas</w:t>
      </w:r>
      <w:r w:rsidRPr="001E6E9D">
        <w:rPr>
          <w:rFonts w:asciiTheme="minorHAnsi" w:eastAsia="Times New Roman" w:hAnsiTheme="minorHAnsi" w:cstheme="minorHAnsi"/>
          <w:szCs w:val="20"/>
          <w:lang w:eastAsia="pt-BR"/>
        </w:rPr>
        <w:t xml:space="preserve">, que tenham sido emitidas por </w:t>
      </w:r>
      <w:r w:rsidR="0071644C" w:rsidRPr="001E6E9D">
        <w:rPr>
          <w:rFonts w:asciiTheme="minorHAnsi" w:eastAsia="Times New Roman" w:hAnsiTheme="minorHAnsi" w:cstheme="minorHAnsi"/>
          <w:szCs w:val="20"/>
          <w:lang w:eastAsia="pt-BR"/>
        </w:rPr>
        <w:t>sociedade controladora de sociedade de propósito específico com vistas a implementar projetos de investimento na área de infraestrutura</w:t>
      </w:r>
      <w:r w:rsidRPr="001E6E9D">
        <w:rPr>
          <w:rFonts w:asciiTheme="minorHAnsi" w:eastAsia="Times New Roman" w:hAnsiTheme="minorHAnsi" w:cstheme="minorHAnsi"/>
          <w:szCs w:val="20"/>
          <w:lang w:eastAsia="pt-BR"/>
        </w:rPr>
        <w:t>, sujeitam-se à incidência do imposto sobre a renda, exclusivamente na fonte, à alíquota de 0% (zero por cento), desde que os projetos de investimento na área de infraestrutura sejam considerados como prioritários na forma regulamentada pelo Governo Federal.</w:t>
      </w:r>
    </w:p>
    <w:p w14:paraId="4EAEF81C" w14:textId="23129E1C"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 xml:space="preserve">São consideradas </w:t>
      </w:r>
      <w:r w:rsidR="00036164" w:rsidRPr="001E6E9D">
        <w:rPr>
          <w:rFonts w:asciiTheme="minorHAnsi" w:eastAsia="Times New Roman" w:hAnsiTheme="minorHAnsi" w:cstheme="minorHAnsi"/>
          <w:spacing w:val="-2"/>
          <w:szCs w:val="20"/>
          <w:lang w:eastAsia="pt-BR"/>
        </w:rPr>
        <w:t>d</w:t>
      </w:r>
      <w:r w:rsidRPr="001E6E9D">
        <w:rPr>
          <w:rFonts w:asciiTheme="minorHAnsi" w:eastAsia="Times New Roman" w:hAnsiTheme="minorHAnsi" w:cstheme="minorHAnsi"/>
          <w:spacing w:val="-2"/>
          <w:szCs w:val="20"/>
          <w:lang w:eastAsia="pt-BR"/>
        </w:rPr>
        <w:t xml:space="preserve">ebêntures </w:t>
      </w:r>
      <w:r w:rsidR="00036164" w:rsidRPr="001E6E9D">
        <w:rPr>
          <w:rFonts w:asciiTheme="minorHAnsi" w:eastAsia="Times New Roman" w:hAnsiTheme="minorHAnsi" w:cstheme="minorHAnsi"/>
          <w:spacing w:val="-2"/>
          <w:szCs w:val="20"/>
          <w:lang w:eastAsia="pt-BR"/>
        </w:rPr>
        <w:t>incentivadas</w:t>
      </w:r>
      <w:r w:rsidRPr="001E6E9D">
        <w:rPr>
          <w:rFonts w:asciiTheme="minorHAnsi" w:eastAsia="Times New Roman" w:hAnsiTheme="minorHAnsi" w:cstheme="minorHAnsi"/>
          <w:spacing w:val="-2"/>
          <w:szCs w:val="20"/>
          <w:lang w:eastAsia="pt-BR"/>
        </w:rPr>
        <w:t xml:space="preserve"> as debêntures que, além dos requisitos descritos acima, cumpram, cumulativamente, com os seguintes requisitos: </w:t>
      </w:r>
      <w:r w:rsidRPr="001E6E9D">
        <w:rPr>
          <w:rFonts w:asciiTheme="minorHAnsi" w:eastAsia="Times New Roman" w:hAnsiTheme="minorHAnsi" w:cstheme="minorHAnsi"/>
          <w:b/>
          <w:bCs/>
          <w:spacing w:val="-2"/>
          <w:szCs w:val="20"/>
          <w:lang w:eastAsia="pt-BR"/>
        </w:rPr>
        <w:t>(i)</w:t>
      </w:r>
      <w:r w:rsidRPr="001E6E9D">
        <w:rPr>
          <w:rFonts w:asciiTheme="minorHAnsi" w:eastAsia="Times New Roman" w:hAnsiTheme="minorHAnsi" w:cstheme="minorHAnsi"/>
          <w:spacing w:val="-2"/>
          <w:szCs w:val="20"/>
          <w:lang w:eastAsia="pt-BR"/>
        </w:rPr>
        <w:t xml:space="preserve"> remuneração por taxa de juros prefixada, vinculada a índice de preço ou à taxa referencial; </w:t>
      </w:r>
      <w:r w:rsidRPr="001E6E9D">
        <w:rPr>
          <w:rFonts w:asciiTheme="minorHAnsi" w:eastAsia="Times New Roman" w:hAnsiTheme="minorHAnsi" w:cstheme="minorHAnsi"/>
          <w:b/>
          <w:bCs/>
          <w:spacing w:val="-2"/>
          <w:szCs w:val="20"/>
          <w:lang w:eastAsia="pt-BR"/>
        </w:rPr>
        <w:t>(ii)</w:t>
      </w:r>
      <w:r w:rsidRPr="001E6E9D">
        <w:rPr>
          <w:rFonts w:asciiTheme="minorHAnsi" w:eastAsia="Times New Roman" w:hAnsiTheme="minorHAnsi" w:cstheme="minorHAnsi"/>
          <w:spacing w:val="-2"/>
          <w:szCs w:val="20"/>
          <w:lang w:eastAsia="pt-BR"/>
        </w:rPr>
        <w:t xml:space="preserve"> não admitir a pactuação total ou parcial de taxa de juros pós-fixada; </w:t>
      </w:r>
      <w:r w:rsidRPr="001E6E9D">
        <w:rPr>
          <w:rFonts w:asciiTheme="minorHAnsi" w:eastAsia="Times New Roman" w:hAnsiTheme="minorHAnsi" w:cstheme="minorHAnsi"/>
          <w:b/>
          <w:bCs/>
          <w:spacing w:val="-2"/>
          <w:szCs w:val="20"/>
          <w:lang w:eastAsia="pt-BR"/>
        </w:rPr>
        <w:t>(iii)</w:t>
      </w:r>
      <w:r w:rsidRPr="001E6E9D">
        <w:rPr>
          <w:rFonts w:asciiTheme="minorHAnsi" w:eastAsia="Times New Roman" w:hAnsiTheme="minorHAnsi" w:cstheme="minorHAnsi"/>
          <w:spacing w:val="-2"/>
          <w:szCs w:val="20"/>
          <w:lang w:eastAsia="pt-BR"/>
        </w:rPr>
        <w:t xml:space="preserve"> prazo médio ponderado superior a 4 (quatro) anos; </w:t>
      </w:r>
      <w:r w:rsidRPr="001E6E9D">
        <w:rPr>
          <w:rFonts w:asciiTheme="minorHAnsi" w:eastAsia="Times New Roman" w:hAnsiTheme="minorHAnsi" w:cstheme="minorHAnsi"/>
          <w:b/>
          <w:bCs/>
          <w:spacing w:val="-2"/>
          <w:szCs w:val="20"/>
          <w:lang w:eastAsia="pt-BR"/>
        </w:rPr>
        <w:t>(iv)</w:t>
      </w:r>
      <w:r w:rsidRPr="001E6E9D">
        <w:rPr>
          <w:rFonts w:asciiTheme="minorHAnsi" w:eastAsia="Times New Roman" w:hAnsiTheme="minorHAnsi" w:cstheme="minorHAnsi"/>
          <w:spacing w:val="-2"/>
          <w:szCs w:val="20"/>
          <w:lang w:eastAsia="pt-BR"/>
        </w:rPr>
        <w:t xml:space="preserve"> vedação à recompra do título ou valor mobiliário pelo respectivo emissor ou parte a ele relacionada nos 2 (dois) primeiros anos após a sua emissão e à liquidação antecipada por meio de resgate ou pré-pagamento, salvo na forma a ser regulamentada pelo CMN; </w:t>
      </w:r>
      <w:r w:rsidRPr="001E6E9D">
        <w:rPr>
          <w:rFonts w:asciiTheme="minorHAnsi" w:eastAsia="Times New Roman" w:hAnsiTheme="minorHAnsi" w:cstheme="minorHAnsi"/>
          <w:b/>
          <w:bCs/>
          <w:spacing w:val="-2"/>
          <w:szCs w:val="20"/>
          <w:lang w:eastAsia="pt-BR"/>
        </w:rPr>
        <w:t>(v)</w:t>
      </w:r>
      <w:r w:rsidRPr="001E6E9D">
        <w:rPr>
          <w:rFonts w:asciiTheme="minorHAnsi" w:eastAsia="Times New Roman" w:hAnsiTheme="minorHAnsi" w:cstheme="minorHAnsi"/>
          <w:spacing w:val="-2"/>
          <w:szCs w:val="20"/>
          <w:lang w:eastAsia="pt-BR"/>
        </w:rPr>
        <w:t xml:space="preserve"> inexistência de compromisso de revenda assumido pelo titular; </w:t>
      </w:r>
      <w:r w:rsidRPr="001E6E9D">
        <w:rPr>
          <w:rFonts w:asciiTheme="minorHAnsi" w:eastAsia="Times New Roman" w:hAnsiTheme="minorHAnsi" w:cstheme="minorHAnsi"/>
          <w:b/>
          <w:bCs/>
          <w:spacing w:val="-2"/>
          <w:szCs w:val="20"/>
          <w:lang w:eastAsia="pt-BR"/>
        </w:rPr>
        <w:t>(vi)</w:t>
      </w:r>
      <w:r w:rsidRPr="001E6E9D">
        <w:rPr>
          <w:rFonts w:asciiTheme="minorHAnsi" w:eastAsia="Times New Roman" w:hAnsiTheme="minorHAnsi" w:cstheme="minorHAnsi"/>
          <w:spacing w:val="-2"/>
          <w:szCs w:val="20"/>
          <w:lang w:eastAsia="pt-BR"/>
        </w:rPr>
        <w:t xml:space="preserve"> prazo de pagamento periódico de rendimentos, se existente, com intervalos de, no mínimo, 180 (cento e oitenta) dias; </w:t>
      </w:r>
      <w:r w:rsidRPr="001E6E9D">
        <w:rPr>
          <w:rFonts w:asciiTheme="minorHAnsi" w:eastAsia="Times New Roman" w:hAnsiTheme="minorHAnsi" w:cstheme="minorHAnsi"/>
          <w:b/>
          <w:bCs/>
          <w:spacing w:val="-2"/>
          <w:szCs w:val="20"/>
          <w:lang w:eastAsia="pt-BR"/>
        </w:rPr>
        <w:t>(vii)</w:t>
      </w:r>
      <w:r w:rsidRPr="001E6E9D">
        <w:rPr>
          <w:rFonts w:asciiTheme="minorHAnsi" w:eastAsia="Times New Roman" w:hAnsiTheme="minorHAnsi" w:cstheme="minorHAnsi"/>
          <w:spacing w:val="-2"/>
          <w:szCs w:val="20"/>
          <w:lang w:eastAsia="pt-BR"/>
        </w:rPr>
        <w:t xml:space="preserve"> comprovação de que as debêntures estejam</w:t>
      </w:r>
      <w:r w:rsidR="0021324D" w:rsidRPr="001E6E9D">
        <w:rPr>
          <w:rFonts w:asciiTheme="minorHAnsi" w:eastAsia="Times New Roman" w:hAnsiTheme="minorHAnsi" w:cstheme="minorHAnsi"/>
          <w:spacing w:val="-2"/>
          <w:szCs w:val="20"/>
          <w:lang w:eastAsia="pt-BR"/>
        </w:rPr>
        <w:t xml:space="preserve"> </w:t>
      </w:r>
      <w:r w:rsidRPr="001E6E9D">
        <w:rPr>
          <w:rFonts w:asciiTheme="minorHAnsi" w:eastAsia="Times New Roman" w:hAnsiTheme="minorHAnsi" w:cstheme="minorHAnsi"/>
          <w:spacing w:val="-2"/>
          <w:szCs w:val="20"/>
          <w:lang w:eastAsia="pt-BR"/>
        </w:rPr>
        <w:t xml:space="preserve">registradas em sistema de registro devidamente autorizado pelo Banco Central ou pela CVM, nas suas respectivas áreas de competência; e </w:t>
      </w:r>
      <w:r w:rsidRPr="001E6E9D">
        <w:rPr>
          <w:rFonts w:asciiTheme="minorHAnsi" w:eastAsia="Times New Roman" w:hAnsiTheme="minorHAnsi" w:cstheme="minorHAnsi"/>
          <w:b/>
          <w:bCs/>
          <w:spacing w:val="-2"/>
          <w:szCs w:val="20"/>
          <w:lang w:eastAsia="pt-BR"/>
        </w:rPr>
        <w:t>(viii)</w:t>
      </w:r>
      <w:r w:rsidRPr="001E6E9D">
        <w:rPr>
          <w:rFonts w:asciiTheme="minorHAnsi" w:eastAsia="Times New Roman" w:hAnsiTheme="minorHAnsi" w:cstheme="minorHAnsi"/>
          <w:spacing w:val="-2"/>
          <w:szCs w:val="20"/>
          <w:lang w:eastAsia="pt-BR"/>
        </w:rPr>
        <w:t xml:space="preserve"> procedimento simplificado que demonstre o compromisso de alocar os recursos captados no pagamento futuro ou no reembolso de gastos, despesas ou dívidas relacionados a projetos</w:t>
      </w:r>
      <w:r w:rsidR="0021324D" w:rsidRPr="001E6E9D">
        <w:rPr>
          <w:rFonts w:asciiTheme="minorHAnsi" w:eastAsia="Times New Roman" w:hAnsiTheme="minorHAnsi" w:cstheme="minorHAnsi"/>
          <w:spacing w:val="-2"/>
          <w:szCs w:val="20"/>
          <w:lang w:eastAsia="pt-BR"/>
        </w:rPr>
        <w:t xml:space="preserve"> </w:t>
      </w:r>
      <w:r w:rsidRPr="001E6E9D">
        <w:rPr>
          <w:rFonts w:asciiTheme="minorHAnsi" w:eastAsia="Times New Roman" w:hAnsiTheme="minorHAnsi" w:cstheme="minorHAnsi"/>
          <w:spacing w:val="-2"/>
          <w:szCs w:val="20"/>
          <w:lang w:eastAsia="pt-BR"/>
        </w:rPr>
        <w:t xml:space="preserve">de investimento, inclusive os voltados à pesquisa, ao desenvolvimento e à inovação, sendo certo que o </w:t>
      </w:r>
      <w:r w:rsidR="007D2AC6" w:rsidRPr="001E6E9D">
        <w:rPr>
          <w:rFonts w:asciiTheme="minorHAnsi" w:eastAsia="Times New Roman" w:hAnsiTheme="minorHAnsi" w:cstheme="minorHAnsi"/>
          <w:spacing w:val="-2"/>
          <w:szCs w:val="20"/>
          <w:lang w:eastAsia="pt-BR"/>
        </w:rPr>
        <w:t>P</w:t>
      </w:r>
      <w:r w:rsidRPr="001E6E9D">
        <w:rPr>
          <w:rFonts w:asciiTheme="minorHAnsi" w:eastAsia="Times New Roman" w:hAnsiTheme="minorHAnsi" w:cstheme="minorHAnsi"/>
          <w:spacing w:val="-2"/>
          <w:szCs w:val="20"/>
          <w:lang w:eastAsia="pt-BR"/>
        </w:rPr>
        <w:t xml:space="preserve">rojeto no qual serão alocados os recursos </w:t>
      </w:r>
      <w:r w:rsidR="007D2AC6" w:rsidRPr="001E6E9D">
        <w:rPr>
          <w:rFonts w:asciiTheme="minorHAnsi" w:eastAsia="Times New Roman" w:hAnsiTheme="minorHAnsi" w:cstheme="minorHAnsi"/>
          <w:spacing w:val="-2"/>
          <w:szCs w:val="20"/>
          <w:lang w:eastAsia="pt-BR"/>
        </w:rPr>
        <w:t>é</w:t>
      </w:r>
      <w:r w:rsidRPr="001E6E9D">
        <w:rPr>
          <w:rFonts w:asciiTheme="minorHAnsi" w:eastAsia="Times New Roman" w:hAnsiTheme="minorHAnsi" w:cstheme="minorHAnsi"/>
          <w:spacing w:val="-2"/>
          <w:szCs w:val="20"/>
          <w:lang w:eastAsia="pt-BR"/>
        </w:rPr>
        <w:t xml:space="preserve"> considerado como prioritário </w:t>
      </w:r>
      <w:r w:rsidR="00036164" w:rsidRPr="001E6E9D">
        <w:rPr>
          <w:rFonts w:asciiTheme="minorHAnsi" w:eastAsia="Times New Roman" w:hAnsiTheme="minorHAnsi" w:cstheme="minorHAnsi"/>
          <w:spacing w:val="-2"/>
          <w:szCs w:val="20"/>
          <w:lang w:eastAsia="pt-BR"/>
        </w:rPr>
        <w:t>nos termos do artigo 17 do Decreto 11.964</w:t>
      </w:r>
      <w:r w:rsidRPr="001E6E9D">
        <w:rPr>
          <w:rFonts w:asciiTheme="minorHAnsi" w:eastAsia="Times New Roman" w:hAnsiTheme="minorHAnsi" w:cstheme="minorHAnsi"/>
          <w:spacing w:val="-2"/>
          <w:szCs w:val="20"/>
          <w:lang w:eastAsia="pt-BR"/>
        </w:rPr>
        <w:t>.</w:t>
      </w:r>
    </w:p>
    <w:p w14:paraId="2971243D" w14:textId="46424E94"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 xml:space="preserve">Dessa forma, caso as Debêntures deixem de satisfazer qualquer uma das características relacionadas nos itens </w:t>
      </w:r>
      <w:r w:rsidRPr="001E6E9D">
        <w:rPr>
          <w:rFonts w:asciiTheme="minorHAnsi" w:eastAsia="Times New Roman" w:hAnsiTheme="minorHAnsi" w:cstheme="minorHAnsi"/>
          <w:b/>
          <w:bCs/>
          <w:spacing w:val="-2"/>
          <w:szCs w:val="20"/>
          <w:lang w:eastAsia="pt-BR"/>
        </w:rPr>
        <w:t>(i)</w:t>
      </w:r>
      <w:r w:rsidRPr="001E6E9D">
        <w:rPr>
          <w:rFonts w:asciiTheme="minorHAnsi" w:eastAsia="Times New Roman" w:hAnsiTheme="minorHAnsi" w:cstheme="minorHAnsi"/>
          <w:spacing w:val="-2"/>
          <w:szCs w:val="20"/>
          <w:lang w:eastAsia="pt-BR"/>
        </w:rPr>
        <w:t xml:space="preserve"> a </w:t>
      </w:r>
      <w:r w:rsidRPr="001E6E9D">
        <w:rPr>
          <w:rFonts w:asciiTheme="minorHAnsi" w:eastAsia="Times New Roman" w:hAnsiTheme="minorHAnsi" w:cstheme="minorHAnsi"/>
          <w:b/>
          <w:bCs/>
          <w:spacing w:val="-2"/>
          <w:szCs w:val="20"/>
          <w:lang w:eastAsia="pt-BR"/>
        </w:rPr>
        <w:t>(viii)</w:t>
      </w:r>
      <w:r w:rsidRPr="001E6E9D">
        <w:rPr>
          <w:rFonts w:asciiTheme="minorHAnsi" w:eastAsia="Times New Roman" w:hAnsiTheme="minorHAnsi" w:cstheme="minorHAnsi"/>
          <w:spacing w:val="-2"/>
          <w:szCs w:val="20"/>
          <w:lang w:eastAsia="pt-BR"/>
        </w:rPr>
        <w:t xml:space="preserve"> do parágrafo anterior (inclusive em razão de qualquer direito de resgate das Debêntures previsto no §1º do artigo 231 da L</w:t>
      </w:r>
      <w:r w:rsidR="00036164" w:rsidRPr="001E6E9D">
        <w:rPr>
          <w:rFonts w:asciiTheme="minorHAnsi" w:eastAsia="Times New Roman" w:hAnsiTheme="minorHAnsi" w:cstheme="minorHAnsi"/>
          <w:spacing w:val="-2"/>
          <w:szCs w:val="20"/>
          <w:lang w:eastAsia="pt-BR"/>
        </w:rPr>
        <w:t xml:space="preserve">ei das </w:t>
      </w:r>
      <w:r w:rsidRPr="001E6E9D">
        <w:rPr>
          <w:rFonts w:asciiTheme="minorHAnsi" w:eastAsia="Times New Roman" w:hAnsiTheme="minorHAnsi" w:cstheme="minorHAnsi"/>
          <w:spacing w:val="-2"/>
          <w:szCs w:val="20"/>
          <w:lang w:eastAsia="pt-BR"/>
        </w:rPr>
        <w:t>S</w:t>
      </w:r>
      <w:r w:rsidR="00036164" w:rsidRPr="001E6E9D">
        <w:rPr>
          <w:rFonts w:asciiTheme="minorHAnsi" w:eastAsia="Times New Roman" w:hAnsiTheme="minorHAnsi" w:cstheme="minorHAnsi"/>
          <w:spacing w:val="-2"/>
          <w:szCs w:val="20"/>
          <w:lang w:eastAsia="pt-BR"/>
        </w:rPr>
        <w:t xml:space="preserve">ociedades por </w:t>
      </w:r>
      <w:r w:rsidRPr="001E6E9D">
        <w:rPr>
          <w:rFonts w:asciiTheme="minorHAnsi" w:eastAsia="Times New Roman" w:hAnsiTheme="minorHAnsi" w:cstheme="minorHAnsi"/>
          <w:spacing w:val="-2"/>
          <w:szCs w:val="20"/>
          <w:lang w:eastAsia="pt-BR"/>
        </w:rPr>
        <w:t>A</w:t>
      </w:r>
      <w:r w:rsidR="00036164" w:rsidRPr="001E6E9D">
        <w:rPr>
          <w:rFonts w:asciiTheme="minorHAnsi" w:eastAsia="Times New Roman" w:hAnsiTheme="minorHAnsi" w:cstheme="minorHAnsi"/>
          <w:spacing w:val="-2"/>
          <w:szCs w:val="20"/>
          <w:lang w:eastAsia="pt-BR"/>
        </w:rPr>
        <w:t>ções</w:t>
      </w:r>
      <w:r w:rsidRPr="001E6E9D">
        <w:rPr>
          <w:rFonts w:asciiTheme="minorHAnsi" w:eastAsia="Times New Roman" w:hAnsiTheme="minorHAnsi" w:cstheme="minorHAnsi"/>
          <w:spacing w:val="-2"/>
          <w:szCs w:val="20"/>
          <w:lang w:eastAsia="pt-BR"/>
        </w:rPr>
        <w:t>), a Emissora não pode garantir que as Debêntures continuarão a receber o tratamento tributário diferenciado previsto na Lei 12.431.</w:t>
      </w:r>
    </w:p>
    <w:p w14:paraId="7487F85F" w14:textId="1C486234"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 xml:space="preserve">Nesse sentido, nos termos da Escritura de Emissão, caso a qualquer momento durante a vigência da Emissão e até a data da liquidação integral das Debêntures: </w:t>
      </w:r>
      <w:r w:rsidRPr="001E6E9D">
        <w:rPr>
          <w:rFonts w:asciiTheme="minorHAnsi" w:eastAsia="Times New Roman" w:hAnsiTheme="minorHAnsi" w:cstheme="minorHAnsi"/>
          <w:b/>
          <w:bCs/>
          <w:spacing w:val="-2"/>
          <w:szCs w:val="20"/>
          <w:lang w:eastAsia="pt-BR"/>
        </w:rPr>
        <w:t>(i)</w:t>
      </w:r>
      <w:r w:rsidRPr="001E6E9D">
        <w:rPr>
          <w:rFonts w:asciiTheme="minorHAnsi" w:eastAsia="Times New Roman" w:hAnsiTheme="minorHAnsi" w:cstheme="minorHAnsi"/>
          <w:spacing w:val="-2"/>
          <w:szCs w:val="20"/>
          <w:lang w:eastAsia="pt-BR"/>
        </w:rPr>
        <w:t xml:space="preserve"> as Debêntures deixem de gozar do tratamento tributário previsto na Lei 12.431; ou </w:t>
      </w:r>
      <w:r w:rsidRPr="001E6E9D">
        <w:rPr>
          <w:rFonts w:asciiTheme="minorHAnsi" w:eastAsia="Times New Roman" w:hAnsiTheme="minorHAnsi" w:cstheme="minorHAnsi"/>
          <w:b/>
          <w:bCs/>
          <w:spacing w:val="-2"/>
          <w:szCs w:val="20"/>
          <w:lang w:eastAsia="pt-BR"/>
        </w:rPr>
        <w:t>(ii)</w:t>
      </w:r>
      <w:r w:rsidRPr="001E6E9D">
        <w:rPr>
          <w:rFonts w:asciiTheme="minorHAnsi" w:eastAsia="Times New Roman" w:hAnsiTheme="minorHAnsi" w:cstheme="minorHAnsi"/>
          <w:spacing w:val="-2"/>
          <w:szCs w:val="20"/>
          <w:lang w:eastAsia="pt-BR"/>
        </w:rPr>
        <w:t xml:space="preserve"> haja qualquer retenção de tributos sobre os rendimentos das Debêntures, por qualquer motivo, inclusive, sem limitação, em razão de revogação ou alteração da Lei 12.431 ou edição de lei determinando a incidência de imposto de renda retido na fonte ou quaisquer outros tributos sobre os rendimentos das Debêntures, em qualquer das hipóteses, a Emissora: </w:t>
      </w:r>
      <w:r w:rsidRPr="001E6E9D">
        <w:rPr>
          <w:rFonts w:asciiTheme="minorHAnsi" w:eastAsia="Times New Roman" w:hAnsiTheme="minorHAnsi" w:cstheme="minorHAnsi"/>
          <w:b/>
          <w:bCs/>
          <w:spacing w:val="-2"/>
          <w:szCs w:val="20"/>
          <w:lang w:eastAsia="pt-BR"/>
        </w:rPr>
        <w:t>(a)</w:t>
      </w:r>
      <w:r w:rsidRPr="001E6E9D">
        <w:rPr>
          <w:rFonts w:asciiTheme="minorHAnsi" w:eastAsia="Times New Roman" w:hAnsiTheme="minorHAnsi" w:cstheme="minorHAnsi"/>
          <w:spacing w:val="-2"/>
          <w:szCs w:val="20"/>
          <w:lang w:eastAsia="pt-BR"/>
        </w:rPr>
        <w:t xml:space="preserve"> deverá arcar com todos os tributos que venham a ser devidos pelos Debenturistas, bem como com qualquer multa a ser paga nos termos da Lei 12.431, se aplicável, de modo que a Emissora deverá acrescer aos pagamentos de Atualização Monetária</w:t>
      </w:r>
      <w:r w:rsidR="00036164" w:rsidRPr="001E6E9D">
        <w:rPr>
          <w:rFonts w:asciiTheme="minorHAnsi" w:eastAsia="Times New Roman" w:hAnsiTheme="minorHAnsi" w:cstheme="minorHAnsi"/>
          <w:spacing w:val="-2"/>
          <w:szCs w:val="20"/>
          <w:lang w:eastAsia="pt-BR"/>
        </w:rPr>
        <w:t xml:space="preserve"> e</w:t>
      </w:r>
      <w:r w:rsidRPr="001E6E9D">
        <w:rPr>
          <w:rFonts w:asciiTheme="minorHAnsi" w:eastAsia="Times New Roman" w:hAnsiTheme="minorHAnsi" w:cstheme="minorHAnsi"/>
          <w:spacing w:val="-2"/>
          <w:szCs w:val="20"/>
          <w:lang w:eastAsia="pt-BR"/>
        </w:rPr>
        <w:t xml:space="preserve"> Remuneração valores adicionais suficientes para que os Debenturistas recebam tais pagamentos como se os referidos valores não fossem incidentes; ou, </w:t>
      </w:r>
      <w:r w:rsidRPr="001E6E9D">
        <w:rPr>
          <w:rFonts w:asciiTheme="minorHAnsi" w:eastAsia="Times New Roman" w:hAnsiTheme="minorHAnsi" w:cstheme="minorHAnsi"/>
          <w:b/>
          <w:bCs/>
          <w:spacing w:val="-2"/>
          <w:szCs w:val="20"/>
          <w:lang w:eastAsia="pt-BR"/>
        </w:rPr>
        <w:t>(b)</w:t>
      </w:r>
      <w:r w:rsidRPr="001E6E9D">
        <w:rPr>
          <w:rFonts w:asciiTheme="minorHAnsi" w:eastAsia="Times New Roman" w:hAnsiTheme="minorHAnsi" w:cstheme="minorHAnsi"/>
          <w:spacing w:val="-2"/>
          <w:szCs w:val="20"/>
          <w:lang w:eastAsia="pt-BR"/>
        </w:rPr>
        <w:t xml:space="preserve"> sem prejuízo do disposto na alínea </w:t>
      </w:r>
      <w:r w:rsidRPr="001E6E9D">
        <w:rPr>
          <w:rFonts w:asciiTheme="minorHAnsi" w:eastAsia="Times New Roman" w:hAnsiTheme="minorHAnsi" w:cstheme="minorHAnsi"/>
          <w:b/>
          <w:bCs/>
          <w:spacing w:val="-2"/>
          <w:szCs w:val="20"/>
          <w:lang w:eastAsia="pt-BR"/>
        </w:rPr>
        <w:t>(a)</w:t>
      </w:r>
      <w:r w:rsidRPr="001E6E9D">
        <w:rPr>
          <w:rFonts w:asciiTheme="minorHAnsi" w:eastAsia="Times New Roman" w:hAnsiTheme="minorHAnsi" w:cstheme="minorHAnsi"/>
          <w:spacing w:val="-2"/>
          <w:szCs w:val="20"/>
          <w:lang w:eastAsia="pt-BR"/>
        </w:rPr>
        <w:t xml:space="preserve"> acima, estará autorizada, a seu exclusivo critério, a realizar resgate antecipado para a totalidade das Debêntures, independentemente de qualquer procedimento ou aprovação, desde que permitido pela legislação e regulamentação aplicáveis, incluindo, sem limitação, as regras expedidas pelo CMN. Não há como garantir que a Emissora terá recursos suficientes para arcar com todos os tributos que venham a ser devidos pelos Debenturistas, bem como com qualquer multa a ser paga nos termos da Lei 12.431, se aplicável, ou, se tiver, que isso não terá um efeito adverso para a Emissora.</w:t>
      </w:r>
    </w:p>
    <w:p w14:paraId="1F5047E7"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Adicionalmente, na hipótese de não aplicação dos Recursos no Projeto, é estabelecida uma penalidade de 20% (vinte por cento) sobre o valor não destinado ao Projeto, ainda que, em caso de penalidade, seja mantido o tratamento tributário diferenciado previsto na Lei 12.431 aos investidores nas Debêntures que sejam Pessoas Elegíveis. Não há como garantir que a Emissora terá recursos suficientes para o pagamento dessa penalidade ou, se tiver, que isso não terá um efeito adverso para a Emissora.</w:t>
      </w:r>
    </w:p>
    <w:p w14:paraId="197B9353" w14:textId="671AAA75" w:rsidR="001E6CF7" w:rsidRPr="001E6E9D" w:rsidRDefault="00A73677"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r w:rsidR="00C75E87" w:rsidRPr="001E6E9D">
        <w:rPr>
          <w:rFonts w:asciiTheme="minorHAnsi" w:eastAsia="Times New Roman" w:hAnsiTheme="minorHAnsi" w:cstheme="minorHAnsi"/>
          <w:spacing w:val="-2"/>
          <w:szCs w:val="20"/>
          <w:lang w:eastAsia="pt-BR"/>
        </w:rPr>
        <w:t xml:space="preserve"> </w:t>
      </w:r>
    </w:p>
    <w:p w14:paraId="65E33844" w14:textId="494D4CB8" w:rsidR="003468A1" w:rsidRPr="001E6E9D" w:rsidRDefault="0053704D" w:rsidP="001F7A69">
      <w:pPr>
        <w:tabs>
          <w:tab w:val="left" w:pos="851"/>
        </w:tabs>
        <w:autoSpaceDE w:val="0"/>
        <w:autoSpaceDN w:val="0"/>
        <w:spacing w:after="140"/>
        <w:rPr>
          <w:rFonts w:asciiTheme="minorHAnsi" w:eastAsia="Times New Roman" w:hAnsiTheme="minorHAnsi" w:cstheme="minorHAnsi"/>
          <w:b/>
          <w:bCs/>
          <w:i/>
          <w:iCs/>
          <w:spacing w:val="-2"/>
          <w:szCs w:val="20"/>
          <w:lang w:eastAsia="pt-BR"/>
        </w:rPr>
      </w:pPr>
      <w:r w:rsidRPr="001E6E9D">
        <w:rPr>
          <w:rFonts w:asciiTheme="minorHAnsi" w:eastAsia="Times New Roman" w:hAnsiTheme="minorHAnsi" w:cstheme="minorHAnsi"/>
          <w:b/>
          <w:bCs/>
          <w:i/>
          <w:iCs/>
          <w:spacing w:val="-2"/>
          <w:szCs w:val="20"/>
          <w:lang w:eastAsia="pt-BR"/>
        </w:rPr>
        <w:t xml:space="preserve">Caso a Emissora, por qualquer motivo, não cumpra com a manutenção de caracterização das Debêntures como </w:t>
      </w:r>
      <w:r w:rsidR="000D5E35" w:rsidRPr="001E6E9D">
        <w:rPr>
          <w:rFonts w:asciiTheme="minorHAnsi" w:eastAsia="Times New Roman" w:hAnsiTheme="minorHAnsi" w:cstheme="minorHAnsi"/>
          <w:b/>
          <w:bCs/>
          <w:i/>
          <w:iCs/>
          <w:spacing w:val="-2"/>
          <w:szCs w:val="20"/>
          <w:lang w:eastAsia="pt-BR"/>
        </w:rPr>
        <w:t>“</w:t>
      </w:r>
      <w:r w:rsidRPr="001E6E9D">
        <w:rPr>
          <w:rFonts w:asciiTheme="minorHAnsi" w:eastAsia="Times New Roman" w:hAnsiTheme="minorHAnsi" w:cstheme="minorHAnsi"/>
          <w:b/>
          <w:bCs/>
          <w:i/>
          <w:iCs/>
          <w:spacing w:val="-2"/>
          <w:szCs w:val="20"/>
          <w:lang w:eastAsia="pt-BR"/>
        </w:rPr>
        <w:t xml:space="preserve">debêntures verdes” (green bonds), as Debêntures serão descaracterizadas como </w:t>
      </w:r>
      <w:r w:rsidR="000D5E35" w:rsidRPr="001E6E9D">
        <w:rPr>
          <w:rFonts w:asciiTheme="minorHAnsi" w:eastAsia="Times New Roman" w:hAnsiTheme="minorHAnsi" w:cstheme="minorHAnsi"/>
          <w:b/>
          <w:bCs/>
          <w:i/>
          <w:iCs/>
          <w:spacing w:val="-2"/>
          <w:szCs w:val="20"/>
          <w:lang w:eastAsia="pt-BR"/>
        </w:rPr>
        <w:t>“</w:t>
      </w:r>
      <w:r w:rsidRPr="001E6E9D">
        <w:rPr>
          <w:rFonts w:asciiTheme="minorHAnsi" w:eastAsia="Times New Roman" w:hAnsiTheme="minorHAnsi" w:cstheme="minorHAnsi"/>
          <w:b/>
          <w:bCs/>
          <w:i/>
          <w:iCs/>
          <w:spacing w:val="-2"/>
          <w:szCs w:val="20"/>
          <w:lang w:eastAsia="pt-BR"/>
        </w:rPr>
        <w:t>debêntures verdes”, e as obrigações decorrentes das Debêntures podem vencer antecipadamente de forma automática, nos termos da Escritura de Emissão.</w:t>
      </w:r>
    </w:p>
    <w:p w14:paraId="58F27041" w14:textId="35B9C506" w:rsidR="003468A1" w:rsidRPr="001E6E9D" w:rsidRDefault="0053704D" w:rsidP="001F7A69">
      <w:pPr>
        <w:tabs>
          <w:tab w:val="left" w:pos="851"/>
        </w:tabs>
        <w:autoSpaceDE w:val="0"/>
        <w:autoSpaceDN w:val="0"/>
        <w:spacing w:after="140"/>
        <w:rPr>
          <w:rFonts w:asciiTheme="minorHAnsi" w:eastAsia="Times New Roman" w:hAnsiTheme="minorHAnsi" w:cstheme="minorHAnsi"/>
          <w:iCs/>
          <w:spacing w:val="-2"/>
          <w:szCs w:val="20"/>
          <w:lang w:eastAsia="pt-BR"/>
        </w:rPr>
      </w:pPr>
      <w:r w:rsidRPr="001E6E9D">
        <w:rPr>
          <w:rFonts w:asciiTheme="minorHAnsi" w:eastAsia="Times New Roman" w:hAnsiTheme="minorHAnsi" w:cstheme="minorHAnsi"/>
          <w:iCs/>
          <w:spacing w:val="-2"/>
          <w:szCs w:val="20"/>
          <w:lang w:eastAsia="pt-BR"/>
        </w:rPr>
        <w:t xml:space="preserve">Conforme descrito na </w:t>
      </w:r>
      <w:r w:rsidRPr="001E6E9D">
        <w:rPr>
          <w:rFonts w:asciiTheme="minorHAnsi" w:eastAsia="Times New Roman" w:hAnsiTheme="minorHAnsi" w:cstheme="minorHAnsi"/>
          <w:iCs/>
          <w:spacing w:val="-2"/>
          <w:szCs w:val="20"/>
          <w:u w:val="single"/>
          <w:lang w:eastAsia="pt-BR"/>
        </w:rPr>
        <w:t>subseção 3.8</w:t>
      </w:r>
      <w:r w:rsidRPr="001E6E9D">
        <w:rPr>
          <w:rFonts w:asciiTheme="minorHAnsi" w:eastAsia="Times New Roman" w:hAnsiTheme="minorHAnsi" w:cstheme="minorHAnsi"/>
          <w:iCs/>
          <w:spacing w:val="-2"/>
          <w:szCs w:val="20"/>
          <w:lang w:eastAsia="pt-BR"/>
        </w:rPr>
        <w:t xml:space="preserve"> deste Prospecto, as Debêntures são caracterizadas como verdes, com base no Parecer e no compromisso da Emissora em destinar os Recursos para o Projeto, em linha com a </w:t>
      </w:r>
      <w:r w:rsidRPr="001E6E9D">
        <w:rPr>
          <w:rFonts w:asciiTheme="minorHAnsi" w:eastAsia="Times New Roman" w:hAnsiTheme="minorHAnsi" w:cstheme="minorHAnsi"/>
          <w:iCs/>
          <w:spacing w:val="-2"/>
          <w:szCs w:val="20"/>
          <w:u w:val="single"/>
          <w:lang w:eastAsia="pt-BR"/>
        </w:rPr>
        <w:t>seção 3</w:t>
      </w:r>
      <w:r w:rsidRPr="001E6E9D">
        <w:rPr>
          <w:rFonts w:asciiTheme="minorHAnsi" w:eastAsia="Times New Roman" w:hAnsiTheme="minorHAnsi" w:cstheme="minorHAnsi"/>
          <w:iCs/>
          <w:spacing w:val="-2"/>
          <w:szCs w:val="20"/>
          <w:lang w:eastAsia="pt-BR"/>
        </w:rPr>
        <w:t xml:space="preserve"> deste Prospecto. Portanto, a Emissora possui obrigações socioambientais que serão monitoradas durante a vigência das</w:t>
      </w:r>
      <w:r w:rsidR="002E0CAA" w:rsidRPr="001E6E9D">
        <w:rPr>
          <w:rFonts w:asciiTheme="minorHAnsi" w:eastAsia="Times New Roman" w:hAnsiTheme="minorHAnsi" w:cstheme="minorHAnsi"/>
          <w:iCs/>
          <w:spacing w:val="-2"/>
          <w:szCs w:val="20"/>
          <w:lang w:eastAsia="pt-BR"/>
        </w:rPr>
        <w:t> </w:t>
      </w:r>
      <w:r w:rsidRPr="001E6E9D">
        <w:rPr>
          <w:rFonts w:asciiTheme="minorHAnsi" w:eastAsia="Times New Roman" w:hAnsiTheme="minorHAnsi" w:cstheme="minorHAnsi"/>
          <w:iCs/>
          <w:spacing w:val="-2"/>
          <w:szCs w:val="20"/>
          <w:lang w:eastAsia="pt-BR"/>
        </w:rPr>
        <w:t>Debêntures.</w:t>
      </w:r>
    </w:p>
    <w:p w14:paraId="67C94880" w14:textId="4216014D" w:rsidR="003468A1" w:rsidRPr="001E6E9D" w:rsidRDefault="0053704D" w:rsidP="001F7A69">
      <w:pPr>
        <w:tabs>
          <w:tab w:val="left" w:pos="851"/>
        </w:tabs>
        <w:autoSpaceDE w:val="0"/>
        <w:autoSpaceDN w:val="0"/>
        <w:spacing w:after="140"/>
        <w:rPr>
          <w:rFonts w:asciiTheme="minorHAnsi" w:eastAsia="Times New Roman" w:hAnsiTheme="minorHAnsi" w:cstheme="minorHAnsi"/>
          <w:iCs/>
          <w:spacing w:val="-2"/>
          <w:szCs w:val="20"/>
          <w:lang w:eastAsia="pt-BR"/>
        </w:rPr>
      </w:pPr>
      <w:r w:rsidRPr="001E6E9D">
        <w:rPr>
          <w:rFonts w:asciiTheme="minorHAnsi" w:eastAsia="Times New Roman" w:hAnsiTheme="minorHAnsi" w:cstheme="minorHAnsi"/>
          <w:iCs/>
          <w:spacing w:val="-2"/>
          <w:szCs w:val="20"/>
          <w:lang w:eastAsia="pt-BR"/>
        </w:rPr>
        <w:t xml:space="preserve">A respeito do Parecer: </w:t>
      </w:r>
      <w:r w:rsidRPr="001E6E9D">
        <w:rPr>
          <w:rFonts w:asciiTheme="minorHAnsi" w:eastAsia="Times New Roman" w:hAnsiTheme="minorHAnsi" w:cstheme="minorHAnsi"/>
          <w:b/>
          <w:bCs/>
          <w:iCs/>
          <w:spacing w:val="-2"/>
          <w:szCs w:val="20"/>
          <w:lang w:eastAsia="pt-BR"/>
        </w:rPr>
        <w:t>(i)</w:t>
      </w:r>
      <w:r w:rsidRPr="001E6E9D">
        <w:rPr>
          <w:rFonts w:asciiTheme="minorHAnsi" w:eastAsia="Times New Roman" w:hAnsiTheme="minorHAnsi" w:cstheme="minorHAnsi"/>
          <w:iCs/>
          <w:spacing w:val="-2"/>
          <w:szCs w:val="20"/>
          <w:lang w:eastAsia="pt-BR"/>
        </w:rPr>
        <w:t xml:space="preserve"> não há regulamentação aplicável à atividade da </w:t>
      </w:r>
      <w:r w:rsidR="007D2AC6" w:rsidRPr="001E6E9D">
        <w:rPr>
          <w:rFonts w:asciiTheme="minorHAnsi" w:eastAsia="Times New Roman" w:hAnsiTheme="minorHAnsi" w:cstheme="minorHAnsi"/>
          <w:iCs/>
          <w:spacing w:val="-2"/>
          <w:szCs w:val="20"/>
          <w:lang w:eastAsia="pt-BR"/>
        </w:rPr>
        <w:t>c</w:t>
      </w:r>
      <w:r w:rsidRPr="001E6E9D">
        <w:rPr>
          <w:rFonts w:asciiTheme="minorHAnsi" w:eastAsia="Times New Roman" w:hAnsiTheme="minorHAnsi" w:cstheme="minorHAnsi"/>
          <w:iCs/>
          <w:spacing w:val="-2"/>
          <w:szCs w:val="20"/>
          <w:lang w:eastAsia="pt-BR"/>
        </w:rPr>
        <w:t xml:space="preserve">onsultoria </w:t>
      </w:r>
      <w:r w:rsidR="007D2AC6" w:rsidRPr="001E6E9D">
        <w:rPr>
          <w:rFonts w:asciiTheme="minorHAnsi" w:eastAsia="Times New Roman" w:hAnsiTheme="minorHAnsi" w:cstheme="minorHAnsi"/>
          <w:iCs/>
          <w:spacing w:val="-2"/>
          <w:szCs w:val="20"/>
          <w:lang w:eastAsia="pt-BR"/>
        </w:rPr>
        <w:t>e</w:t>
      </w:r>
      <w:r w:rsidRPr="001E6E9D">
        <w:rPr>
          <w:rFonts w:asciiTheme="minorHAnsi" w:eastAsia="Times New Roman" w:hAnsiTheme="minorHAnsi" w:cstheme="minorHAnsi"/>
          <w:iCs/>
          <w:spacing w:val="-2"/>
          <w:szCs w:val="20"/>
          <w:lang w:eastAsia="pt-BR"/>
        </w:rPr>
        <w:t xml:space="preserve">specializada; </w:t>
      </w:r>
      <w:r w:rsidRPr="001E6E9D">
        <w:rPr>
          <w:rFonts w:asciiTheme="minorHAnsi" w:eastAsia="Times New Roman" w:hAnsiTheme="minorHAnsi" w:cstheme="minorHAnsi"/>
          <w:b/>
          <w:bCs/>
          <w:iCs/>
          <w:spacing w:val="-2"/>
          <w:szCs w:val="20"/>
          <w:lang w:eastAsia="pt-BR"/>
        </w:rPr>
        <w:t>(ii)</w:t>
      </w:r>
      <w:r w:rsidRPr="001E6E9D">
        <w:rPr>
          <w:rFonts w:asciiTheme="minorHAnsi" w:eastAsia="Times New Roman" w:hAnsiTheme="minorHAnsi" w:cstheme="minorHAnsi"/>
          <w:iCs/>
          <w:spacing w:val="-2"/>
          <w:szCs w:val="20"/>
          <w:lang w:eastAsia="pt-BR"/>
        </w:rPr>
        <w:t xml:space="preserve"> os Coordenadores não se responsabilizam pelo conteúdo do Parecer; e, </w:t>
      </w:r>
      <w:r w:rsidRPr="001E6E9D">
        <w:rPr>
          <w:rFonts w:asciiTheme="minorHAnsi" w:eastAsia="Times New Roman" w:hAnsiTheme="minorHAnsi" w:cstheme="minorHAnsi"/>
          <w:b/>
          <w:bCs/>
          <w:iCs/>
          <w:spacing w:val="-2"/>
          <w:szCs w:val="20"/>
          <w:lang w:eastAsia="pt-BR"/>
        </w:rPr>
        <w:t>(iii)</w:t>
      </w:r>
      <w:r w:rsidRPr="001E6E9D">
        <w:rPr>
          <w:rFonts w:asciiTheme="minorHAnsi" w:eastAsia="Times New Roman" w:hAnsiTheme="minorHAnsi" w:cstheme="minorHAnsi"/>
          <w:iCs/>
          <w:spacing w:val="-2"/>
          <w:szCs w:val="20"/>
          <w:lang w:eastAsia="pt-BR"/>
        </w:rPr>
        <w:t xml:space="preserve"> considerando os itens (i) e (ii), inexiste garantia sobre pareceres e relatórios de verificação externa, razão pela qual não há direito de ação, recurso, pedidos de indenização, entre outros, por parte dos investidores contra a Emissora e/ou contra os Coordenadores sobre o conteúdo do Parecer. </w:t>
      </w:r>
    </w:p>
    <w:p w14:paraId="2FEF3D01" w14:textId="70A71549" w:rsidR="003468A1" w:rsidRPr="001E6E9D" w:rsidRDefault="0053704D" w:rsidP="001F7A69">
      <w:pPr>
        <w:tabs>
          <w:tab w:val="left" w:pos="851"/>
        </w:tabs>
        <w:autoSpaceDE w:val="0"/>
        <w:autoSpaceDN w:val="0"/>
        <w:spacing w:after="160"/>
        <w:rPr>
          <w:rFonts w:asciiTheme="minorHAnsi" w:eastAsia="Times New Roman" w:hAnsiTheme="minorHAnsi" w:cstheme="minorHAnsi"/>
          <w:iCs/>
          <w:spacing w:val="-2"/>
          <w:szCs w:val="20"/>
          <w:lang w:eastAsia="pt-BR"/>
        </w:rPr>
      </w:pPr>
      <w:r w:rsidRPr="001E6E9D">
        <w:rPr>
          <w:rFonts w:asciiTheme="minorHAnsi" w:eastAsia="Times New Roman" w:hAnsiTheme="minorHAnsi" w:cstheme="minorHAnsi"/>
          <w:iCs/>
          <w:spacing w:val="-2"/>
          <w:szCs w:val="20"/>
          <w:lang w:eastAsia="pt-BR"/>
        </w:rPr>
        <w:lastRenderedPageBreak/>
        <w:t xml:space="preserve">Adicionalmente, os Coordenadores não se responsabilizarão pelo conteúdo do Parecer. Caso a Emissora: </w:t>
      </w:r>
      <w:r w:rsidRPr="001E6E9D">
        <w:rPr>
          <w:rFonts w:asciiTheme="minorHAnsi" w:eastAsia="Times New Roman" w:hAnsiTheme="minorHAnsi" w:cstheme="minorHAnsi"/>
          <w:b/>
          <w:bCs/>
          <w:iCs/>
          <w:spacing w:val="-2"/>
          <w:szCs w:val="20"/>
          <w:lang w:eastAsia="pt-BR"/>
        </w:rPr>
        <w:t>(i)</w:t>
      </w:r>
      <w:r w:rsidRPr="001E6E9D">
        <w:rPr>
          <w:rFonts w:asciiTheme="minorHAnsi" w:eastAsia="Times New Roman" w:hAnsiTheme="minorHAnsi" w:cstheme="minorHAnsi"/>
          <w:iCs/>
          <w:spacing w:val="-2"/>
          <w:szCs w:val="20"/>
          <w:lang w:eastAsia="pt-BR"/>
        </w:rPr>
        <w:t xml:space="preserve"> não cumpra com determinadas obrigações socioambientais; </w:t>
      </w:r>
      <w:r w:rsidRPr="001E6E9D">
        <w:rPr>
          <w:rFonts w:asciiTheme="minorHAnsi" w:eastAsia="Times New Roman" w:hAnsiTheme="minorHAnsi" w:cstheme="minorHAnsi"/>
          <w:b/>
          <w:bCs/>
          <w:iCs/>
          <w:spacing w:val="-2"/>
          <w:szCs w:val="20"/>
          <w:lang w:eastAsia="pt-BR"/>
        </w:rPr>
        <w:t>(ii)</w:t>
      </w:r>
      <w:r w:rsidRPr="001E6E9D">
        <w:rPr>
          <w:rFonts w:asciiTheme="minorHAnsi" w:eastAsia="Times New Roman" w:hAnsiTheme="minorHAnsi" w:cstheme="minorHAnsi"/>
          <w:iCs/>
          <w:spacing w:val="-2"/>
          <w:szCs w:val="20"/>
          <w:lang w:eastAsia="pt-BR"/>
        </w:rPr>
        <w:t xml:space="preserve"> tenha alguma repercussão negativa em sua reputação posterior ao encerramento da Oferta, inclusive em decorrência de </w:t>
      </w:r>
      <w:r w:rsidRPr="001E6E9D">
        <w:rPr>
          <w:rFonts w:asciiTheme="minorHAnsi" w:eastAsia="Times New Roman" w:hAnsiTheme="minorHAnsi" w:cstheme="minorHAnsi"/>
          <w:i/>
          <w:spacing w:val="-2"/>
          <w:szCs w:val="20"/>
          <w:lang w:eastAsia="pt-BR"/>
        </w:rPr>
        <w:t>greenwashing</w:t>
      </w:r>
      <w:r w:rsidRPr="001E6E9D">
        <w:rPr>
          <w:rFonts w:asciiTheme="minorHAnsi" w:eastAsia="Times New Roman" w:hAnsiTheme="minorHAnsi" w:cstheme="minorHAnsi"/>
          <w:iCs/>
          <w:spacing w:val="-2"/>
          <w:szCs w:val="20"/>
          <w:lang w:eastAsia="pt-BR"/>
        </w:rPr>
        <w:t xml:space="preserve"> ou de outras situações relacionadas ao não cumprimento dos compromissos assumidos na Emissão; </w:t>
      </w:r>
      <w:r w:rsidRPr="001E6E9D">
        <w:rPr>
          <w:rFonts w:asciiTheme="minorHAnsi" w:eastAsia="Times New Roman" w:hAnsiTheme="minorHAnsi" w:cstheme="minorHAnsi"/>
          <w:b/>
          <w:bCs/>
          <w:iCs/>
          <w:spacing w:val="-2"/>
          <w:szCs w:val="20"/>
          <w:lang w:eastAsia="pt-BR"/>
        </w:rPr>
        <w:t>(iii)</w:t>
      </w:r>
      <w:r w:rsidRPr="001E6E9D">
        <w:rPr>
          <w:rFonts w:asciiTheme="minorHAnsi" w:eastAsia="Times New Roman" w:hAnsiTheme="minorHAnsi" w:cstheme="minorHAnsi"/>
          <w:iCs/>
          <w:spacing w:val="-2"/>
          <w:szCs w:val="20"/>
          <w:lang w:eastAsia="pt-BR"/>
        </w:rPr>
        <w:t xml:space="preserve"> descumpra a obrigação de destinação dos </w:t>
      </w:r>
      <w:r w:rsidR="007D2AC6" w:rsidRPr="001E6E9D">
        <w:rPr>
          <w:rFonts w:asciiTheme="minorHAnsi" w:eastAsia="Times New Roman" w:hAnsiTheme="minorHAnsi" w:cstheme="minorHAnsi"/>
          <w:iCs/>
          <w:spacing w:val="-2"/>
          <w:szCs w:val="20"/>
          <w:lang w:eastAsia="pt-BR"/>
        </w:rPr>
        <w:t>r</w:t>
      </w:r>
      <w:r w:rsidRPr="001E6E9D">
        <w:rPr>
          <w:rFonts w:asciiTheme="minorHAnsi" w:eastAsia="Times New Roman" w:hAnsiTheme="minorHAnsi" w:cstheme="minorHAnsi"/>
          <w:iCs/>
          <w:spacing w:val="-2"/>
          <w:szCs w:val="20"/>
          <w:lang w:eastAsia="pt-BR"/>
        </w:rPr>
        <w:t xml:space="preserve">ecursos; e/ou </w:t>
      </w:r>
      <w:r w:rsidRPr="001E6E9D">
        <w:rPr>
          <w:rFonts w:asciiTheme="minorHAnsi" w:eastAsia="Times New Roman" w:hAnsiTheme="minorHAnsi" w:cstheme="minorHAnsi"/>
          <w:b/>
          <w:bCs/>
          <w:iCs/>
          <w:spacing w:val="-2"/>
          <w:szCs w:val="20"/>
          <w:lang w:eastAsia="pt-BR"/>
        </w:rPr>
        <w:t xml:space="preserve">(iv) </w:t>
      </w:r>
      <w:r w:rsidRPr="001E6E9D">
        <w:rPr>
          <w:rFonts w:asciiTheme="minorHAnsi" w:eastAsia="Times New Roman" w:hAnsiTheme="minorHAnsi" w:cstheme="minorHAnsi"/>
          <w:iCs/>
          <w:spacing w:val="-2"/>
          <w:szCs w:val="20"/>
          <w:lang w:eastAsia="pt-BR"/>
        </w:rPr>
        <w:t xml:space="preserve">não produza </w:t>
      </w:r>
      <w:r w:rsidR="00F6789A" w:rsidRPr="001E6E9D">
        <w:rPr>
          <w:rFonts w:asciiTheme="minorHAnsi" w:eastAsia="Times New Roman" w:hAnsiTheme="minorHAnsi" w:cstheme="minorHAnsi"/>
          <w:iCs/>
          <w:spacing w:val="-2"/>
          <w:szCs w:val="20"/>
          <w:lang w:eastAsia="pt-BR"/>
        </w:rPr>
        <w:t>o Reporte de Alocação de Título Verde</w:t>
      </w:r>
      <w:r w:rsidR="00F6789A" w:rsidRPr="001E6E9D" w:rsidDel="00F6789A">
        <w:rPr>
          <w:rFonts w:asciiTheme="minorHAnsi" w:eastAsia="Times New Roman" w:hAnsiTheme="minorHAnsi" w:cstheme="minorHAnsi"/>
          <w:iCs/>
          <w:spacing w:val="-2"/>
          <w:szCs w:val="20"/>
          <w:lang w:eastAsia="pt-BR"/>
        </w:rPr>
        <w:t xml:space="preserve"> </w:t>
      </w:r>
      <w:r w:rsidRPr="001E6E9D">
        <w:rPr>
          <w:rFonts w:asciiTheme="minorHAnsi" w:eastAsia="Times New Roman" w:hAnsiTheme="minorHAnsi" w:cstheme="minorHAnsi"/>
          <w:iCs/>
          <w:spacing w:val="-2"/>
          <w:szCs w:val="20"/>
          <w:lang w:eastAsia="pt-BR"/>
        </w:rPr>
        <w:t>anualmente – e, portanto, não cumpra com a manutenção de caracterização das Debêntures como verdes –, as Debêntures serão descaracterizadas como verdes, o que pode acarretar o vencimento antecipado das obrigações decorrentes das</w:t>
      </w:r>
      <w:r w:rsidR="009A22ED" w:rsidRPr="001E6E9D">
        <w:rPr>
          <w:rFonts w:asciiTheme="minorHAnsi" w:eastAsia="Times New Roman" w:hAnsiTheme="minorHAnsi" w:cstheme="minorHAnsi"/>
          <w:iCs/>
          <w:spacing w:val="-2"/>
          <w:szCs w:val="20"/>
          <w:lang w:eastAsia="pt-BR"/>
        </w:rPr>
        <w:t xml:space="preserve"> </w:t>
      </w:r>
      <w:r w:rsidRPr="001E6E9D">
        <w:rPr>
          <w:rFonts w:asciiTheme="minorHAnsi" w:eastAsia="Times New Roman" w:hAnsiTheme="minorHAnsi" w:cstheme="minorHAnsi"/>
          <w:iCs/>
          <w:spacing w:val="-2"/>
          <w:szCs w:val="20"/>
          <w:lang w:eastAsia="pt-BR"/>
        </w:rPr>
        <w:t xml:space="preserve">Debêntures. </w:t>
      </w:r>
    </w:p>
    <w:p w14:paraId="0804156D" w14:textId="78FD3A05" w:rsidR="003468A1" w:rsidRPr="001E6E9D" w:rsidRDefault="0053704D" w:rsidP="001F7A69">
      <w:pPr>
        <w:tabs>
          <w:tab w:val="left" w:pos="851"/>
        </w:tabs>
        <w:autoSpaceDE w:val="0"/>
        <w:autoSpaceDN w:val="0"/>
        <w:spacing w:after="160"/>
        <w:rPr>
          <w:rFonts w:asciiTheme="minorHAnsi" w:eastAsia="Times New Roman" w:hAnsiTheme="minorHAnsi" w:cstheme="minorHAnsi"/>
          <w:iCs/>
          <w:szCs w:val="20"/>
          <w:lang w:eastAsia="pt-BR"/>
        </w:rPr>
      </w:pPr>
      <w:r w:rsidRPr="001E6E9D">
        <w:rPr>
          <w:rFonts w:asciiTheme="minorHAnsi" w:eastAsia="Times New Roman" w:hAnsiTheme="minorHAnsi" w:cstheme="minorHAnsi"/>
          <w:iCs/>
          <w:szCs w:val="20"/>
          <w:lang w:eastAsia="pt-BR"/>
        </w:rPr>
        <w:t xml:space="preserve">Caso as Debêntures sejam descaracterizadas por qualquer motivo, considerando eventuais alterações posteriores ao encerramento da Oferta e consequências decorrentes dessas situações, a descaracterização poderá impactar nos negócios e reputação da Emissora, não havendo garantias de que a Emissora irá dispor de recursos suficientes em caixa para realizar o pagamento das Debêntures na hipótese de ocorrência de um evento de vencimento antecipado de suas obrigações. A descaracterização poderá ainda: </w:t>
      </w:r>
      <w:r w:rsidRPr="001E6E9D">
        <w:rPr>
          <w:rFonts w:asciiTheme="minorHAnsi" w:eastAsia="Times New Roman" w:hAnsiTheme="minorHAnsi" w:cstheme="minorHAnsi"/>
          <w:b/>
          <w:bCs/>
          <w:iCs/>
          <w:szCs w:val="20"/>
          <w:lang w:eastAsia="pt-BR"/>
        </w:rPr>
        <w:t xml:space="preserve">(i) </w:t>
      </w:r>
      <w:r w:rsidRPr="001E6E9D">
        <w:rPr>
          <w:rFonts w:asciiTheme="minorHAnsi" w:eastAsia="Times New Roman" w:hAnsiTheme="minorHAnsi" w:cstheme="minorHAnsi"/>
          <w:iCs/>
          <w:szCs w:val="20"/>
          <w:lang w:eastAsia="pt-BR"/>
        </w:rPr>
        <w:t xml:space="preserve">impactar negativamente o potencial Investidor Qualificado em razão de eventual desenquadramento de política de investimento; e/ou </w:t>
      </w:r>
      <w:r w:rsidRPr="001E6E9D">
        <w:rPr>
          <w:rFonts w:asciiTheme="minorHAnsi" w:eastAsia="Times New Roman" w:hAnsiTheme="minorHAnsi" w:cstheme="minorHAnsi"/>
          <w:b/>
          <w:bCs/>
          <w:iCs/>
          <w:szCs w:val="20"/>
          <w:lang w:eastAsia="pt-BR"/>
        </w:rPr>
        <w:t>(ii)</w:t>
      </w:r>
      <w:r w:rsidR="00635436" w:rsidRPr="001E6E9D">
        <w:rPr>
          <w:rFonts w:asciiTheme="minorHAnsi" w:eastAsia="Times New Roman" w:hAnsiTheme="minorHAnsi" w:cstheme="minorHAnsi"/>
          <w:iCs/>
          <w:szCs w:val="20"/>
          <w:lang w:eastAsia="pt-BR"/>
        </w:rPr>
        <w:t> </w:t>
      </w:r>
      <w:r w:rsidRPr="001E6E9D">
        <w:rPr>
          <w:rFonts w:asciiTheme="minorHAnsi" w:eastAsia="Times New Roman" w:hAnsiTheme="minorHAnsi" w:cstheme="minorHAnsi"/>
          <w:iCs/>
          <w:szCs w:val="20"/>
          <w:lang w:eastAsia="pt-BR"/>
        </w:rPr>
        <w:t xml:space="preserve">afetar negativamente o preço das Debêntures e sua negociação no mercado secundário. Para todos os fins da Oferta, o Parecer </w:t>
      </w:r>
      <w:r w:rsidR="00F6789A" w:rsidRPr="001E6E9D">
        <w:rPr>
          <w:rFonts w:asciiTheme="minorHAnsi" w:eastAsia="Times New Roman" w:hAnsiTheme="minorHAnsi" w:cstheme="minorHAnsi"/>
          <w:iCs/>
          <w:szCs w:val="20"/>
          <w:lang w:eastAsia="pt-BR"/>
        </w:rPr>
        <w:t xml:space="preserve">e o Framework </w:t>
      </w:r>
      <w:r w:rsidRPr="001E6E9D">
        <w:rPr>
          <w:rFonts w:asciiTheme="minorHAnsi" w:eastAsia="Times New Roman" w:hAnsiTheme="minorHAnsi" w:cstheme="minorHAnsi"/>
          <w:iCs/>
          <w:szCs w:val="20"/>
          <w:lang w:eastAsia="pt-BR"/>
        </w:rPr>
        <w:t>não constitu</w:t>
      </w:r>
      <w:r w:rsidR="00F6789A" w:rsidRPr="001E6E9D">
        <w:rPr>
          <w:rFonts w:asciiTheme="minorHAnsi" w:eastAsia="Times New Roman" w:hAnsiTheme="minorHAnsi" w:cstheme="minorHAnsi"/>
          <w:iCs/>
          <w:szCs w:val="20"/>
          <w:lang w:eastAsia="pt-BR"/>
        </w:rPr>
        <w:t>em</w:t>
      </w:r>
      <w:r w:rsidRPr="001E6E9D">
        <w:rPr>
          <w:rFonts w:asciiTheme="minorHAnsi" w:eastAsia="Times New Roman" w:hAnsiTheme="minorHAnsi" w:cstheme="minorHAnsi"/>
          <w:iCs/>
          <w:szCs w:val="20"/>
          <w:lang w:eastAsia="pt-BR"/>
        </w:rPr>
        <w:t xml:space="preserve"> documento da Oferta e, portanto, não fo</w:t>
      </w:r>
      <w:r w:rsidR="00F6789A" w:rsidRPr="001E6E9D">
        <w:rPr>
          <w:rFonts w:asciiTheme="minorHAnsi" w:eastAsia="Times New Roman" w:hAnsiTheme="minorHAnsi" w:cstheme="minorHAnsi"/>
          <w:iCs/>
          <w:szCs w:val="20"/>
          <w:lang w:eastAsia="pt-BR"/>
        </w:rPr>
        <w:t>ram</w:t>
      </w:r>
      <w:r w:rsidRPr="001E6E9D">
        <w:rPr>
          <w:rFonts w:asciiTheme="minorHAnsi" w:eastAsia="Times New Roman" w:hAnsiTheme="minorHAnsi" w:cstheme="minorHAnsi"/>
          <w:iCs/>
          <w:szCs w:val="20"/>
          <w:lang w:eastAsia="pt-BR"/>
        </w:rPr>
        <w:t xml:space="preserve"> objeto de análise e/ou avaliação pelos Coordenadores.</w:t>
      </w:r>
    </w:p>
    <w:p w14:paraId="5DC5815C" w14:textId="0FB253EA" w:rsidR="00A73677" w:rsidRPr="001E6E9D" w:rsidRDefault="00A73677" w:rsidP="001F7A69">
      <w:pPr>
        <w:tabs>
          <w:tab w:val="left" w:pos="851"/>
        </w:tabs>
        <w:autoSpaceDE w:val="0"/>
        <w:autoSpaceDN w:val="0"/>
        <w:spacing w:after="160"/>
        <w:rPr>
          <w:rFonts w:asciiTheme="minorHAnsi" w:eastAsia="Times New Roman" w:hAnsiTheme="minorHAnsi" w:cstheme="minorHAnsi"/>
          <w:iCs/>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Menor</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Menor</w:t>
      </w:r>
    </w:p>
    <w:p w14:paraId="238B5CE8" w14:textId="59B947F5" w:rsidR="00E72817" w:rsidRPr="001E6E9D" w:rsidRDefault="00E72817" w:rsidP="001F7A69">
      <w:pPr>
        <w:tabs>
          <w:tab w:val="left" w:pos="851"/>
        </w:tabs>
        <w:autoSpaceDE w:val="0"/>
        <w:autoSpaceDN w:val="0"/>
        <w:spacing w:after="160"/>
        <w:rPr>
          <w:rFonts w:asciiTheme="minorHAnsi" w:eastAsia="Times New Roman" w:hAnsiTheme="minorHAnsi" w:cstheme="minorHAnsi"/>
          <w:b/>
          <w:bCs/>
          <w:i/>
          <w:iCs/>
          <w:szCs w:val="20"/>
          <w:lang w:eastAsia="pt-BR"/>
        </w:rPr>
      </w:pPr>
      <w:r w:rsidRPr="001E6E9D">
        <w:rPr>
          <w:rFonts w:asciiTheme="minorHAnsi" w:eastAsia="Times New Roman" w:hAnsiTheme="minorHAnsi" w:cstheme="minorHAnsi"/>
          <w:b/>
          <w:bCs/>
          <w:i/>
          <w:iCs/>
          <w:szCs w:val="20"/>
          <w:lang w:eastAsia="pt-BR"/>
        </w:rPr>
        <w:t xml:space="preserve">Risco de </w:t>
      </w:r>
      <w:r w:rsidR="007F2F74" w:rsidRPr="001E6E9D">
        <w:rPr>
          <w:rFonts w:asciiTheme="minorHAnsi" w:eastAsia="Times New Roman" w:hAnsiTheme="minorHAnsi" w:cstheme="minorHAnsi"/>
          <w:b/>
          <w:bCs/>
          <w:i/>
          <w:iCs/>
          <w:szCs w:val="20"/>
          <w:lang w:eastAsia="pt-BR"/>
        </w:rPr>
        <w:t>auditoria jurídica restrita.</w:t>
      </w:r>
    </w:p>
    <w:p w14:paraId="221A50C4" w14:textId="3843182A" w:rsidR="00E72817" w:rsidRPr="001E6E9D" w:rsidRDefault="00E72817" w:rsidP="001F7A69">
      <w:pPr>
        <w:tabs>
          <w:tab w:val="left" w:pos="851"/>
        </w:tabs>
        <w:autoSpaceDE w:val="0"/>
        <w:autoSpaceDN w:val="0"/>
        <w:spacing w:after="160"/>
        <w:rPr>
          <w:rFonts w:asciiTheme="minorHAnsi" w:eastAsia="MS Mincho" w:hAnsiTheme="minorHAnsi" w:cstheme="minorHAnsi"/>
          <w:lang w:eastAsia="x-none"/>
        </w:rPr>
      </w:pPr>
      <w:r w:rsidRPr="001E6E9D">
        <w:rPr>
          <w:rFonts w:asciiTheme="minorHAnsi" w:hAnsiTheme="minorHAnsi" w:cstheme="minorHAnsi"/>
        </w:rPr>
        <w:t xml:space="preserve">No âmbito da </w:t>
      </w:r>
      <w:r w:rsidR="007F2F74" w:rsidRPr="001E6E9D">
        <w:rPr>
          <w:rFonts w:asciiTheme="minorHAnsi" w:eastAsia="Times New Roman" w:hAnsiTheme="minorHAnsi" w:cstheme="minorHAnsi"/>
          <w:szCs w:val="20"/>
          <w:lang w:eastAsia="pt-BR"/>
        </w:rPr>
        <w:t>Oferta</w:t>
      </w:r>
      <w:r w:rsidRPr="001E6E9D">
        <w:rPr>
          <w:rFonts w:asciiTheme="minorHAnsi" w:hAnsiTheme="minorHAnsi" w:cstheme="minorHAnsi"/>
        </w:rPr>
        <w:t>, foi realizada auditoria jurídica com escopo reduzido</w:t>
      </w:r>
      <w:r w:rsidR="007F2F74" w:rsidRPr="001E6E9D">
        <w:rPr>
          <w:rFonts w:asciiTheme="minorHAnsi" w:hAnsiTheme="minorHAnsi" w:cstheme="minorHAnsi"/>
        </w:rPr>
        <w:t xml:space="preserve"> (</w:t>
      </w:r>
      <w:r w:rsidR="000D5E35" w:rsidRPr="001E6E9D">
        <w:rPr>
          <w:rFonts w:asciiTheme="minorHAnsi" w:hAnsiTheme="minorHAnsi" w:cstheme="minorHAnsi"/>
        </w:rPr>
        <w:t>“</w:t>
      </w:r>
      <w:r w:rsidR="007F2F74" w:rsidRPr="001E6E9D">
        <w:rPr>
          <w:rFonts w:asciiTheme="minorHAnsi" w:hAnsiTheme="minorHAnsi" w:cstheme="minorHAnsi"/>
          <w:b/>
        </w:rPr>
        <w:t>Auditoria Jurídica</w:t>
      </w:r>
      <w:r w:rsidR="007F2F74" w:rsidRPr="001E6E9D">
        <w:rPr>
          <w:rFonts w:asciiTheme="minorHAnsi" w:eastAsia="Times New Roman" w:hAnsiTheme="minorHAnsi" w:cstheme="minorHAnsi"/>
          <w:b/>
          <w:bCs/>
          <w:szCs w:val="20"/>
          <w:lang w:eastAsia="pt-BR"/>
        </w:rPr>
        <w:t xml:space="preserve"> Restrita</w:t>
      </w:r>
      <w:r w:rsidR="007F2F74" w:rsidRPr="001E6E9D">
        <w:rPr>
          <w:rFonts w:asciiTheme="minorHAnsi" w:hAnsiTheme="minorHAnsi" w:cstheme="minorHAnsi"/>
        </w:rPr>
        <w:t>”)</w:t>
      </w:r>
      <w:r w:rsidRPr="001E6E9D">
        <w:rPr>
          <w:rFonts w:asciiTheme="minorHAnsi" w:hAnsiTheme="minorHAnsi" w:cstheme="minorHAnsi"/>
        </w:rPr>
        <w:t xml:space="preserve">, não abrangendo todos os aspectos relacionados à Emissora, nem ao Formulário de Referência da Emissora, </w:t>
      </w:r>
      <w:r w:rsidR="007F2F74" w:rsidRPr="001E6E9D">
        <w:rPr>
          <w:rFonts w:asciiTheme="minorHAnsi" w:eastAsia="Times New Roman" w:hAnsiTheme="minorHAnsi" w:cstheme="minorHAnsi"/>
          <w:szCs w:val="20"/>
          <w:lang w:eastAsia="pt-BR"/>
        </w:rPr>
        <w:t>e</w:t>
      </w:r>
      <w:r w:rsidRPr="001E6E9D">
        <w:rPr>
          <w:rFonts w:asciiTheme="minorHAnsi" w:hAnsiTheme="minorHAnsi" w:cstheme="minorHAnsi"/>
        </w:rPr>
        <w:t xml:space="preserve"> as demonstrações financeiras</w:t>
      </w:r>
      <w:r w:rsidRPr="001E6E9D">
        <w:rPr>
          <w:rFonts w:asciiTheme="minorHAnsi" w:eastAsia="MS Mincho" w:hAnsiTheme="minorHAnsi" w:cstheme="minorHAnsi"/>
          <w:lang w:eastAsia="x-none"/>
        </w:rPr>
        <w:t xml:space="preserve"> e demais documentos públicos divulgados pela Emissora não foram objeto de auditoria </w:t>
      </w:r>
      <w:r w:rsidR="007F2F74" w:rsidRPr="001E6E9D">
        <w:rPr>
          <w:rFonts w:asciiTheme="minorHAnsi" w:eastAsia="MS Mincho" w:hAnsiTheme="minorHAnsi" w:cstheme="minorHAnsi"/>
          <w:lang w:eastAsia="x-none"/>
        </w:rPr>
        <w:t xml:space="preserve">jurídica </w:t>
      </w:r>
      <w:r w:rsidRPr="001E6E9D">
        <w:rPr>
          <w:rFonts w:asciiTheme="minorHAnsi" w:eastAsia="MS Mincho" w:hAnsiTheme="minorHAnsi" w:cstheme="minorHAnsi"/>
          <w:lang w:eastAsia="x-none"/>
        </w:rPr>
        <w:t xml:space="preserve">para fins da Oferta. Em razão do escopo limitado da </w:t>
      </w:r>
      <w:r w:rsidR="007F2F74" w:rsidRPr="001E6E9D">
        <w:rPr>
          <w:rFonts w:asciiTheme="minorHAnsi" w:eastAsia="MS Mincho" w:hAnsiTheme="minorHAnsi" w:cstheme="minorHAnsi"/>
          <w:lang w:eastAsia="x-none"/>
        </w:rPr>
        <w:t>Auditoria Jurídica Restrita</w:t>
      </w:r>
      <w:r w:rsidRPr="001E6E9D">
        <w:rPr>
          <w:rFonts w:asciiTheme="minorHAnsi" w:eastAsia="MS Mincho" w:hAnsiTheme="minorHAnsi" w:cstheme="minorHAnsi"/>
          <w:lang w:eastAsia="x-none"/>
        </w:rPr>
        <w:t xml:space="preserve">, não é possível assegurar a inexistência de pendências que possam afetar a capacidade de pagamento das Debêntures pela Emissora. Isto porque a </w:t>
      </w:r>
      <w:r w:rsidR="007F2F74" w:rsidRPr="001E6E9D">
        <w:rPr>
          <w:rFonts w:asciiTheme="minorHAnsi" w:eastAsia="MS Mincho" w:hAnsiTheme="minorHAnsi" w:cstheme="minorHAnsi"/>
          <w:lang w:eastAsia="x-none"/>
        </w:rPr>
        <w:t>Auditoria Jurídica Restrita</w:t>
      </w:r>
      <w:r w:rsidRPr="001E6E9D">
        <w:rPr>
          <w:rFonts w:asciiTheme="minorHAnsi" w:eastAsia="MS Mincho" w:hAnsiTheme="minorHAnsi" w:cstheme="minorHAnsi"/>
          <w:lang w:eastAsia="x-none"/>
        </w:rPr>
        <w:t xml:space="preserve"> não tem o condão de ser exaustiva e pode não ser capaz de identificar todos os eventuais e potenciais passivos e riscos para a Oferta, seja por conta de seu escopo reduzido, seja em razão da não apresentação dos documentos necessários. Caso tivesse sido realizado um procedimento mais amplo de auditoria legal, poderiam ter sido detectadas contingências referentes à Emissora que poderiam, eventualmente, </w:t>
      </w:r>
      <w:r w:rsidR="00DB35C8" w:rsidRPr="001E6E9D">
        <w:rPr>
          <w:rFonts w:asciiTheme="minorHAnsi" w:eastAsia="MS Mincho" w:hAnsiTheme="minorHAnsi" w:cstheme="minorHAnsi"/>
          <w:lang w:eastAsia="x-none"/>
        </w:rPr>
        <w:t xml:space="preserve">afetar </w:t>
      </w:r>
      <w:r w:rsidRPr="001E6E9D">
        <w:rPr>
          <w:rFonts w:asciiTheme="minorHAnsi" w:eastAsia="MS Mincho" w:hAnsiTheme="minorHAnsi" w:cstheme="minorHAnsi"/>
          <w:lang w:eastAsia="x-none"/>
        </w:rPr>
        <w:t>a tomada de decisão de investimento dos Debenturistas.</w:t>
      </w:r>
    </w:p>
    <w:p w14:paraId="3958A5F7" w14:textId="381C1D42" w:rsidR="00A73677" w:rsidRPr="001E6E9D" w:rsidRDefault="00A73677"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Menor</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Menor</w:t>
      </w:r>
    </w:p>
    <w:p w14:paraId="1FB6A3B5" w14:textId="77777777" w:rsidR="003468A1" w:rsidRPr="001E6E9D" w:rsidRDefault="0053704D" w:rsidP="001F7A69">
      <w:pPr>
        <w:pStyle w:val="Ttulo4"/>
        <w:spacing w:after="160"/>
        <w:rPr>
          <w:rFonts w:asciiTheme="minorHAnsi" w:hAnsiTheme="minorHAnsi"/>
        </w:rPr>
      </w:pPr>
      <w:bookmarkStart w:id="127" w:name="_Ref79708592"/>
      <w:r w:rsidRPr="001E6E9D">
        <w:rPr>
          <w:rFonts w:asciiTheme="minorHAnsi" w:hAnsiTheme="minorHAnsi"/>
        </w:rPr>
        <w:t>As obrigações da Emissora e das Fiadoras constantes da Escritura de Emissão estão sujeitas a hipóteses de vencimento antecipado.</w:t>
      </w:r>
      <w:bookmarkEnd w:id="127"/>
    </w:p>
    <w:p w14:paraId="3CB31791" w14:textId="0502164A" w:rsidR="003468A1" w:rsidRPr="001E6E9D" w:rsidRDefault="0053704D"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 Escritura de Emissão estabelece hipóteses que ensejam o vencimento antecipado (automático ou não) das obrigações da Emissora e das Fiadoras com relação às Debêntures. Não há garantias de que a Emissora</w:t>
      </w:r>
      <w:r w:rsidR="00F6789A" w:rsidRPr="001E6E9D">
        <w:rPr>
          <w:rFonts w:asciiTheme="minorHAnsi" w:eastAsia="Times New Roman" w:hAnsiTheme="minorHAnsi" w:cstheme="minorHAnsi"/>
          <w:szCs w:val="20"/>
          <w:lang w:eastAsia="pt-BR"/>
        </w:rPr>
        <w:t xml:space="preserve"> ou qualquer das Fiadoras</w:t>
      </w:r>
      <w:r w:rsidRPr="001E6E9D">
        <w:rPr>
          <w:rFonts w:asciiTheme="minorHAnsi" w:eastAsia="Times New Roman" w:hAnsiTheme="minorHAnsi" w:cstheme="minorHAnsi"/>
          <w:szCs w:val="20"/>
          <w:lang w:eastAsia="pt-BR"/>
        </w:rPr>
        <w:t xml:space="preserve"> disporá de recursos suficientes em caixa para fazer face ao pagamento das Debêntures na hipótese de ocorrência de vencimento antecipado de suas obrigações, hipótese na qual os Debenturistas poderão sofrer um impacto negativo relevante no recebimento dos pagamentos relativos às Debêntures e a Emissora poderá sofrer um impacto negativo relevante nos seus resultados e nas suas operações. Caso ocorra uma das hipóteses de vencimento antecipado, os titulares das Debêntures terão seu horizonte original de investimento reduzido, podendo não conseguir reinvestir os recursos recebidos com a mesma remuneração buscada nas Debêntures ou sofrer prejuízos em razão de eventual tributação em decorrência do prazo de aplicação dos recursos investidos.</w:t>
      </w:r>
    </w:p>
    <w:p w14:paraId="3D9BF416" w14:textId="594668B8" w:rsidR="003468A1" w:rsidRPr="001E6E9D" w:rsidRDefault="0053704D"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Para mais informações, vide </w:t>
      </w:r>
      <w:r w:rsidRPr="001E6E9D">
        <w:rPr>
          <w:rFonts w:asciiTheme="minorHAnsi" w:eastAsia="Times New Roman" w:hAnsiTheme="minorHAnsi" w:cstheme="minorHAnsi"/>
          <w:szCs w:val="20"/>
          <w:u w:val="single"/>
          <w:lang w:eastAsia="pt-BR"/>
        </w:rPr>
        <w:t>item 2.6(s)</w:t>
      </w:r>
      <w:r w:rsidRPr="001E6E9D">
        <w:rPr>
          <w:rFonts w:asciiTheme="minorHAnsi" w:eastAsia="Times New Roman" w:hAnsiTheme="minorHAnsi" w:cstheme="minorHAnsi"/>
          <w:szCs w:val="20"/>
          <w:lang w:eastAsia="pt-BR"/>
        </w:rPr>
        <w:t xml:space="preserve"> deste Prospecto, nas páginas </w:t>
      </w:r>
      <w:r w:rsidR="00D425A7" w:rsidRPr="001E6E9D">
        <w:rPr>
          <w:rFonts w:asciiTheme="minorHAnsi" w:eastAsia="Times New Roman" w:hAnsiTheme="minorHAnsi" w:cstheme="minorHAnsi"/>
          <w:szCs w:val="20"/>
          <w:lang w:eastAsia="pt-BR"/>
        </w:rPr>
        <w:fldChar w:fldCharType="begin"/>
      </w:r>
      <w:r w:rsidR="00D425A7" w:rsidRPr="001E6E9D">
        <w:rPr>
          <w:rFonts w:asciiTheme="minorHAnsi" w:eastAsia="Times New Roman" w:hAnsiTheme="minorHAnsi" w:cstheme="minorHAnsi"/>
          <w:szCs w:val="20"/>
          <w:lang w:eastAsia="pt-BR"/>
        </w:rPr>
        <w:instrText xml:space="preserve"> PAGEREF _Ref158844918 \h </w:instrText>
      </w:r>
      <w:r w:rsidR="00D425A7" w:rsidRPr="001E6E9D">
        <w:rPr>
          <w:rFonts w:asciiTheme="minorHAnsi" w:eastAsia="Times New Roman" w:hAnsiTheme="minorHAnsi" w:cstheme="minorHAnsi"/>
          <w:szCs w:val="20"/>
          <w:lang w:eastAsia="pt-BR"/>
        </w:rPr>
      </w:r>
      <w:r w:rsidR="00D425A7" w:rsidRPr="001E6E9D">
        <w:rPr>
          <w:rFonts w:asciiTheme="minorHAnsi" w:eastAsia="Times New Roman" w:hAnsiTheme="minorHAnsi" w:cstheme="minorHAnsi"/>
          <w:szCs w:val="20"/>
          <w:lang w:eastAsia="pt-BR"/>
        </w:rPr>
        <w:fldChar w:fldCharType="separate"/>
      </w:r>
      <w:r w:rsidR="00720666">
        <w:rPr>
          <w:rFonts w:asciiTheme="minorHAnsi" w:eastAsia="Times New Roman" w:hAnsiTheme="minorHAnsi" w:cstheme="minorHAnsi"/>
          <w:noProof/>
          <w:szCs w:val="20"/>
          <w:lang w:eastAsia="pt-BR"/>
        </w:rPr>
        <w:t>2</w:t>
      </w:r>
      <w:r w:rsidR="00D425A7" w:rsidRPr="001E6E9D">
        <w:rPr>
          <w:rFonts w:asciiTheme="minorHAnsi" w:eastAsia="Times New Roman" w:hAnsiTheme="minorHAnsi" w:cstheme="minorHAnsi"/>
          <w:szCs w:val="20"/>
          <w:lang w:eastAsia="pt-BR"/>
        </w:rPr>
        <w:fldChar w:fldCharType="end"/>
      </w:r>
      <w:r w:rsidRPr="001E6E9D">
        <w:rPr>
          <w:rFonts w:asciiTheme="minorHAnsi" w:eastAsia="Times New Roman" w:hAnsiTheme="minorHAnsi" w:cstheme="minorHAnsi"/>
          <w:szCs w:val="20"/>
          <w:lang w:eastAsia="pt-BR"/>
        </w:rPr>
        <w:t xml:space="preserve"> a </w:t>
      </w:r>
      <w:r w:rsidR="00CB28AC" w:rsidRPr="001E6E9D">
        <w:rPr>
          <w:rFonts w:asciiTheme="minorHAnsi" w:eastAsia="Times New Roman" w:hAnsiTheme="minorHAnsi" w:cstheme="minorHAnsi"/>
          <w:szCs w:val="20"/>
          <w:lang w:eastAsia="pt-BR"/>
        </w:rPr>
        <w:fldChar w:fldCharType="begin"/>
      </w:r>
      <w:r w:rsidR="00CB28AC" w:rsidRPr="001E6E9D">
        <w:rPr>
          <w:rFonts w:asciiTheme="minorHAnsi" w:eastAsia="Times New Roman" w:hAnsiTheme="minorHAnsi" w:cstheme="minorHAnsi"/>
          <w:szCs w:val="20"/>
          <w:lang w:eastAsia="pt-BR"/>
        </w:rPr>
        <w:instrText xml:space="preserve"> PAGEREF _Ref182358662 \h </w:instrText>
      </w:r>
      <w:r w:rsidR="00CB28AC" w:rsidRPr="001E6E9D">
        <w:rPr>
          <w:rFonts w:asciiTheme="minorHAnsi" w:eastAsia="Times New Roman" w:hAnsiTheme="minorHAnsi" w:cstheme="minorHAnsi"/>
          <w:szCs w:val="20"/>
          <w:lang w:eastAsia="pt-BR"/>
        </w:rPr>
      </w:r>
      <w:r w:rsidR="00CB28AC" w:rsidRPr="001E6E9D">
        <w:rPr>
          <w:rFonts w:asciiTheme="minorHAnsi" w:eastAsia="Times New Roman" w:hAnsiTheme="minorHAnsi" w:cstheme="minorHAnsi"/>
          <w:szCs w:val="20"/>
          <w:lang w:eastAsia="pt-BR"/>
        </w:rPr>
        <w:fldChar w:fldCharType="separate"/>
      </w:r>
      <w:r w:rsidR="00720666">
        <w:rPr>
          <w:rFonts w:asciiTheme="minorHAnsi" w:eastAsia="Times New Roman" w:hAnsiTheme="minorHAnsi" w:cstheme="minorHAnsi"/>
          <w:noProof/>
          <w:szCs w:val="20"/>
          <w:lang w:eastAsia="pt-BR"/>
        </w:rPr>
        <w:t>15</w:t>
      </w:r>
      <w:r w:rsidR="00CB28AC" w:rsidRPr="001E6E9D">
        <w:rPr>
          <w:rFonts w:asciiTheme="minorHAnsi" w:eastAsia="Times New Roman" w:hAnsiTheme="minorHAnsi" w:cstheme="minorHAnsi"/>
          <w:szCs w:val="20"/>
          <w:lang w:eastAsia="pt-BR"/>
        </w:rPr>
        <w:fldChar w:fldCharType="end"/>
      </w:r>
      <w:r w:rsidRPr="001E6E9D">
        <w:rPr>
          <w:rFonts w:asciiTheme="minorHAnsi" w:eastAsia="Times New Roman" w:hAnsiTheme="minorHAnsi" w:cstheme="minorHAnsi"/>
          <w:szCs w:val="20"/>
          <w:lang w:eastAsia="pt-BR"/>
        </w:rPr>
        <w:t>.</w:t>
      </w:r>
    </w:p>
    <w:p w14:paraId="02B33572" w14:textId="48E5A11B" w:rsidR="00A73677" w:rsidRPr="001E6E9D" w:rsidRDefault="00A73677" w:rsidP="001F7A69">
      <w:pPr>
        <w:tabs>
          <w:tab w:val="left" w:pos="851"/>
        </w:tabs>
        <w:autoSpaceDE w:val="0"/>
        <w:autoSpaceDN w:val="0"/>
        <w:spacing w:after="160"/>
        <w:rPr>
          <w:rFonts w:asciiTheme="minorHAnsi" w:eastAsia="Times New Roman" w:hAnsiTheme="minorHAnsi" w:cstheme="minorHAnsi"/>
          <w:b/>
          <w:bCs/>
          <w:iCs/>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p>
    <w:p w14:paraId="22EFC4BD" w14:textId="77777777" w:rsidR="003468A1" w:rsidRPr="001E6E9D" w:rsidRDefault="0053704D" w:rsidP="001F7A69">
      <w:pPr>
        <w:pStyle w:val="Ttulo4"/>
        <w:spacing w:after="160"/>
        <w:rPr>
          <w:rFonts w:asciiTheme="minorHAnsi" w:hAnsiTheme="minorHAnsi"/>
        </w:rPr>
      </w:pPr>
      <w:bookmarkStart w:id="128" w:name="_Ref158844931"/>
      <w:r w:rsidRPr="001E6E9D">
        <w:rPr>
          <w:rFonts w:asciiTheme="minorHAnsi" w:hAnsiTheme="minorHAnsi"/>
        </w:rPr>
        <w:t>Os Coordenadores e as empresas de seus respectivos grupos estão envolvidas em uma vasta gama de atividades peculiares ao seu objeto social das quais podem surgir eventuais conflitos de interesse.</w:t>
      </w:r>
      <w:bookmarkEnd w:id="128"/>
      <w:r w:rsidRPr="001E6E9D">
        <w:rPr>
          <w:rFonts w:asciiTheme="minorHAnsi" w:hAnsiTheme="minorHAnsi"/>
        </w:rPr>
        <w:t xml:space="preserve"> </w:t>
      </w:r>
    </w:p>
    <w:p w14:paraId="635B4AD8" w14:textId="4729FD66" w:rsidR="003468A1" w:rsidRPr="001E6E9D" w:rsidRDefault="0053704D"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Os Coordenadores e as empresas de seus respectivos grupos estão envolvidas em uma vasta gama de atividades peculiares ao seu objeto social (incluindo atividades típicas de bancos comerciais e de investimento, tais como operações de crédito, prestação de garantias, gerenciamento de investimentos, venda e intermediação de valores mobiliários, prestação de serviço de assessoria financeira e demais atividades relacionadas), bem como podem possuir títulos e valores mobiliários de emissão da Emissora, diretamente ou em fundos de investimento administrados e/ou geridos por tais sociedades, adquiridos em operações regulares em bolsa de valores a preços e condições de mercado, situações das quais podem surgir eventuais conflitos de interesse, sendo que os Coordenadores e as empresas de seus respectivos grupos adotam práticas e procedimentos para restringir o </w:t>
      </w:r>
      <w:r w:rsidRPr="001E6E9D">
        <w:rPr>
          <w:rFonts w:asciiTheme="minorHAnsi" w:eastAsia="Times New Roman" w:hAnsiTheme="minorHAnsi" w:cstheme="minorHAnsi"/>
          <w:szCs w:val="20"/>
          <w:lang w:eastAsia="pt-BR"/>
        </w:rPr>
        <w:lastRenderedPageBreak/>
        <w:t>fluxo de informações e administrar esses conflitos. Adicionalmente, os Coordenadores e as empresas de seus respectivos grupos não estarão obrigados a restringir quaisquer de suas atividades conduzidas no curso normal de seus negócios em decorrência da Oferta, o que pode resultar em prejuízos financeiros aos Investidores da</w:t>
      </w:r>
      <w:r w:rsidR="002E0CAA" w:rsidRPr="001E6E9D">
        <w:rPr>
          <w:rFonts w:asciiTheme="minorHAnsi" w:eastAsia="Times New Roman" w:hAnsiTheme="minorHAnsi" w:cstheme="minorHAnsi"/>
          <w:szCs w:val="20"/>
          <w:lang w:eastAsia="pt-BR"/>
        </w:rPr>
        <w:t> </w:t>
      </w:r>
      <w:r w:rsidRPr="001E6E9D">
        <w:rPr>
          <w:rFonts w:asciiTheme="minorHAnsi" w:eastAsia="Times New Roman" w:hAnsiTheme="minorHAnsi" w:cstheme="minorHAnsi"/>
          <w:szCs w:val="20"/>
          <w:lang w:eastAsia="pt-BR"/>
        </w:rPr>
        <w:t>Oferta.</w:t>
      </w:r>
    </w:p>
    <w:p w14:paraId="653E805C" w14:textId="548AA52D" w:rsidR="00A73677" w:rsidRPr="001E6E9D" w:rsidRDefault="00A73677"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Menor</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Menor</w:t>
      </w:r>
    </w:p>
    <w:p w14:paraId="131134EA" w14:textId="2ADBD276" w:rsidR="0053704D" w:rsidRPr="001E6E9D" w:rsidRDefault="0053704D" w:rsidP="001F7A69">
      <w:pPr>
        <w:pStyle w:val="Ttulo4"/>
        <w:spacing w:after="160"/>
        <w:rPr>
          <w:rFonts w:asciiTheme="minorHAnsi" w:eastAsia="Times New Roman" w:hAnsiTheme="minorHAnsi"/>
        </w:rPr>
      </w:pPr>
      <w:bookmarkStart w:id="129" w:name="_Ref158844933"/>
      <w:r w:rsidRPr="001E6E9D">
        <w:rPr>
          <w:rFonts w:asciiTheme="minorHAnsi" w:hAnsiTheme="minorHAnsi"/>
        </w:rPr>
        <w:t xml:space="preserve">A participação de investidores que sejam considerados Pessoas Vinculadas no Procedimento de </w:t>
      </w:r>
      <w:r w:rsidRPr="001E6E9D">
        <w:rPr>
          <w:rFonts w:asciiTheme="minorHAnsi" w:hAnsiTheme="minorHAnsi"/>
          <w:i w:val="0"/>
          <w:iCs/>
        </w:rPr>
        <w:t>Bookbuilding</w:t>
      </w:r>
      <w:r w:rsidRPr="001E6E9D">
        <w:rPr>
          <w:rFonts w:asciiTheme="minorHAnsi" w:hAnsiTheme="minorHAnsi"/>
        </w:rPr>
        <w:t xml:space="preserve"> pode impactar adversamente sua liquidez no mercado secundário</w:t>
      </w:r>
      <w:r w:rsidR="00BF03DF" w:rsidRPr="001E6E9D">
        <w:rPr>
          <w:rFonts w:asciiTheme="minorHAnsi" w:hAnsiTheme="minorHAnsi"/>
        </w:rPr>
        <w:t xml:space="preserve"> e a formação do preço final da Oferta</w:t>
      </w:r>
      <w:r w:rsidRPr="001E6E9D">
        <w:rPr>
          <w:rFonts w:asciiTheme="minorHAnsi" w:hAnsiTheme="minorHAnsi"/>
        </w:rPr>
        <w:t>.</w:t>
      </w:r>
      <w:bookmarkEnd w:id="129"/>
    </w:p>
    <w:p w14:paraId="1627A9C3" w14:textId="06A3A781" w:rsidR="003468A1" w:rsidRPr="001E6E9D" w:rsidRDefault="0053704D"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Os Coordenadores podem adquirir Debêntures da Oferta na qualidade de pessoas vinculadas. O investimento nas Debêntures por investidores que sejam pessoas vinculadas pode ter um efeito adverso na liquidez das Debêntures no mercado secundário, uma vez que as pessoas vinculadas podem optar por manter suas Debêntures fora de circulação, influenciando a liquidez</w:t>
      </w:r>
      <w:r w:rsidR="00BF03DF" w:rsidRPr="001E6E9D">
        <w:rPr>
          <w:rFonts w:asciiTheme="minorHAnsi" w:eastAsia="Times New Roman" w:hAnsiTheme="minorHAnsi" w:cstheme="minorHAnsi"/>
          <w:szCs w:val="20"/>
          <w:lang w:eastAsia="pt-BR"/>
        </w:rPr>
        <w:t>, e um efeito adverso na definição da taxa final das</w:t>
      </w:r>
      <w:r w:rsidR="0021324D" w:rsidRPr="001E6E9D">
        <w:rPr>
          <w:rFonts w:asciiTheme="minorHAnsi" w:eastAsia="Times New Roman" w:hAnsiTheme="minorHAnsi" w:cstheme="minorHAnsi"/>
          <w:szCs w:val="20"/>
          <w:lang w:eastAsia="pt-BR"/>
        </w:rPr>
        <w:t xml:space="preserve"> </w:t>
      </w:r>
      <w:r w:rsidR="00BF03DF" w:rsidRPr="001E6E9D">
        <w:rPr>
          <w:rFonts w:asciiTheme="minorHAnsi" w:eastAsia="Times New Roman" w:hAnsiTheme="minorHAnsi" w:cstheme="minorHAnsi"/>
          <w:szCs w:val="20"/>
          <w:lang w:eastAsia="pt-BR"/>
        </w:rPr>
        <w:t>Debêntures</w:t>
      </w:r>
      <w:r w:rsidRPr="001E6E9D">
        <w:rPr>
          <w:rFonts w:asciiTheme="minorHAnsi" w:eastAsia="Times New Roman" w:hAnsiTheme="minorHAnsi" w:cstheme="minorHAnsi"/>
          <w:szCs w:val="20"/>
          <w:lang w:eastAsia="pt-BR"/>
        </w:rPr>
        <w:t>.</w:t>
      </w:r>
    </w:p>
    <w:p w14:paraId="5EC89A65" w14:textId="73884DED" w:rsidR="00A73677" w:rsidRPr="001E6E9D" w:rsidRDefault="00A73677" w:rsidP="001F7A69">
      <w:pPr>
        <w:tabs>
          <w:tab w:val="left" w:pos="851"/>
        </w:tabs>
        <w:autoSpaceDE w:val="0"/>
        <w:autoSpaceDN w:val="0"/>
        <w:spacing w:after="160"/>
        <w:rPr>
          <w:rFonts w:asciiTheme="minorHAnsi" w:eastAsia="Times New Roman" w:hAnsiTheme="minorHAnsi" w:cstheme="minorHAnsi"/>
          <w:iCs/>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Menor</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Menor</w:t>
      </w:r>
    </w:p>
    <w:p w14:paraId="0AA84C86" w14:textId="77777777" w:rsidR="003468A1" w:rsidRPr="001E6E9D" w:rsidRDefault="0053704D" w:rsidP="001F7A69">
      <w:pPr>
        <w:pStyle w:val="Ttulo4"/>
        <w:spacing w:after="160"/>
        <w:rPr>
          <w:rFonts w:asciiTheme="minorHAnsi" w:hAnsiTheme="minorHAnsi"/>
          <w:spacing w:val="4"/>
        </w:rPr>
      </w:pPr>
      <w:bookmarkStart w:id="130" w:name="_Ref158844934"/>
      <w:r w:rsidRPr="001E6E9D">
        <w:rPr>
          <w:rFonts w:asciiTheme="minorHAnsi" w:hAnsiTheme="minorHAnsi"/>
          <w:spacing w:val="4"/>
        </w:rPr>
        <w:t>Riscos relacionados à situação da economia global e brasileira poderão afetar a percepção do risco no Brasil e em outros países, especialmente nos mercados emergentes, o que poderá afetar negativamente a economia brasileira inclusive por meio de oscilações nos mercados de valores mobiliários, incluindo as Debêntures.</w:t>
      </w:r>
      <w:bookmarkEnd w:id="130"/>
    </w:p>
    <w:p w14:paraId="758C6A5F" w14:textId="77777777" w:rsidR="003468A1" w:rsidRPr="001E6E9D" w:rsidRDefault="0053704D"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O valor de mercado de valores mobiliários de emissão de companhias brasileiras é influenciado, em diferentes graus, pelas condições econômicas e de mercado do Brasil e de outros países, inclusive Estados Unidos, países membros da União Europeia e de economias emergentes. A reação dos investidores aos acontecimentos nesses países pode causar um efeito adverso sobre o valor de mercado dos valores mobiliários de companhias brasileiras, inclusive das Debêntures. Crises no Brasil, nos Estados Unidos, na União Europeia ou em países de economia emergente podem reduzir o interesse dos investidores nos valores mobiliários das companhias brasileiras, inclusive os valores mobiliários da Emissora. </w:t>
      </w:r>
    </w:p>
    <w:p w14:paraId="26D9B979" w14:textId="77777777" w:rsidR="003468A1" w:rsidRPr="001E6E9D" w:rsidRDefault="0053704D"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Adicionalmente, a economia brasileira é afetada pelas condições de mercado e pelas condições econômicas internacionais, especialmente, pelas condições econômicas dos Estados Unidos. Os preços das ações na B3, por exemplo, são altamente afetados pelas flutuações nas taxas de juros dos Estados Unidos e pelo comportamento das principais bolsas norte-americanas. Qualquer aumento nas taxas de juros em outros países, especialmente os Estados Unidos, poderá reduzir a liquidez global e o interesse do investidor em realizar investimentos no mercado de capitais brasileiro.</w:t>
      </w:r>
    </w:p>
    <w:p w14:paraId="09AD0D49" w14:textId="77777777" w:rsidR="003468A1" w:rsidRPr="001E6E9D" w:rsidRDefault="0053704D"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Não é possível assegurar que o mercado de capitais brasileiro estará aberto às companhias brasileiras e que os custos de financiamento no mercado sejam favoráveis às companhias brasileiras. Crises políticas ou econômicas no Brasil e em mercados emergentes podem reduzir o interesse do investidor por valores mobiliários de companhias brasileiras, inclusive os valores mobiliários emitidos pela Emissora. Isso poderá afetar a liquidez e o preço de mercado das Debêntures, bem como poderá afetar o seu futuro acesso ao mercado de capitais brasileiros e a financiamentos em termos aceitáveis, o que poderá afetar adversamente o preço de mercado das</w:t>
      </w:r>
      <w:r w:rsidR="00FC6851" w:rsidRPr="001E6E9D">
        <w:rPr>
          <w:rFonts w:asciiTheme="minorHAnsi" w:eastAsia="Times New Roman" w:hAnsiTheme="minorHAnsi" w:cstheme="minorHAnsi"/>
          <w:szCs w:val="20"/>
          <w:lang w:eastAsia="pt-BR"/>
        </w:rPr>
        <w:t> </w:t>
      </w:r>
      <w:r w:rsidRPr="001E6E9D">
        <w:rPr>
          <w:rFonts w:asciiTheme="minorHAnsi" w:eastAsia="Times New Roman" w:hAnsiTheme="minorHAnsi" w:cstheme="minorHAnsi"/>
          <w:szCs w:val="20"/>
          <w:lang w:eastAsia="pt-BR"/>
        </w:rPr>
        <w:t>Debêntures.</w:t>
      </w:r>
    </w:p>
    <w:p w14:paraId="6542648B" w14:textId="0E78A547" w:rsidR="00A73677" w:rsidRPr="001E6E9D" w:rsidRDefault="00A73677"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p>
    <w:p w14:paraId="4EE35115" w14:textId="77777777" w:rsidR="003468A1" w:rsidRPr="001E6E9D" w:rsidRDefault="0053704D" w:rsidP="001F7A69">
      <w:pPr>
        <w:pStyle w:val="Ttulo4"/>
        <w:spacing w:after="160"/>
        <w:rPr>
          <w:rFonts w:asciiTheme="minorHAnsi" w:hAnsiTheme="minorHAnsi"/>
        </w:rPr>
      </w:pPr>
      <w:bookmarkStart w:id="131" w:name="_Ref158844935"/>
      <w:bookmarkStart w:id="132" w:name="_Hlk183024201"/>
      <w:r w:rsidRPr="001E6E9D">
        <w:rPr>
          <w:rFonts w:asciiTheme="minorHAnsi" w:hAnsiTheme="minorHAnsi"/>
        </w:rPr>
        <w:t>Eventual rebaixamento na classificação de risco (</w:t>
      </w:r>
      <w:r w:rsidRPr="001E6E9D">
        <w:rPr>
          <w:rFonts w:asciiTheme="minorHAnsi" w:hAnsiTheme="minorHAnsi"/>
          <w:i w:val="0"/>
          <w:iCs/>
        </w:rPr>
        <w:t>rating</w:t>
      </w:r>
      <w:r w:rsidRPr="001E6E9D">
        <w:rPr>
          <w:rFonts w:asciiTheme="minorHAnsi" w:hAnsiTheme="minorHAnsi"/>
        </w:rPr>
        <w:t>) do Brasil poderá acarretar na redução de liquidez das Debêntures para negociação no mercado secundário.</w:t>
      </w:r>
      <w:bookmarkEnd w:id="131"/>
    </w:p>
    <w:p w14:paraId="01AA68E0" w14:textId="2A5DB909" w:rsidR="003468A1" w:rsidRPr="001E6E9D" w:rsidRDefault="0053704D"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Os </w:t>
      </w:r>
      <w:r w:rsidRPr="001E6E9D">
        <w:rPr>
          <w:rFonts w:asciiTheme="minorHAnsi" w:eastAsia="Times New Roman" w:hAnsiTheme="minorHAnsi" w:cstheme="minorHAnsi"/>
          <w:i/>
          <w:szCs w:val="20"/>
          <w:lang w:eastAsia="pt-BR"/>
        </w:rPr>
        <w:t>ratings</w:t>
      </w:r>
      <w:r w:rsidRPr="001E6E9D">
        <w:rPr>
          <w:rFonts w:asciiTheme="minorHAnsi" w:eastAsia="Times New Roman" w:hAnsiTheme="minorHAnsi" w:cstheme="minorHAnsi"/>
          <w:szCs w:val="20"/>
          <w:lang w:eastAsia="pt-BR"/>
        </w:rPr>
        <w:t xml:space="preserve"> de crédito afetam a percepção de risco dos investimentos e, como resultado, os rendimentos necessários nas futuras emissões de dívida no mercado de capitais. Agências de classificação avaliam regularmente o Brasil e seus </w:t>
      </w:r>
      <w:r w:rsidRPr="001E6E9D">
        <w:rPr>
          <w:rFonts w:asciiTheme="minorHAnsi" w:eastAsia="Times New Roman" w:hAnsiTheme="minorHAnsi" w:cstheme="minorHAnsi"/>
          <w:i/>
          <w:szCs w:val="20"/>
          <w:lang w:eastAsia="pt-BR"/>
        </w:rPr>
        <w:t>ratings</w:t>
      </w:r>
      <w:r w:rsidRPr="001E6E9D">
        <w:rPr>
          <w:rFonts w:asciiTheme="minorHAnsi" w:eastAsia="Times New Roman" w:hAnsiTheme="minorHAnsi" w:cstheme="minorHAnsi"/>
          <w:szCs w:val="20"/>
          <w:lang w:eastAsia="pt-BR"/>
        </w:rPr>
        <w:t xml:space="preserve"> soberanos, tendo como base diversos fatores, incluindo tendências macroeconômicas, condições físicas e orçamentárias, métricas de endividamento e a perspectiva de mudanças em quaisquer desses fatores. Da mesma forma, os </w:t>
      </w:r>
      <w:r w:rsidRPr="001E6E9D">
        <w:rPr>
          <w:rFonts w:asciiTheme="minorHAnsi" w:eastAsia="Times New Roman" w:hAnsiTheme="minorHAnsi" w:cstheme="minorHAnsi"/>
          <w:i/>
          <w:szCs w:val="20"/>
          <w:lang w:eastAsia="pt-BR"/>
        </w:rPr>
        <w:t>ratings</w:t>
      </w:r>
      <w:r w:rsidRPr="001E6E9D">
        <w:rPr>
          <w:rFonts w:asciiTheme="minorHAnsi" w:eastAsia="Times New Roman" w:hAnsiTheme="minorHAnsi" w:cstheme="minorHAnsi"/>
          <w:szCs w:val="20"/>
          <w:lang w:eastAsia="pt-BR"/>
        </w:rPr>
        <w:t xml:space="preserve"> de crédito corporativo atribuídos à Emissora são avaliados regularmente. Considerando que a Emissora atua em negócios regulados e seu rating corporativo é atrelado ao </w:t>
      </w:r>
      <w:r w:rsidRPr="001E6E9D">
        <w:rPr>
          <w:rFonts w:asciiTheme="minorHAnsi" w:eastAsia="Times New Roman" w:hAnsiTheme="minorHAnsi" w:cstheme="minorHAnsi"/>
          <w:i/>
          <w:szCs w:val="20"/>
          <w:lang w:eastAsia="pt-BR"/>
        </w:rPr>
        <w:t xml:space="preserve">rating </w:t>
      </w:r>
      <w:r w:rsidRPr="001E6E9D">
        <w:rPr>
          <w:rFonts w:asciiTheme="minorHAnsi" w:eastAsia="Times New Roman" w:hAnsiTheme="minorHAnsi" w:cstheme="minorHAnsi"/>
          <w:szCs w:val="20"/>
          <w:lang w:eastAsia="pt-BR"/>
        </w:rPr>
        <w:t xml:space="preserve">soberano do Brasil, qualquer queda no </w:t>
      </w:r>
      <w:r w:rsidRPr="001E6E9D">
        <w:rPr>
          <w:rFonts w:asciiTheme="minorHAnsi" w:eastAsia="Times New Roman" w:hAnsiTheme="minorHAnsi" w:cstheme="minorHAnsi"/>
          <w:i/>
          <w:szCs w:val="20"/>
          <w:lang w:eastAsia="pt-BR"/>
        </w:rPr>
        <w:t>rating</w:t>
      </w:r>
      <w:r w:rsidRPr="001E6E9D">
        <w:rPr>
          <w:rFonts w:asciiTheme="minorHAnsi" w:eastAsia="Times New Roman" w:hAnsiTheme="minorHAnsi" w:cstheme="minorHAnsi"/>
          <w:szCs w:val="20"/>
          <w:lang w:eastAsia="pt-BR"/>
        </w:rPr>
        <w:t xml:space="preserve"> soberano do Brasil e/ou qualquer rebaixamento no </w:t>
      </w:r>
      <w:r w:rsidRPr="001E6E9D">
        <w:rPr>
          <w:rFonts w:asciiTheme="minorHAnsi" w:eastAsia="Times New Roman" w:hAnsiTheme="minorHAnsi" w:cstheme="minorHAnsi"/>
          <w:i/>
          <w:szCs w:val="20"/>
          <w:lang w:eastAsia="pt-BR"/>
        </w:rPr>
        <w:t>rating</w:t>
      </w:r>
      <w:r w:rsidRPr="001E6E9D">
        <w:rPr>
          <w:rFonts w:asciiTheme="minorHAnsi" w:eastAsia="Times New Roman" w:hAnsiTheme="minorHAnsi" w:cstheme="minorHAnsi"/>
          <w:szCs w:val="20"/>
          <w:lang w:eastAsia="pt-BR"/>
        </w:rPr>
        <w:t xml:space="preserve"> da Emissora poderá aumentar a percepção de risco dos investidores e, consequentemente, aumentar o custo futuro de emissão de dívidas e afetar adversamente o preço de negociação dos valores mobiliários emitidos pela Emissora.</w:t>
      </w:r>
      <w:bookmarkEnd w:id="132"/>
    </w:p>
    <w:p w14:paraId="515C0B1E" w14:textId="6FFCFBE0" w:rsidR="00A73677" w:rsidRPr="001E6E9D" w:rsidRDefault="00A73677" w:rsidP="001F7A69">
      <w:pPr>
        <w:tabs>
          <w:tab w:val="left" w:pos="851"/>
        </w:tabs>
        <w:autoSpaceDE w:val="0"/>
        <w:autoSpaceDN w:val="0"/>
        <w:spacing w:after="16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p>
    <w:p w14:paraId="01860F7A" w14:textId="097ACCFA" w:rsidR="003468A1" w:rsidRPr="001E6E9D" w:rsidRDefault="0053704D" w:rsidP="00DC7081">
      <w:pPr>
        <w:pStyle w:val="Ttulo4"/>
        <w:rPr>
          <w:rFonts w:asciiTheme="minorHAnsi" w:hAnsiTheme="minorHAnsi"/>
        </w:rPr>
      </w:pPr>
      <w:bookmarkStart w:id="133" w:name="_Ref158844936"/>
      <w:r w:rsidRPr="001E6E9D">
        <w:rPr>
          <w:rFonts w:asciiTheme="minorHAnsi" w:hAnsiTheme="minorHAnsi"/>
        </w:rPr>
        <w:lastRenderedPageBreak/>
        <w:t>Eventual rebaixamento na classificação de risco</w:t>
      </w:r>
      <w:r w:rsidR="00C93458" w:rsidRPr="001E6E9D">
        <w:rPr>
          <w:rFonts w:asciiTheme="minorHAnsi" w:hAnsiTheme="minorHAnsi"/>
        </w:rPr>
        <w:t xml:space="preserve"> (</w:t>
      </w:r>
      <w:r w:rsidR="00C93458" w:rsidRPr="001E6E9D">
        <w:rPr>
          <w:rFonts w:asciiTheme="minorHAnsi" w:hAnsiTheme="minorHAnsi"/>
          <w:i w:val="0"/>
          <w:iCs/>
        </w:rPr>
        <w:t>rating</w:t>
      </w:r>
      <w:r w:rsidR="00C93458" w:rsidRPr="001E6E9D">
        <w:rPr>
          <w:rFonts w:asciiTheme="minorHAnsi" w:hAnsiTheme="minorHAnsi"/>
        </w:rPr>
        <w:t>)</w:t>
      </w:r>
      <w:r w:rsidRPr="001E6E9D">
        <w:rPr>
          <w:rFonts w:asciiTheme="minorHAnsi" w:hAnsiTheme="minorHAnsi"/>
        </w:rPr>
        <w:t xml:space="preserve"> atribuída às Debêntures e/ou à Emissora poderá dificultar a captação de recursos pela Emissora, bem como acarretar redução de liquidez das Debêntures para negociação no mercado secundário e impacto negativo relevante na Emissora.</w:t>
      </w:r>
      <w:bookmarkEnd w:id="133"/>
    </w:p>
    <w:p w14:paraId="0F0C7459"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Para se realizar uma classificação de risco </w:t>
      </w:r>
      <w:r w:rsidRPr="001E6E9D">
        <w:rPr>
          <w:rFonts w:asciiTheme="minorHAnsi" w:eastAsia="Times New Roman" w:hAnsiTheme="minorHAnsi" w:cstheme="minorHAnsi"/>
          <w:i/>
          <w:szCs w:val="20"/>
          <w:lang w:eastAsia="pt-BR"/>
        </w:rPr>
        <w:t>(rating</w:t>
      </w:r>
      <w:r w:rsidRPr="001E6E9D">
        <w:rPr>
          <w:rFonts w:asciiTheme="minorHAnsi" w:eastAsia="Times New Roman" w:hAnsiTheme="minorHAnsi" w:cstheme="minorHAnsi"/>
          <w:szCs w:val="20"/>
          <w:lang w:eastAsia="pt-BR"/>
        </w:rPr>
        <w:t>), certos fatores relativos à Emissora são levados em consideração, tais como sua condição financeira, sua administração e seu desempenho. São analisadas, também, as características das Debêntures, assim como as obrigações assumidas pela Emissora e os fatores político-econômicos que podem afetar a condição financeira da Emissora. Dessa forma, as avaliações representam uma opinião da Agência de Classificação de Risco quanto às condições da Emissora de honrar seus compromissos financeiros, tais como pagamento do principal e juros no prazo estipulado. Um eventual rebaixamento em classificações de risco obtidas com relação à Oferta e/ou à Emissora durante a vigência das Debêntures poderá afetar negativamente o preço dessas Debêntures e sua negociação no mercado secundário. Além disso, a Emissora poderá encontrar dificuldades em realizar outras emissões de títulos e valores mobiliários, o que poderá, consequentemente, ter um impacto adverso relevante nos resultados e nas operações da Emissora e na sua capacidade de honrar com as obrigações relativas à Oferta.</w:t>
      </w:r>
    </w:p>
    <w:p w14:paraId="6BD82735"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Adicionalmente, alguns dos principais investidores que adquirem valores mobiliários por meio de ofertas públicas no Brasil (tais como entidades de previdência complementar) estão sujeitos a regulamentações específicas que condicionam seus investimentos em valores mobiliários a determinadas classificações de risco. Assim, o rebaixamento de classificações de risco obtidas com relação às Debêntures pode obrigar esses investidores a alienar suas Debêntures no mercado secundário, podendo vir a afetar negativamente o preço dessas Debêntures e sua negociação no mercado secundário.</w:t>
      </w:r>
    </w:p>
    <w:p w14:paraId="5E6501C3"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Além disso, o rebaixamento na classificação de risco atribuída às Debêntures poderá: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acarretar uma redução do horizonte original de investimento esperado pelos Debenturistas; e/ou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gerar dificuldade de reinvestimento do capital investido pelos Debenturistas à mesma taxa estabelecida para as Debêntures uma vez que poderá ser difícil encontrar valores mobiliários com as mesmas condições das Debêntures.</w:t>
      </w:r>
    </w:p>
    <w:p w14:paraId="6E4A6218" w14:textId="3E53916C"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p>
    <w:p w14:paraId="64017C44" w14:textId="77777777" w:rsidR="003468A1" w:rsidRPr="001E6E9D" w:rsidRDefault="0053704D" w:rsidP="00DC7081">
      <w:pPr>
        <w:pStyle w:val="Ttulo4"/>
        <w:rPr>
          <w:rFonts w:asciiTheme="minorHAnsi" w:hAnsiTheme="minorHAnsi"/>
        </w:rPr>
      </w:pPr>
      <w:bookmarkStart w:id="134" w:name="FAT_A_Fiança_Pode_Ser_Insuficiente_Para"/>
      <w:r w:rsidRPr="001E6E9D">
        <w:rPr>
          <w:rFonts w:asciiTheme="minorHAnsi" w:hAnsiTheme="minorHAnsi"/>
        </w:rPr>
        <w:t>A Fiança, sob condição suspensiva, pode ser insuficiente para quitar o saldo devedor das Debêntures em caso de inadimplemento das obrigações da Emissora com relação à Emissão.</w:t>
      </w:r>
      <w:bookmarkEnd w:id="134"/>
      <w:r w:rsidRPr="001E6E9D">
        <w:rPr>
          <w:rFonts w:asciiTheme="minorHAnsi" w:hAnsiTheme="minorHAnsi"/>
        </w:rPr>
        <w:t xml:space="preserve"> </w:t>
      </w:r>
    </w:p>
    <w:p w14:paraId="28092228" w14:textId="25A7CDC0"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As Debêntures contarão com Fiança, sob Condição Suspensiva, prestada pelas Fiadoras e, no caso de a Emissora não cumprir suas obrigações no âmbito da Emissão, os Debenturistas dependerão do processo de excussão da Fiança contra as Fiadoras, judicial ou extrajudicialmente, o qual pode ser demorado e cujo sucesso está sujeito a diversos fatores que estão fora do controle da Emissora. Além disso, as Fiadoras poderão não ter condições financeiras ou patrimônio suficiente para responder pela integral quitação do saldo devedor das Debêntures. Dessa forma, não há como garantir que os titulares das Debêntures receberão a totalidade ou mesmo parte dos seus créditos.</w:t>
      </w:r>
    </w:p>
    <w:p w14:paraId="3F626449" w14:textId="42B39828"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Menor</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Menor</w:t>
      </w:r>
    </w:p>
    <w:p w14:paraId="01703020" w14:textId="77777777" w:rsidR="003468A1" w:rsidRPr="001E6E9D" w:rsidRDefault="0053704D" w:rsidP="00DC7081">
      <w:pPr>
        <w:pStyle w:val="Ttulo4"/>
        <w:rPr>
          <w:rFonts w:asciiTheme="minorHAnsi" w:hAnsiTheme="minorHAnsi"/>
        </w:rPr>
      </w:pPr>
      <w:bookmarkStart w:id="135" w:name="FAT_As_Garantias_Reais_Podem_Ser_Insufic"/>
      <w:r w:rsidRPr="001E6E9D">
        <w:rPr>
          <w:rFonts w:asciiTheme="minorHAnsi" w:hAnsiTheme="minorHAnsi"/>
        </w:rPr>
        <w:t>As Garantias Reais podem ser insuficientes para quitar o saldo devedor das Debêntures em caso de inadimplemento das obrigações da Emissora com relação à Emissão.</w:t>
      </w:r>
      <w:bookmarkEnd w:id="135"/>
    </w:p>
    <w:p w14:paraId="47F2FC10" w14:textId="66FEB10F"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No caso de a Emissora não cumprir suas obrigações, no âmbito da Emissão, os Debenturistas dependerão do processo de excussão das Garantias Reais, judicial ou extrajudicialmente, o qual pode ser demorado e cujo sucesso está sujeito a diversos fatores que estão fora do controle da Emissora e </w:t>
      </w:r>
      <w:r w:rsidR="00E67A48" w:rsidRPr="001E6E9D">
        <w:rPr>
          <w:rFonts w:asciiTheme="minorHAnsi" w:eastAsia="Times New Roman" w:hAnsiTheme="minorHAnsi" w:cstheme="minorHAnsi"/>
          <w:szCs w:val="20"/>
          <w:lang w:eastAsia="pt-BR"/>
        </w:rPr>
        <w:t>das Fiadoras, na qualidade de terceiros outorgantes das Garantias Reais</w:t>
      </w:r>
      <w:r w:rsidRPr="001E6E9D">
        <w:rPr>
          <w:rFonts w:asciiTheme="minorHAnsi" w:eastAsia="Times New Roman" w:hAnsiTheme="minorHAnsi" w:cstheme="minorHAnsi"/>
          <w:szCs w:val="20"/>
          <w:lang w:eastAsia="pt-BR"/>
        </w:rPr>
        <w:t>, podendo ainda o produto da excussão das Garantias Reais não ser suficiente para pagar integralmente ou até mesmo parcialmente o saldo devedor das Debêntures.</w:t>
      </w:r>
      <w:bookmarkStart w:id="136" w:name="FAT_Em_Caso_De_Recuperação_Judicial"/>
      <w:r w:rsidR="00DB35C8" w:rsidRPr="001E6E9D">
        <w:rPr>
          <w:rFonts w:asciiTheme="minorHAnsi" w:eastAsia="Times New Roman" w:hAnsiTheme="minorHAnsi" w:cstheme="minorHAnsi"/>
          <w:szCs w:val="20"/>
          <w:lang w:eastAsia="pt-BR"/>
        </w:rPr>
        <w:t xml:space="preserve"> Dessa forma, não há como garantir que os titulares das Debêntures receberão a totalidade ou mesmo parte dos seus créditos.</w:t>
      </w:r>
    </w:p>
    <w:p w14:paraId="5DBD1104" w14:textId="27BE56A7"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p>
    <w:p w14:paraId="4FBCD3BF" w14:textId="77777777" w:rsidR="003468A1" w:rsidRPr="001E6E9D" w:rsidRDefault="0053704D" w:rsidP="00DC7081">
      <w:pPr>
        <w:pStyle w:val="Ttulo4"/>
        <w:rPr>
          <w:rFonts w:asciiTheme="minorHAnsi" w:hAnsiTheme="minorHAnsi"/>
        </w:rPr>
      </w:pPr>
      <w:bookmarkStart w:id="137" w:name="_Ref158844937"/>
      <w:r w:rsidRPr="001E6E9D">
        <w:rPr>
          <w:rFonts w:asciiTheme="minorHAnsi" w:hAnsiTheme="minorHAnsi"/>
        </w:rPr>
        <w:t>Em caso de recuperação judicial ou falência da Emissora, das Fiadoras e de sociedades integrantes do grupo econômico da Emissora e das Fiadoras, não é possível garantir que não ocorrerá a consolidação substancial de ativos e passivos de tais sociedades.</w:t>
      </w:r>
      <w:bookmarkEnd w:id="137"/>
      <w:r w:rsidRPr="001E6E9D">
        <w:rPr>
          <w:rFonts w:asciiTheme="minorHAnsi" w:hAnsiTheme="minorHAnsi"/>
        </w:rPr>
        <w:t xml:space="preserve"> </w:t>
      </w:r>
      <w:bookmarkEnd w:id="136"/>
    </w:p>
    <w:p w14:paraId="1A1414D7"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Em caso de processos de recuperação judicial ou falência da Emissora, das Fiadoras e de sociedades integrantes do seu grupo econômico, não é possível garantir que o juízo responsável pelo processamento da recuperação judicial ou falência não determinará, ainda que de ofício, independentemente da vontade dos credores, a consolidação substancial dos ativos e passivos de tais sociedades.</w:t>
      </w:r>
    </w:p>
    <w:p w14:paraId="0F703667"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lastRenderedPageBreak/>
        <w:t>Nesse caso, haveria o risco de consolidação substancial com sociedades com situação patrimonial menos favorável que a da Emissora e, nessa hipótese, os Debenturistas podem ter maior dificuldade para recuperar seus créditos decorrentes das Debêntures do que teriam caso a consolidação substancial não ocorresse, dado que o patrimônio da Emissora será consolidado com o patrimônio das outras sociedades de seu grupo econômico, respondendo, sem distinção e conjuntamente, pela satisfação de todos os créditos de todas as sociedades. Isso pode gerar uma situação na qual os Debenturistas podem ser incapazes de recuperar a totalidade, ou mesmo parte, de tais créditos.</w:t>
      </w:r>
    </w:p>
    <w:p w14:paraId="7C051951" w14:textId="65D86202"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Magnitude do impacto negativo: </w:t>
      </w:r>
      <w:r w:rsidR="00FA1018" w:rsidRPr="001E6E9D">
        <w:rPr>
          <w:rFonts w:asciiTheme="minorHAnsi" w:eastAsia="Times New Roman" w:hAnsiTheme="minorHAnsi" w:cstheme="minorHAnsi"/>
          <w:spacing w:val="-2"/>
          <w:szCs w:val="20"/>
          <w:lang w:eastAsia="pt-BR"/>
        </w:rPr>
        <w:t>Média</w:t>
      </w:r>
    </w:p>
    <w:p w14:paraId="5EE3CD08" w14:textId="75A157BD" w:rsidR="003468A1" w:rsidRPr="001E6E9D" w:rsidRDefault="0053704D" w:rsidP="00DC7081">
      <w:pPr>
        <w:pStyle w:val="Ttulo4"/>
        <w:rPr>
          <w:rFonts w:asciiTheme="minorHAnsi" w:hAnsiTheme="minorHAnsi"/>
        </w:rPr>
      </w:pPr>
      <w:bookmarkStart w:id="138" w:name="_Ref158844938"/>
      <w:bookmarkStart w:id="139" w:name="_Ref79711661"/>
      <w:bookmarkStart w:id="140" w:name="FAT_As_Debênt_Poderão_Ser_Objeto_AQUISIÇ"/>
      <w:r w:rsidRPr="001E6E9D">
        <w:rPr>
          <w:rFonts w:asciiTheme="minorHAnsi" w:hAnsiTheme="minorHAnsi"/>
        </w:rPr>
        <w:t>As Debêntures poderão ser objeto de Aquisição Facultativa, nos termos do ite</w:t>
      </w:r>
      <w:r w:rsidR="007D23FE" w:rsidRPr="001E6E9D">
        <w:rPr>
          <w:rFonts w:asciiTheme="minorHAnsi" w:hAnsiTheme="minorHAnsi"/>
        </w:rPr>
        <w:t>m</w:t>
      </w:r>
      <w:r w:rsidRPr="001E6E9D">
        <w:rPr>
          <w:rFonts w:asciiTheme="minorHAnsi" w:hAnsiTheme="minorHAnsi"/>
        </w:rPr>
        <w:t xml:space="preserve"> 2.6(m) deste Prospecto e nos termos da Escritura de Emissão, o que poderá impactar de maneira adversa a liquidez e/ou valor das Debêntures no mercado secundário.</w:t>
      </w:r>
      <w:bookmarkEnd w:id="138"/>
    </w:p>
    <w:p w14:paraId="643D8DE9" w14:textId="4E6A9490" w:rsidR="003468A1" w:rsidRPr="001E6E9D" w:rsidRDefault="007D23FE" w:rsidP="00DC7081">
      <w:pPr>
        <w:tabs>
          <w:tab w:val="left" w:pos="851"/>
        </w:tabs>
        <w:autoSpaceDE w:val="0"/>
        <w:autoSpaceDN w:val="0"/>
        <w:rPr>
          <w:rFonts w:asciiTheme="minorHAnsi" w:eastAsia="Times New Roman" w:hAnsiTheme="minorHAnsi" w:cstheme="minorHAnsi"/>
          <w:spacing w:val="4"/>
          <w:szCs w:val="20"/>
          <w:lang w:eastAsia="pt-BR"/>
        </w:rPr>
      </w:pPr>
      <w:r w:rsidRPr="001E6E9D">
        <w:rPr>
          <w:rFonts w:asciiTheme="minorHAnsi" w:eastAsia="Times New Roman" w:hAnsiTheme="minorHAnsi" w:cstheme="minorHAnsi"/>
          <w:spacing w:val="4"/>
          <w:szCs w:val="20"/>
          <w:lang w:eastAsia="pt-BR"/>
        </w:rPr>
        <w:t>A</w:t>
      </w:r>
      <w:r w:rsidR="002B421C" w:rsidRPr="001E6E9D">
        <w:rPr>
          <w:rFonts w:asciiTheme="minorHAnsi" w:eastAsia="Times New Roman" w:hAnsiTheme="minorHAnsi" w:cstheme="minorHAnsi"/>
          <w:spacing w:val="4"/>
          <w:szCs w:val="20"/>
          <w:lang w:eastAsia="pt-BR"/>
        </w:rPr>
        <w:t xml:space="preserve">s Debêntures poderão ser adquiridas pela Emissora, </w:t>
      </w:r>
      <w:r w:rsidRPr="001E6E9D">
        <w:rPr>
          <w:rFonts w:asciiTheme="minorHAnsi" w:eastAsia="Times New Roman" w:hAnsiTheme="minorHAnsi" w:cstheme="minorHAnsi"/>
          <w:spacing w:val="4"/>
          <w:szCs w:val="20"/>
          <w:lang w:eastAsia="pt-BR"/>
        </w:rPr>
        <w:t>nos termos do item 2.6(m) deste Prospecto e nos termos da Escritura de Emissão.</w:t>
      </w:r>
    </w:p>
    <w:p w14:paraId="287A13F7"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Caso a Emissora adquira Debêntures, os Debenturistas poderão sofrer prejuízos financeiros em decorrência de tal Aquisição Facultativa, não havendo qualquer garantia de que existirão, no momento da aquisição, outros ativos no mercado de risco e retorno semelhantes às Debêntures.</w:t>
      </w:r>
    </w:p>
    <w:p w14:paraId="6E5CA8EB"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Além disso, a realização de Aquisição Facultativa poderá ter impacto adverso na liquidez das Debêntures no mercado secundário, uma vez que parte considerável das Debêntures poderá ser retirada de negociação.</w:t>
      </w:r>
      <w:bookmarkEnd w:id="139"/>
      <w:bookmarkEnd w:id="140"/>
    </w:p>
    <w:p w14:paraId="6F4B8F86" w14:textId="6BE8B601"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745A40"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745A40" w:rsidRPr="001E6E9D">
        <w:rPr>
          <w:rFonts w:asciiTheme="minorHAnsi" w:eastAsia="Times New Roman" w:hAnsiTheme="minorHAnsi" w:cstheme="minorHAnsi"/>
          <w:spacing w:val="-2"/>
          <w:szCs w:val="20"/>
          <w:lang w:eastAsia="pt-BR"/>
        </w:rPr>
        <w:t>Média</w:t>
      </w:r>
    </w:p>
    <w:p w14:paraId="73C9366E" w14:textId="5904C532" w:rsidR="003468A1" w:rsidRPr="001E6E9D" w:rsidRDefault="0053704D" w:rsidP="00DC7081">
      <w:pPr>
        <w:pStyle w:val="Ttulo4"/>
        <w:rPr>
          <w:rFonts w:asciiTheme="minorHAnsi" w:hAnsiTheme="minorHAnsi"/>
        </w:rPr>
      </w:pPr>
      <w:bookmarkStart w:id="141" w:name="_Ref158844939"/>
      <w:bookmarkStart w:id="142" w:name="FAT_As_Debênt_Poderão_Ser_Objeto_RESGATE"/>
      <w:bookmarkStart w:id="143" w:name="_Hlk183449741"/>
      <w:r w:rsidRPr="001E6E9D">
        <w:rPr>
          <w:rFonts w:asciiTheme="minorHAnsi" w:hAnsiTheme="minorHAnsi"/>
        </w:rPr>
        <w:t>As Debêntures poderão ser objeto de resgate antecipado facultativo total</w:t>
      </w:r>
      <w:r w:rsidR="002B421C" w:rsidRPr="001E6E9D">
        <w:rPr>
          <w:rFonts w:asciiTheme="minorHAnsi" w:hAnsiTheme="minorHAnsi"/>
        </w:rPr>
        <w:t xml:space="preserve"> e</w:t>
      </w:r>
      <w:r w:rsidRPr="001E6E9D">
        <w:rPr>
          <w:rFonts w:asciiTheme="minorHAnsi" w:hAnsiTheme="minorHAnsi"/>
        </w:rPr>
        <w:t xml:space="preserve"> oferta de resgate antecipado nas hipóteses previstas na Escritura de Emissão.</w:t>
      </w:r>
      <w:bookmarkEnd w:id="141"/>
    </w:p>
    <w:p w14:paraId="093A0BEE" w14:textId="6E6F11C2" w:rsidR="003468A1" w:rsidRPr="001E6E9D" w:rsidRDefault="0053704D" w:rsidP="00DC7081">
      <w:pPr>
        <w:rPr>
          <w:rFonts w:asciiTheme="minorHAnsi" w:eastAsia="Arial Unicode MS" w:hAnsiTheme="minorHAnsi" w:cstheme="minorHAnsi"/>
          <w:szCs w:val="20"/>
          <w:lang w:eastAsia="pt-BR"/>
        </w:rPr>
      </w:pPr>
      <w:r w:rsidRPr="001E6E9D">
        <w:rPr>
          <w:rFonts w:asciiTheme="minorHAnsi" w:eastAsia="Arial Unicode MS" w:hAnsiTheme="minorHAnsi" w:cstheme="minorHAnsi"/>
          <w:szCs w:val="20"/>
          <w:lang w:eastAsia="pt-BR"/>
        </w:rPr>
        <w:t>A Emissora poderá realizar Resgate Antecipado Facultativo Total</w:t>
      </w:r>
      <w:r w:rsidR="007D23FE" w:rsidRPr="001E6E9D">
        <w:rPr>
          <w:rFonts w:asciiTheme="minorHAnsi" w:eastAsia="Arial Unicode MS" w:hAnsiTheme="minorHAnsi" w:cstheme="minorHAnsi"/>
          <w:szCs w:val="20"/>
          <w:lang w:eastAsia="pt-BR"/>
        </w:rPr>
        <w:t>, nos termos do item 2.6(</w:t>
      </w:r>
      <w:r w:rsidR="00850BEF">
        <w:rPr>
          <w:rFonts w:asciiTheme="minorHAnsi" w:eastAsia="Arial Unicode MS" w:hAnsiTheme="minorHAnsi" w:cstheme="minorHAnsi"/>
          <w:szCs w:val="20"/>
          <w:lang w:eastAsia="pt-BR"/>
        </w:rPr>
        <w:t>l.2</w:t>
      </w:r>
      <w:r w:rsidR="007D23FE" w:rsidRPr="001E6E9D">
        <w:rPr>
          <w:rFonts w:asciiTheme="minorHAnsi" w:eastAsia="Arial Unicode MS" w:hAnsiTheme="minorHAnsi" w:cstheme="minorHAnsi"/>
          <w:szCs w:val="20"/>
          <w:lang w:eastAsia="pt-BR"/>
        </w:rPr>
        <w:t>) deste Prospecto e nos termos da Escritura de Emissão</w:t>
      </w:r>
      <w:r w:rsidRPr="001E6E9D">
        <w:rPr>
          <w:rFonts w:asciiTheme="minorHAnsi" w:eastAsia="Arial Unicode MS" w:hAnsiTheme="minorHAnsi" w:cstheme="minorHAnsi"/>
          <w:szCs w:val="20"/>
          <w:lang w:eastAsia="pt-BR"/>
        </w:rPr>
        <w:t>.</w:t>
      </w:r>
    </w:p>
    <w:p w14:paraId="12E86794" w14:textId="23FBC03F" w:rsidR="003468A1" w:rsidRPr="001E6E9D" w:rsidRDefault="0053704D" w:rsidP="00DC7081">
      <w:pPr>
        <w:rPr>
          <w:rFonts w:asciiTheme="minorHAnsi" w:eastAsia="Arial Unicode MS" w:hAnsiTheme="minorHAnsi" w:cstheme="minorHAnsi"/>
          <w:szCs w:val="20"/>
          <w:lang w:eastAsia="pt-BR"/>
        </w:rPr>
      </w:pPr>
      <w:r w:rsidRPr="001E6E9D">
        <w:rPr>
          <w:rFonts w:asciiTheme="minorHAnsi" w:eastAsia="Arial Unicode MS" w:hAnsiTheme="minorHAnsi" w:cstheme="minorHAnsi"/>
          <w:szCs w:val="20"/>
          <w:lang w:eastAsia="pt-BR"/>
        </w:rPr>
        <w:t xml:space="preserve">A Emissora poderá realizar Oferta de Resgate Antecipado, </w:t>
      </w:r>
      <w:r w:rsidR="00EE3CBA" w:rsidRPr="001E6E9D">
        <w:rPr>
          <w:rFonts w:asciiTheme="minorHAnsi" w:eastAsia="Arial Unicode MS" w:hAnsiTheme="minorHAnsi" w:cstheme="minorHAnsi"/>
          <w:szCs w:val="20"/>
          <w:lang w:eastAsia="pt-BR"/>
        </w:rPr>
        <w:t>nos termos do item 2.6(</w:t>
      </w:r>
      <w:r w:rsidR="00850BEF">
        <w:rPr>
          <w:rFonts w:asciiTheme="minorHAnsi" w:eastAsia="Arial Unicode MS" w:hAnsiTheme="minorHAnsi" w:cstheme="minorHAnsi"/>
          <w:szCs w:val="20"/>
          <w:lang w:eastAsia="pt-BR"/>
        </w:rPr>
        <w:t>l.4</w:t>
      </w:r>
      <w:r w:rsidR="00EE3CBA" w:rsidRPr="001E6E9D">
        <w:rPr>
          <w:rFonts w:asciiTheme="minorHAnsi" w:eastAsia="Arial Unicode MS" w:hAnsiTheme="minorHAnsi" w:cstheme="minorHAnsi"/>
          <w:szCs w:val="20"/>
          <w:lang w:eastAsia="pt-BR"/>
        </w:rPr>
        <w:t>) deste Prospecto e nos termos da Escritura de Emissão.</w:t>
      </w:r>
    </w:p>
    <w:p w14:paraId="6D0171C8"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Os Debenturistas poderão sofrer prejuízos financeiros em decorrência do resgate antecipado das Debêntures, não havendo qualquer garantia de que existirão, no momento do resgate antecipado, outros ativos no mercado de risco e retorno semelhantes às Debêntures.</w:t>
      </w:r>
      <w:bookmarkEnd w:id="142"/>
    </w:p>
    <w:p w14:paraId="74803CC9" w14:textId="02890A39"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bookmarkEnd w:id="143"/>
      <w:r w:rsidR="00FA1018" w:rsidRPr="001E6E9D">
        <w:rPr>
          <w:rFonts w:asciiTheme="minorHAnsi" w:eastAsia="Times New Roman" w:hAnsiTheme="minorHAnsi" w:cstheme="minorHAnsi"/>
          <w:spacing w:val="-2"/>
          <w:szCs w:val="20"/>
          <w:lang w:eastAsia="pt-BR"/>
        </w:rPr>
        <w:t>Média</w:t>
      </w:r>
    </w:p>
    <w:p w14:paraId="6B770927" w14:textId="77777777" w:rsidR="003468A1" w:rsidRPr="001E6E9D" w:rsidRDefault="0053704D" w:rsidP="00DC7081">
      <w:pPr>
        <w:pStyle w:val="Ttulo4"/>
        <w:rPr>
          <w:rFonts w:asciiTheme="minorHAnsi" w:hAnsiTheme="minorHAnsi"/>
        </w:rPr>
      </w:pPr>
      <w:bookmarkStart w:id="144" w:name="_Ref158844940"/>
      <w:bookmarkStart w:id="145" w:name="FAT_O_Invest_Titular_De_Debêntu_ACATAR"/>
      <w:r w:rsidRPr="001E6E9D">
        <w:rPr>
          <w:rFonts w:asciiTheme="minorHAnsi" w:hAnsiTheme="minorHAnsi"/>
        </w:rPr>
        <w:t>O investidor titular de pequena quantidade de Debêntures pode ser obrigado a acatar decisões deliberadas em Assembleia de Debenturistas.</w:t>
      </w:r>
      <w:bookmarkEnd w:id="144"/>
      <w:r w:rsidRPr="001E6E9D">
        <w:rPr>
          <w:rFonts w:asciiTheme="minorHAnsi" w:hAnsiTheme="minorHAnsi"/>
        </w:rPr>
        <w:t xml:space="preserve"> </w:t>
      </w:r>
      <w:bookmarkEnd w:id="145"/>
    </w:p>
    <w:p w14:paraId="50A714FA"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O Debenturista detentor de pequena quantidade de Debêntures pode ser obrigado a acatar decisões da maioria dos Debenturistas ainda que manifeste voto desfavorável, não compareça à assembleia de Debenturistas ou se abstenha de votar, não existindo qualquer mecanismo para o resgate, a amortização ou a venda compulsória no caso de dissidência em determinadas matérias submetidas à deliberação pela assembleia de Debenturistas. Há também o risco de o quórum de instalação ou deliberação de determinada matéria não ser atingido e, dessa forma, os Debenturistas poderão não conseguir, ou ter dificuldade de deliberar matérias sujeitas à assembleia de Debenturistas.</w:t>
      </w:r>
    </w:p>
    <w:p w14:paraId="0DABBA39" w14:textId="1439ECC8"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p>
    <w:p w14:paraId="34DCA5BE" w14:textId="77777777" w:rsidR="003468A1" w:rsidRPr="001E6E9D" w:rsidRDefault="0053704D" w:rsidP="00DC7081">
      <w:pPr>
        <w:pStyle w:val="Ttulo4"/>
        <w:rPr>
          <w:rFonts w:asciiTheme="minorHAnsi" w:hAnsiTheme="minorHAnsi"/>
        </w:rPr>
      </w:pPr>
      <w:bookmarkStart w:id="146" w:name="_Ref158844941"/>
      <w:bookmarkStart w:id="147" w:name="FAT_É_Possível_Que_Decisões_Judiciais_Ad"/>
      <w:r w:rsidRPr="001E6E9D">
        <w:rPr>
          <w:rFonts w:asciiTheme="minorHAnsi" w:hAnsiTheme="minorHAnsi"/>
        </w:rPr>
        <w:t>É possível que decisões judiciais, administrativas ou arbitrais futuras prejudiquem a estrutura da Oferta.</w:t>
      </w:r>
      <w:bookmarkEnd w:id="146"/>
      <w:r w:rsidRPr="001E6E9D">
        <w:rPr>
          <w:rFonts w:asciiTheme="minorHAnsi" w:hAnsiTheme="minorHAnsi"/>
        </w:rPr>
        <w:t xml:space="preserve"> </w:t>
      </w:r>
      <w:bookmarkEnd w:id="147"/>
    </w:p>
    <w:p w14:paraId="0FCF4B95" w14:textId="113CED33"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Não pode ser afastada a hipótese de decisões judiciais, administrativas ou arbitrais futuras que possam ser</w:t>
      </w:r>
      <w:r w:rsidR="002E0CAA" w:rsidRPr="001E6E9D">
        <w:rPr>
          <w:rFonts w:asciiTheme="minorHAnsi" w:eastAsia="Times New Roman" w:hAnsiTheme="minorHAnsi" w:cstheme="minorHAnsi"/>
          <w:szCs w:val="20"/>
          <w:lang w:eastAsia="pt-BR"/>
        </w:rPr>
        <w:t> </w:t>
      </w:r>
      <w:r w:rsidRPr="001E6E9D">
        <w:rPr>
          <w:rFonts w:asciiTheme="minorHAnsi" w:eastAsia="Times New Roman" w:hAnsiTheme="minorHAnsi" w:cstheme="minorHAnsi"/>
          <w:szCs w:val="20"/>
          <w:lang w:eastAsia="pt-BR"/>
        </w:rPr>
        <w:t>contrárias ao disposto nos documentos da Oferta. Além disso, toda a estrutura de emissão e remuneração das Debêntures foi realizada com base em disposições legais vigentes atualmente. Dessa forma, eventuais restrições de natureza legal ou regulatória, que possam vir a ser editadas podem afetar adversamente a validade</w:t>
      </w:r>
      <w:r w:rsidR="002E0CAA" w:rsidRPr="001E6E9D">
        <w:rPr>
          <w:rFonts w:asciiTheme="minorHAnsi" w:eastAsia="Times New Roman" w:hAnsiTheme="minorHAnsi" w:cstheme="minorHAnsi"/>
          <w:szCs w:val="20"/>
          <w:lang w:eastAsia="pt-BR"/>
        </w:rPr>
        <w:t> </w:t>
      </w:r>
      <w:r w:rsidRPr="001E6E9D">
        <w:rPr>
          <w:rFonts w:asciiTheme="minorHAnsi" w:eastAsia="Times New Roman" w:hAnsiTheme="minorHAnsi" w:cstheme="minorHAnsi"/>
          <w:szCs w:val="20"/>
          <w:lang w:eastAsia="pt-BR"/>
        </w:rPr>
        <w:t>da Emissão, podendo gerar perda do capital investido pelos Debenturistas, caso tais decisões tenham efeitos</w:t>
      </w:r>
      <w:r w:rsidR="009A22ED" w:rsidRPr="001E6E9D">
        <w:rPr>
          <w:rFonts w:asciiTheme="minorHAnsi" w:eastAsia="Times New Roman" w:hAnsiTheme="minorHAnsi" w:cstheme="minorHAnsi"/>
          <w:szCs w:val="20"/>
          <w:lang w:eastAsia="pt-BR"/>
        </w:rPr>
        <w:t xml:space="preserve"> </w:t>
      </w:r>
      <w:r w:rsidRPr="001E6E9D">
        <w:rPr>
          <w:rFonts w:asciiTheme="minorHAnsi" w:eastAsia="Times New Roman" w:hAnsiTheme="minorHAnsi" w:cstheme="minorHAnsi"/>
          <w:szCs w:val="20"/>
          <w:lang w:eastAsia="pt-BR"/>
        </w:rPr>
        <w:t>retroativos.</w:t>
      </w:r>
    </w:p>
    <w:p w14:paraId="3F73B562" w14:textId="02C43146"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p>
    <w:p w14:paraId="31197BCD" w14:textId="77777777" w:rsidR="003468A1" w:rsidRPr="001E6E9D" w:rsidRDefault="0053704D" w:rsidP="001F7A69">
      <w:pPr>
        <w:pStyle w:val="Ttulo4"/>
        <w:keepNext/>
        <w:keepLines/>
        <w:spacing w:after="180"/>
        <w:rPr>
          <w:rFonts w:asciiTheme="minorHAnsi" w:hAnsiTheme="minorHAnsi"/>
        </w:rPr>
      </w:pPr>
      <w:bookmarkStart w:id="148" w:name="_Ref158844943"/>
      <w:bookmarkStart w:id="149" w:name="FAT_Eventuais_Matérias_Veiculadas_Na_Míd"/>
      <w:r w:rsidRPr="001E6E9D">
        <w:rPr>
          <w:rFonts w:asciiTheme="minorHAnsi" w:hAnsiTheme="minorHAnsi"/>
        </w:rPr>
        <w:lastRenderedPageBreak/>
        <w:t>Eventuais matérias veiculadas na mídia com informações equivocadas ou imprecisas sobre a Oferta, a Emissora, as Fiadoras ou aos Coordenadores e/ou os respectivos representantes de cada uma das entidades mencionadas poderão gerar questionamentos por parte da CVM, da B3 e de potenciais investidores da Oferta, o que poderá impactar negativamente a Oferta.</w:t>
      </w:r>
      <w:bookmarkEnd w:id="148"/>
      <w:r w:rsidRPr="001E6E9D">
        <w:rPr>
          <w:rFonts w:asciiTheme="minorHAnsi" w:hAnsiTheme="minorHAnsi"/>
        </w:rPr>
        <w:t xml:space="preserve"> </w:t>
      </w:r>
      <w:bookmarkEnd w:id="149"/>
    </w:p>
    <w:p w14:paraId="39AF4822" w14:textId="4EB96F2F" w:rsidR="003468A1" w:rsidRPr="001E6E9D" w:rsidRDefault="0053704D" w:rsidP="001F7A69">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 Oferta e suas condições passaram a ser de conhecimento público após a divulgação </w:t>
      </w:r>
      <w:r w:rsidR="0085417C" w:rsidRPr="001E6E9D">
        <w:rPr>
          <w:rFonts w:asciiTheme="minorHAnsi" w:eastAsia="Times New Roman" w:hAnsiTheme="minorHAnsi" w:cstheme="minorHAnsi"/>
          <w:szCs w:val="20"/>
          <w:lang w:eastAsia="pt-BR"/>
        </w:rPr>
        <w:t xml:space="preserve">do Aviso ao Mercado e </w:t>
      </w:r>
      <w:r w:rsidRPr="001E6E9D">
        <w:rPr>
          <w:rFonts w:asciiTheme="minorHAnsi" w:eastAsia="Times New Roman" w:hAnsiTheme="minorHAnsi" w:cstheme="minorHAnsi"/>
          <w:szCs w:val="20"/>
          <w:lang w:eastAsia="pt-BR"/>
        </w:rPr>
        <w:t>deste Prospecto. A partir deste momento e até a disponibilização do Anúncio de Encerramento da Oferta, poderão ser veiculadas matérias contendo informações equivocadas ou imprecisas sobre a Oferta, a Emissora, as Fiadoras ou os Coordenadores e/ou os respectivos representantes de cada uma das entidades mencionadas, ou, ainda, contendo certos dados que não constam deste Prospecto. Tendo em vista que o</w:t>
      </w:r>
      <w:r w:rsidR="0085417C" w:rsidRPr="001E6E9D">
        <w:rPr>
          <w:rFonts w:asciiTheme="minorHAnsi" w:eastAsia="Times New Roman" w:hAnsiTheme="minorHAnsi" w:cstheme="minorHAnsi"/>
          <w:szCs w:val="20"/>
          <w:lang w:eastAsia="pt-BR"/>
        </w:rPr>
        <w:t>s</w:t>
      </w:r>
      <w:r w:rsidRPr="001E6E9D">
        <w:rPr>
          <w:rFonts w:asciiTheme="minorHAnsi" w:eastAsia="Times New Roman" w:hAnsiTheme="minorHAnsi" w:cstheme="minorHAnsi"/>
          <w:szCs w:val="20"/>
          <w:lang w:eastAsia="pt-BR"/>
        </w:rPr>
        <w:t xml:space="preserve"> artigo</w:t>
      </w:r>
      <w:r w:rsidR="0085417C" w:rsidRPr="001E6E9D">
        <w:rPr>
          <w:rFonts w:asciiTheme="minorHAnsi" w:eastAsia="Times New Roman" w:hAnsiTheme="minorHAnsi" w:cstheme="minorHAnsi"/>
          <w:szCs w:val="20"/>
          <w:lang w:eastAsia="pt-BR"/>
        </w:rPr>
        <w:t>s</w:t>
      </w:r>
      <w:r w:rsidRPr="001E6E9D">
        <w:rPr>
          <w:rFonts w:asciiTheme="minorHAnsi" w:eastAsia="Times New Roman" w:hAnsiTheme="minorHAnsi" w:cstheme="minorHAnsi"/>
          <w:szCs w:val="20"/>
          <w:lang w:eastAsia="pt-BR"/>
        </w:rPr>
        <w:t xml:space="preserve"> 11</w:t>
      </w:r>
      <w:r w:rsidR="0085417C" w:rsidRPr="001E6E9D">
        <w:rPr>
          <w:rFonts w:asciiTheme="minorHAnsi" w:eastAsia="Times New Roman" w:hAnsiTheme="minorHAnsi" w:cstheme="minorHAnsi"/>
          <w:szCs w:val="20"/>
          <w:lang w:eastAsia="pt-BR"/>
        </w:rPr>
        <w:t>, 12</w:t>
      </w:r>
      <w:r w:rsidRPr="001E6E9D">
        <w:rPr>
          <w:rFonts w:asciiTheme="minorHAnsi" w:eastAsia="Times New Roman" w:hAnsiTheme="minorHAnsi" w:cstheme="minorHAnsi"/>
          <w:szCs w:val="20"/>
          <w:lang w:eastAsia="pt-BR"/>
        </w:rPr>
        <w:t xml:space="preserve"> e seguintes da Resolução CVM 160 </w:t>
      </w:r>
      <w:r w:rsidR="0085417C" w:rsidRPr="001E6E9D">
        <w:rPr>
          <w:rFonts w:asciiTheme="minorHAnsi" w:eastAsia="Times New Roman" w:hAnsiTheme="minorHAnsi" w:cstheme="minorHAnsi"/>
          <w:szCs w:val="20"/>
          <w:lang w:eastAsia="pt-BR"/>
        </w:rPr>
        <w:t xml:space="preserve">estabelece condições a </w:t>
      </w:r>
      <w:r w:rsidRPr="001E6E9D">
        <w:rPr>
          <w:rFonts w:asciiTheme="minorHAnsi" w:eastAsia="Times New Roman" w:hAnsiTheme="minorHAnsi" w:cstheme="minorHAnsi"/>
          <w:szCs w:val="20"/>
          <w:lang w:eastAsia="pt-BR"/>
        </w:rPr>
        <w:t>qualquer manifestação na mídia por parte da Emissora, das Fiadoras ou dos Coordenadores sobre a Oferta até a disponibilização do Anúncio de Encerramento da Oferta, eventuais notícias sobre a Oferta poderão conter informações que não foram fornecidas ou que não contaram com a revisão da Emissora, das Fiadoras ou dos Coordenadores. Assim, caso haja informações equivocadas ou imprecisas sobre a Oferta divulgadas na mídia ou, ainda, caso sejam veiculadas notícias com dados que não constam deste Prospecto, a CVM, a B3 ou potenciais investidores poderão questionar o conteúdo de tais matérias, o que poderá afetar negativamente a tomada de decisão de investimento pelos potenciais investidores podendo resultar, ainda, a exclusivo critério da CVM, na suspensão da Oferta, com a consequente alteração do seu cronograma, ou no seu cancelamento.</w:t>
      </w:r>
    </w:p>
    <w:p w14:paraId="69961D40" w14:textId="690D070F" w:rsidR="00A73677" w:rsidRPr="001E6E9D" w:rsidRDefault="00A73677" w:rsidP="001F7A69">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p>
    <w:p w14:paraId="146EFFF8" w14:textId="77777777" w:rsidR="003468A1" w:rsidRPr="001E6E9D" w:rsidRDefault="0053704D" w:rsidP="001F7A69">
      <w:pPr>
        <w:pStyle w:val="Ttulo4"/>
        <w:spacing w:after="180"/>
        <w:rPr>
          <w:rFonts w:asciiTheme="minorHAnsi" w:hAnsiTheme="minorHAnsi"/>
          <w:spacing w:val="-4"/>
        </w:rPr>
      </w:pPr>
      <w:bookmarkStart w:id="150" w:name="FAT_As_Informações_Acerca_Do_Futuro_Da"/>
      <w:r w:rsidRPr="001E6E9D">
        <w:rPr>
          <w:rFonts w:asciiTheme="minorHAnsi" w:hAnsiTheme="minorHAnsi"/>
          <w:spacing w:val="-4"/>
        </w:rPr>
        <w:t>As informações acerca do futuro da Emissora contidas neste Prospecto (incluindo seus anexos) podem não ser precisas, podem não se concretizar e/ou serem substancialmente divergentes dos resultados efetivos e, portanto, não devem ser levadas em consideração pelos investidores na sua tomada de decisão em investir nas Debêntures.</w:t>
      </w:r>
      <w:bookmarkEnd w:id="150"/>
    </w:p>
    <w:p w14:paraId="015E88BE" w14:textId="3AEB4BEB" w:rsidR="003468A1" w:rsidRPr="001E6E9D" w:rsidRDefault="0053704D" w:rsidP="001F7A69">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Este Prospecto (incluindo seus anexos) contém informações acerca das perspectivas do futuro e projeções da Emissora, as quais refletem as opiniões da Emissora em relação ao desenvolvimento futuro e que, como em qualquer atividade econômica, envolve riscos e incertezas. Não há garantias de que o desempenho futuro da Emissora será consistente com tais informações. Os eventos futuros e projeções poderão diferir sensivelmente das tendências aqui indicadas, dependendo de vários fatores discutidos nesta </w:t>
      </w:r>
      <w:r w:rsidRPr="001E6E9D">
        <w:rPr>
          <w:rFonts w:asciiTheme="minorHAnsi" w:eastAsia="Times New Roman" w:hAnsiTheme="minorHAnsi" w:cstheme="minorHAnsi"/>
          <w:szCs w:val="20"/>
          <w:u w:val="single"/>
          <w:lang w:eastAsia="pt-BR"/>
        </w:rPr>
        <w:t>seção 4</w:t>
      </w:r>
      <w:r w:rsidRPr="001E6E9D">
        <w:rPr>
          <w:rFonts w:asciiTheme="minorHAnsi" w:eastAsia="Times New Roman" w:hAnsiTheme="minorHAnsi" w:cstheme="minorHAnsi"/>
          <w:szCs w:val="20"/>
          <w:lang w:eastAsia="pt-BR"/>
        </w:rPr>
        <w:t xml:space="preserve">. As expressões </w:t>
      </w:r>
      <w:r w:rsidR="000D5E35" w:rsidRPr="001E6E9D">
        <w:rPr>
          <w:rFonts w:asciiTheme="minorHAnsi" w:eastAsia="Times New Roman" w:hAnsiTheme="minorHAnsi" w:cstheme="minorHAnsi"/>
          <w:szCs w:val="20"/>
          <w:lang w:eastAsia="pt-BR"/>
        </w:rPr>
        <w:t>“</w:t>
      </w:r>
      <w:r w:rsidRPr="001E6E9D">
        <w:rPr>
          <w:rFonts w:asciiTheme="minorHAnsi" w:eastAsia="Times New Roman" w:hAnsiTheme="minorHAnsi" w:cstheme="minorHAnsi"/>
          <w:szCs w:val="20"/>
          <w:lang w:eastAsia="pt-BR"/>
        </w:rPr>
        <w:t xml:space="preserve">acredita que”, </w:t>
      </w:r>
      <w:r w:rsidR="000D5E35" w:rsidRPr="001E6E9D">
        <w:rPr>
          <w:rFonts w:asciiTheme="minorHAnsi" w:eastAsia="Times New Roman" w:hAnsiTheme="minorHAnsi" w:cstheme="minorHAnsi"/>
          <w:szCs w:val="20"/>
          <w:lang w:eastAsia="pt-BR"/>
        </w:rPr>
        <w:t>“</w:t>
      </w:r>
      <w:r w:rsidRPr="001E6E9D">
        <w:rPr>
          <w:rFonts w:asciiTheme="minorHAnsi" w:eastAsia="Times New Roman" w:hAnsiTheme="minorHAnsi" w:cstheme="minorHAnsi"/>
          <w:szCs w:val="20"/>
          <w:lang w:eastAsia="pt-BR"/>
        </w:rPr>
        <w:t xml:space="preserve">espera que” e </w:t>
      </w:r>
      <w:r w:rsidR="000D5E35" w:rsidRPr="001E6E9D">
        <w:rPr>
          <w:rFonts w:asciiTheme="minorHAnsi" w:eastAsia="Times New Roman" w:hAnsiTheme="minorHAnsi" w:cstheme="minorHAnsi"/>
          <w:szCs w:val="20"/>
          <w:lang w:eastAsia="pt-BR"/>
        </w:rPr>
        <w:t>“</w:t>
      </w:r>
      <w:r w:rsidRPr="001E6E9D">
        <w:rPr>
          <w:rFonts w:asciiTheme="minorHAnsi" w:eastAsia="Times New Roman" w:hAnsiTheme="minorHAnsi" w:cstheme="minorHAnsi"/>
          <w:szCs w:val="20"/>
          <w:lang w:eastAsia="pt-BR"/>
        </w:rPr>
        <w:t>antecipa que”, bem como outras expressões similares, identificam informações acerca das perspectivas do futuro e projeções da Emissora que não representam qualquer garantia quanto a sua ocorrência. Os potenciais investidores são advertidos a examinar com toda a cautela e diligência as informações contidas neste Prospecto (incluindo seus anexos) e a não tomar decisões de investimento baseados em previsões futuras, projeções ou expectativas. Não é possível assumir qualquer obrigação de atualizar ou revisar quaisquer informações acerca das perspectivas do futuro, exceto pelo disposto na regulamentação aplicável, e a não concretização das perspectivas do futuro ou projeções da Emissora divulgadas podem resultar em um efeito negativo relevante nos resultados e operações da Emissora.</w:t>
      </w:r>
    </w:p>
    <w:p w14:paraId="5E5EC5FD" w14:textId="736B5897" w:rsidR="00A73677" w:rsidRPr="001E6E9D" w:rsidRDefault="00A73677" w:rsidP="001F7A69">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Média</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Média</w:t>
      </w:r>
    </w:p>
    <w:p w14:paraId="22B0849E" w14:textId="77777777" w:rsidR="003468A1" w:rsidRPr="001E6E9D" w:rsidRDefault="0053704D" w:rsidP="001F7A69">
      <w:pPr>
        <w:pStyle w:val="Ttulo4"/>
        <w:spacing w:after="180"/>
        <w:rPr>
          <w:rFonts w:asciiTheme="minorHAnsi" w:hAnsiTheme="minorHAnsi"/>
        </w:rPr>
      </w:pPr>
      <w:bookmarkStart w:id="151" w:name="_Ref158844944"/>
      <w:bookmarkStart w:id="152" w:name="FAT_Risco_Decorrente_Da_Não_Obrigação"/>
      <w:r w:rsidRPr="001E6E9D">
        <w:rPr>
          <w:rFonts w:asciiTheme="minorHAnsi" w:hAnsiTheme="minorHAnsi"/>
        </w:rPr>
        <w:t>Risco decorrente da não obrigatoriedade de revisões e/ou atualizações de projeções.</w:t>
      </w:r>
      <w:bookmarkEnd w:id="151"/>
      <w:r w:rsidRPr="001E6E9D">
        <w:rPr>
          <w:rFonts w:asciiTheme="minorHAnsi" w:hAnsiTheme="minorHAnsi"/>
        </w:rPr>
        <w:t xml:space="preserve"> </w:t>
      </w:r>
      <w:bookmarkEnd w:id="152"/>
    </w:p>
    <w:p w14:paraId="68DC5F97" w14:textId="6FCC5B26" w:rsidR="003468A1" w:rsidRPr="001E6E9D" w:rsidRDefault="0053704D" w:rsidP="001F7A69">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 Emissora, as Fiadoras e os Coordenadores não possuem qualquer obrigação de revisar e/ou atualizar quaisquer projeções constantes deste Prospecto e/ou de qualquer material de divulgação da Oferta, incluindo sem limitação, quaisquer revisões que reflitam alterações nas condições econômicas ou outras circunstâncias posteriores à data deste Prospecto e/ou do referido material de divulgação, conforme o caso, mesmo que as premissas nas quais tais projeções se baseiem estejam incorretas. </w:t>
      </w:r>
      <w:bookmarkStart w:id="153" w:name="_Hlk126950746"/>
      <w:r w:rsidRPr="001E6E9D">
        <w:rPr>
          <w:rFonts w:asciiTheme="minorHAnsi" w:eastAsia="Times New Roman" w:hAnsiTheme="minorHAnsi" w:cstheme="minorHAnsi"/>
          <w:szCs w:val="20"/>
          <w:lang w:eastAsia="pt-BR"/>
        </w:rPr>
        <w:t>Assim, ao decidirem investir nas Debêntures, os investidores não devem se basear em referidas informações, as quais poderão estar desatualizadas no momento de tal investimento e a não revisão e/ou atualização das perspectivas do futuro ou projeções da Emissora divulgadas podem resultar em um efeito negativo relevante nos resultados e operações da Emissora.</w:t>
      </w:r>
      <w:bookmarkEnd w:id="153"/>
    </w:p>
    <w:p w14:paraId="0FA88EF0" w14:textId="36AA659A" w:rsidR="00A73677" w:rsidRPr="001E6E9D" w:rsidRDefault="00A73677" w:rsidP="001F7A69">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Menor</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Menor</w:t>
      </w:r>
    </w:p>
    <w:p w14:paraId="694C000D" w14:textId="77777777" w:rsidR="003468A1" w:rsidRPr="001E6E9D" w:rsidRDefault="0053704D" w:rsidP="001F7A69">
      <w:pPr>
        <w:pStyle w:val="Ttulo4"/>
        <w:spacing w:after="180"/>
        <w:rPr>
          <w:rFonts w:asciiTheme="minorHAnsi" w:hAnsiTheme="minorHAnsi"/>
        </w:rPr>
      </w:pPr>
      <w:bookmarkStart w:id="154" w:name="FAT_Risco_De_Não_Cumprimento_De_Condiçõe"/>
      <w:r w:rsidRPr="001E6E9D">
        <w:rPr>
          <w:rFonts w:asciiTheme="minorHAnsi" w:hAnsiTheme="minorHAnsi"/>
        </w:rPr>
        <w:t>Risco de não cumprimento de condições precedentes.</w:t>
      </w:r>
      <w:bookmarkEnd w:id="154"/>
    </w:p>
    <w:p w14:paraId="23AAF34D" w14:textId="77777777" w:rsidR="003468A1" w:rsidRPr="001E6E9D" w:rsidRDefault="0053704D" w:rsidP="001F7A69">
      <w:pPr>
        <w:tabs>
          <w:tab w:val="left" w:pos="851"/>
        </w:tabs>
        <w:autoSpaceDE w:val="0"/>
        <w:autoSpaceDN w:val="0"/>
        <w:spacing w:after="18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O Contrato de Distribuição prevê diversas condições precedentes que devem ser satisfeitas para a realização da distribuição das Debêntures. Na hipótese do não atendimento de tais condições precedentes, os Coordenadores podem decidir pela continuidade ou não da Oferta. Caso os Coordenadores decidam pela não continuidade da Oferta, a Oferta não será realizada e não produzirá efeitos com relação a quaisquer das partes, com o consequente cancelamento da Oferta, podendo causar prejuízos à Emissora e perdas financeiras aos Debenturistas.</w:t>
      </w:r>
    </w:p>
    <w:p w14:paraId="44F51948" w14:textId="219356F6" w:rsidR="00A73677" w:rsidRPr="001E6E9D" w:rsidRDefault="00A73677" w:rsidP="001F7A69">
      <w:pPr>
        <w:tabs>
          <w:tab w:val="left" w:pos="851"/>
        </w:tabs>
        <w:autoSpaceDE w:val="0"/>
        <w:autoSpaceDN w:val="0"/>
        <w:spacing w:after="18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Menor</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Menor</w:t>
      </w:r>
    </w:p>
    <w:p w14:paraId="33EBF1C6" w14:textId="77777777" w:rsidR="003468A1" w:rsidRPr="001E6E9D" w:rsidRDefault="0053704D" w:rsidP="00DC7081">
      <w:pPr>
        <w:pStyle w:val="Ttulo4"/>
        <w:rPr>
          <w:rFonts w:asciiTheme="minorHAnsi" w:hAnsiTheme="minorHAnsi"/>
        </w:rPr>
      </w:pPr>
      <w:bookmarkStart w:id="155" w:name="_Ref158844946"/>
      <w:bookmarkStart w:id="156" w:name="FAT_A_Oferta_Poderá_Vir_A_Ser_Cancelada"/>
      <w:r w:rsidRPr="001E6E9D">
        <w:rPr>
          <w:rFonts w:asciiTheme="minorHAnsi" w:hAnsiTheme="minorHAnsi"/>
        </w:rPr>
        <w:lastRenderedPageBreak/>
        <w:t>A Oferta poderá vir a ser cancelada ou revogada pela CVM.</w:t>
      </w:r>
      <w:bookmarkEnd w:id="155"/>
      <w:r w:rsidRPr="001E6E9D">
        <w:rPr>
          <w:rFonts w:asciiTheme="minorHAnsi" w:hAnsiTheme="minorHAnsi"/>
        </w:rPr>
        <w:t xml:space="preserve"> </w:t>
      </w:r>
      <w:bookmarkEnd w:id="156"/>
    </w:p>
    <w:p w14:paraId="7DA708E0"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Nos termos dos artigos 70 e seguintes da Resolução CVM 160, a CVM poderá suspender ou cancelar, a qualquer tempo, a Oferta que: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estiver se processando em condições diversas das constantes da Resolução CVM 160;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estiver sendo intermediada por coordenador que esteja com registro suspenso ou cancelado; ou </w:t>
      </w:r>
      <w:r w:rsidRPr="001E6E9D">
        <w:rPr>
          <w:rFonts w:asciiTheme="minorHAnsi" w:eastAsia="Times New Roman" w:hAnsiTheme="minorHAnsi" w:cstheme="minorHAnsi"/>
          <w:b/>
          <w:bCs/>
          <w:szCs w:val="20"/>
          <w:lang w:eastAsia="pt-BR"/>
        </w:rPr>
        <w:t>(iii)</w:t>
      </w:r>
      <w:r w:rsidRPr="001E6E9D">
        <w:rPr>
          <w:rFonts w:asciiTheme="minorHAnsi" w:eastAsia="Times New Roman" w:hAnsiTheme="minorHAnsi" w:cstheme="minorHAnsi"/>
          <w:szCs w:val="20"/>
          <w:lang w:eastAsia="pt-BR"/>
        </w:rPr>
        <w:t xml:space="preserve"> for havida por ilegal, contrária à regulamentação da CVM ou fraudulenta. Adicionalmente, a rescisão do Contrato de Distribuição também importará no cancelamento do registro da Oferta. </w:t>
      </w:r>
    </w:p>
    <w:p w14:paraId="0C0C7250"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Caso a Oferta seja suspensa, cancelada ou revogada, nos termos da Resolução CVM 160 e/ou do Contrato de Distribuição, todos os atos de aceitação serão cancelados e os Coordenadores e a Emissora comunicarão tal evento aos investidores, o que poderá ocorrer, inclusive, mediante publicação de aviso ao mercado. Logo, nas hipóteses de cancelamento ou revogação da Oferta, se o investidor já tiver efetuado o pagamento do Preço de Subscrição das Debêntures que houver subscrito, referido Preço de Subscrição será devolvido sem juros ou correção monetária, sem reembolso e com dedução dos valores relativos aos tributos e encargos eventualmente incidentes, se existentes, no prazo de 5 (cinco) Dias Úteis contados da data da comunicação do cancelamento ou revogação da Oferta. Em caso de cancelamento da Oferta, a Emissora e Coordenadores não serão responsáveis por eventuais perdas e danos incorridos pelos investidores.</w:t>
      </w:r>
    </w:p>
    <w:p w14:paraId="57BA67C0" w14:textId="6108C70E"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Menor</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Menor</w:t>
      </w:r>
    </w:p>
    <w:p w14:paraId="548A2122" w14:textId="77777777" w:rsidR="0053704D" w:rsidRPr="001E6E9D" w:rsidRDefault="0053704D" w:rsidP="00DC7081">
      <w:pPr>
        <w:pStyle w:val="Ttulo4"/>
        <w:rPr>
          <w:rFonts w:asciiTheme="minorHAnsi" w:eastAsia="Times New Roman" w:hAnsiTheme="minorHAnsi"/>
        </w:rPr>
      </w:pPr>
      <w:bookmarkStart w:id="157" w:name="_Ref158844947"/>
      <w:r w:rsidRPr="001E6E9D">
        <w:rPr>
          <w:rFonts w:asciiTheme="minorHAnsi" w:eastAsia="Times New Roman" w:hAnsiTheme="minorHAnsi"/>
        </w:rPr>
        <w:t>Risco de participação do agente fiduciário em outras emissões da mesma emissora.</w:t>
      </w:r>
      <w:bookmarkEnd w:id="157"/>
    </w:p>
    <w:p w14:paraId="5225E66C"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Nesta data, o Agente Fiduciário atua como agente fiduciário em outras emissões de Debêntures da Emissora e/ou de empresas do grupo econômico da Emissora, conforme descrito no histórico de emissão previsto na Escritura de Emissão. Na hipótese de ocorrência de vencimento antecipado ou inadimplemento das obrigações assumidas pela Emissora, no âmbito da Emissão e das obrigações assumidas pela Emissora, no âmbito das demais emissões, o Agente Fiduciário poderá se encontrar, eventualmente, em situação de conflito quanto ao tratamento equitativo entre os titulares das Debêntures e os titulares de debêntures das demais emissões o que pode resultar em prejuízos financeiros aos debenturistas.</w:t>
      </w:r>
    </w:p>
    <w:p w14:paraId="5A4FC3C0" w14:textId="36BA6C33" w:rsidR="00A73677" w:rsidRPr="001E6E9D" w:rsidRDefault="00A73677"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pacing w:val="-2"/>
          <w:szCs w:val="20"/>
          <w:u w:val="single"/>
          <w:lang w:eastAsia="pt-BR"/>
        </w:rPr>
        <w:t>Escala qualitativa de risco</w:t>
      </w:r>
      <w:r w:rsidRPr="001E6E9D">
        <w:rPr>
          <w:rFonts w:asciiTheme="minorHAnsi" w:eastAsia="Times New Roman" w:hAnsiTheme="minorHAnsi" w:cstheme="minorHAnsi"/>
          <w:spacing w:val="-2"/>
          <w:szCs w:val="20"/>
          <w:lang w:eastAsia="pt-BR"/>
        </w:rPr>
        <w:t xml:space="preserve">: Probabilidade: </w:t>
      </w:r>
      <w:r w:rsidR="00FA1018" w:rsidRPr="001E6E9D">
        <w:rPr>
          <w:rFonts w:asciiTheme="minorHAnsi" w:eastAsia="Times New Roman" w:hAnsiTheme="minorHAnsi" w:cstheme="minorHAnsi"/>
          <w:spacing w:val="-2"/>
          <w:szCs w:val="20"/>
          <w:lang w:eastAsia="pt-BR"/>
        </w:rPr>
        <w:t>Menor</w:t>
      </w:r>
      <w:r w:rsidRPr="001E6E9D">
        <w:rPr>
          <w:rFonts w:asciiTheme="minorHAnsi" w:eastAsia="Times New Roman" w:hAnsiTheme="minorHAnsi" w:cstheme="minorHAnsi"/>
          <w:spacing w:val="-2"/>
          <w:szCs w:val="20"/>
          <w:lang w:eastAsia="pt-BR"/>
        </w:rPr>
        <w:t xml:space="preserve"> / Magnitude do impacto negativo: </w:t>
      </w:r>
      <w:r w:rsidR="00FA1018" w:rsidRPr="001E6E9D">
        <w:rPr>
          <w:rFonts w:asciiTheme="minorHAnsi" w:eastAsia="Times New Roman" w:hAnsiTheme="minorHAnsi" w:cstheme="minorHAnsi"/>
          <w:spacing w:val="-2"/>
          <w:szCs w:val="20"/>
          <w:lang w:eastAsia="pt-BR"/>
        </w:rPr>
        <w:t>Menor</w:t>
      </w:r>
    </w:p>
    <w:p w14:paraId="13234039" w14:textId="77777777" w:rsidR="00E72817" w:rsidRPr="001E6E9D" w:rsidRDefault="00E72817" w:rsidP="00DC7081">
      <w:pPr>
        <w:pStyle w:val="Ttulo4"/>
        <w:rPr>
          <w:rFonts w:asciiTheme="minorHAnsi" w:hAnsiTheme="minorHAnsi"/>
          <w:b w:val="0"/>
          <w:bCs/>
        </w:rPr>
      </w:pPr>
      <w:r w:rsidRPr="001E6E9D">
        <w:rPr>
          <w:rFonts w:asciiTheme="minorHAnsi" w:hAnsiTheme="minorHAnsi"/>
          <w:bCs/>
          <w:iCs/>
        </w:rPr>
        <w:t>Risco de ocorrência de casos fortuitos e eventos de força maior</w:t>
      </w:r>
    </w:p>
    <w:p w14:paraId="21A2C802" w14:textId="77777777" w:rsidR="00A73677" w:rsidRPr="001E6E9D" w:rsidRDefault="00E72817" w:rsidP="00DC7081">
      <w:pPr>
        <w:pStyle w:val="Corpodetexto"/>
        <w:tabs>
          <w:tab w:val="left" w:pos="851"/>
        </w:tabs>
        <w:autoSpaceDE w:val="0"/>
        <w:autoSpaceDN w:val="0"/>
        <w:spacing w:after="200" w:line="240" w:lineRule="auto"/>
        <w:rPr>
          <w:rFonts w:asciiTheme="minorHAnsi" w:hAnsiTheme="minorHAnsi" w:cstheme="minorHAnsi"/>
          <w:spacing w:val="-2"/>
          <w:sz w:val="20"/>
          <w:szCs w:val="20"/>
          <w:lang w:val="pt-BR"/>
        </w:rPr>
      </w:pPr>
      <w:r w:rsidRPr="001E6E9D">
        <w:rPr>
          <w:rFonts w:asciiTheme="minorHAnsi" w:hAnsiTheme="minorHAnsi" w:cstheme="minorHAnsi"/>
          <w:spacing w:val="-2"/>
          <w:sz w:val="20"/>
          <w:szCs w:val="20"/>
          <w:lang w:val="pt-BR"/>
        </w:rPr>
        <w:t>Os pagamentos das Debêntures estão sujeitos ao risco de eventuais prejuízos em virtude de casos fortuitos e eventos de força maior, os quais consistem em acontecimentos inevitáveis e involuntários que afetem o cumprimento das obrigações assumidas, exemplificativamente, terremotos, vendavais, enchentes, deslizamentos de terra, epidemias ou pandemias. Desta forma, não há garantias de que a Emissora disporá de recursos suficientes em caixa para fazer face ao pagamento de todos os valores que venham a ser devidos</w:t>
      </w:r>
      <w:r w:rsidR="0021324D" w:rsidRPr="001E6E9D">
        <w:rPr>
          <w:rFonts w:asciiTheme="minorHAnsi" w:hAnsiTheme="minorHAnsi" w:cstheme="minorHAnsi"/>
          <w:spacing w:val="-2"/>
          <w:sz w:val="20"/>
          <w:szCs w:val="20"/>
          <w:lang w:val="pt-BR"/>
        </w:rPr>
        <w:t xml:space="preserve"> </w:t>
      </w:r>
      <w:r w:rsidRPr="001E6E9D">
        <w:rPr>
          <w:rFonts w:asciiTheme="minorHAnsi" w:hAnsiTheme="minorHAnsi" w:cstheme="minorHAnsi"/>
          <w:spacing w:val="-2"/>
          <w:sz w:val="20"/>
          <w:szCs w:val="20"/>
          <w:lang w:val="pt-BR"/>
        </w:rPr>
        <w:t>aos</w:t>
      </w:r>
      <w:r w:rsidR="0021324D" w:rsidRPr="001E6E9D">
        <w:rPr>
          <w:rFonts w:asciiTheme="minorHAnsi" w:hAnsiTheme="minorHAnsi" w:cstheme="minorHAnsi"/>
          <w:spacing w:val="-2"/>
          <w:sz w:val="20"/>
          <w:szCs w:val="20"/>
          <w:lang w:val="pt-BR"/>
        </w:rPr>
        <w:t xml:space="preserve"> </w:t>
      </w:r>
      <w:r w:rsidRPr="001E6E9D">
        <w:rPr>
          <w:rFonts w:asciiTheme="minorHAnsi" w:hAnsiTheme="minorHAnsi" w:cstheme="minorHAnsi"/>
          <w:spacing w:val="-2"/>
          <w:sz w:val="20"/>
          <w:szCs w:val="20"/>
          <w:lang w:val="pt-BR"/>
        </w:rPr>
        <w:t>Debenturistas ou, caso tenha, que referido pagamento não causará um efeito adverso em sua situação financeira</w:t>
      </w:r>
      <w:r w:rsidR="00A73677" w:rsidRPr="001E6E9D">
        <w:rPr>
          <w:rFonts w:asciiTheme="minorHAnsi" w:hAnsiTheme="minorHAnsi" w:cstheme="minorHAnsi"/>
          <w:spacing w:val="-2"/>
          <w:sz w:val="20"/>
          <w:szCs w:val="20"/>
          <w:lang w:val="pt-BR"/>
        </w:rPr>
        <w:t>.</w:t>
      </w:r>
    </w:p>
    <w:p w14:paraId="41C43984" w14:textId="7C54FFFB" w:rsidR="0000242D" w:rsidRPr="001E6E9D" w:rsidRDefault="00A73677" w:rsidP="00DC7081">
      <w:pPr>
        <w:pStyle w:val="Corpodetexto"/>
        <w:tabs>
          <w:tab w:val="left" w:pos="851"/>
        </w:tabs>
        <w:autoSpaceDE w:val="0"/>
        <w:autoSpaceDN w:val="0"/>
        <w:spacing w:after="200" w:line="240" w:lineRule="auto"/>
        <w:rPr>
          <w:rFonts w:asciiTheme="minorHAnsi" w:hAnsiTheme="minorHAnsi" w:cstheme="minorHAnsi"/>
          <w:szCs w:val="20"/>
        </w:rPr>
      </w:pPr>
      <w:r w:rsidRPr="001E6E9D">
        <w:rPr>
          <w:rFonts w:asciiTheme="minorHAnsi" w:eastAsia="Times New Roman" w:hAnsiTheme="minorHAnsi" w:cstheme="minorHAnsi"/>
          <w:spacing w:val="-2"/>
          <w:sz w:val="20"/>
          <w:szCs w:val="20"/>
          <w:u w:val="single"/>
          <w:lang w:eastAsia="pt-BR"/>
        </w:rPr>
        <w:t>Escala qualitativa de risco</w:t>
      </w:r>
      <w:r w:rsidRPr="001E6E9D">
        <w:rPr>
          <w:rFonts w:asciiTheme="minorHAnsi" w:eastAsia="Times New Roman" w:hAnsiTheme="minorHAnsi" w:cstheme="minorHAnsi"/>
          <w:spacing w:val="-2"/>
          <w:sz w:val="20"/>
          <w:szCs w:val="20"/>
          <w:lang w:eastAsia="pt-BR"/>
        </w:rPr>
        <w:t xml:space="preserve">: Probabilidade: </w:t>
      </w:r>
      <w:r w:rsidR="00FA1018" w:rsidRPr="001E6E9D">
        <w:rPr>
          <w:rFonts w:asciiTheme="minorHAnsi" w:eastAsia="Times New Roman" w:hAnsiTheme="minorHAnsi" w:cstheme="minorHAnsi"/>
          <w:spacing w:val="-2"/>
          <w:sz w:val="20"/>
          <w:szCs w:val="20"/>
          <w:lang w:eastAsia="pt-BR"/>
        </w:rPr>
        <w:t>Menor</w:t>
      </w:r>
      <w:r w:rsidRPr="001E6E9D">
        <w:rPr>
          <w:rFonts w:asciiTheme="minorHAnsi" w:eastAsia="Times New Roman" w:hAnsiTheme="minorHAnsi" w:cstheme="minorHAnsi"/>
          <w:spacing w:val="-2"/>
          <w:sz w:val="20"/>
          <w:szCs w:val="20"/>
          <w:lang w:eastAsia="pt-BR"/>
        </w:rPr>
        <w:t xml:space="preserve"> / Magnitude do impacto negativo: </w:t>
      </w:r>
      <w:r w:rsidR="00FA1018" w:rsidRPr="001E6E9D">
        <w:rPr>
          <w:rFonts w:asciiTheme="minorHAnsi" w:eastAsia="Times New Roman" w:hAnsiTheme="minorHAnsi" w:cstheme="minorHAnsi"/>
          <w:spacing w:val="-2"/>
          <w:sz w:val="20"/>
          <w:szCs w:val="20"/>
          <w:lang w:eastAsia="pt-BR"/>
        </w:rPr>
        <w:t>Menor</w:t>
      </w:r>
      <w:r w:rsidR="00E72817" w:rsidRPr="001E6E9D">
        <w:rPr>
          <w:rFonts w:asciiTheme="minorHAnsi" w:hAnsiTheme="minorHAnsi" w:cstheme="minorHAnsi"/>
          <w:spacing w:val="-2"/>
          <w:sz w:val="20"/>
          <w:szCs w:val="20"/>
          <w:lang w:val="pt-BR"/>
        </w:rPr>
        <w:t>.</w:t>
      </w:r>
      <w:bookmarkStart w:id="158" w:name="_Ref158844968"/>
    </w:p>
    <w:p w14:paraId="622135AD" w14:textId="77777777" w:rsidR="0046067F" w:rsidRPr="001E6E9D" w:rsidRDefault="0046067F" w:rsidP="00DC7081">
      <w:pPr>
        <w:pStyle w:val="Ttulo3"/>
        <w:widowControl/>
        <w:rPr>
          <w:rFonts w:asciiTheme="minorHAnsi" w:hAnsiTheme="minorHAnsi"/>
        </w:rPr>
      </w:pPr>
      <w:r w:rsidRPr="001E6E9D">
        <w:rPr>
          <w:rFonts w:asciiTheme="minorHAnsi" w:hAnsiTheme="minorHAnsi"/>
        </w:rPr>
        <w:t>4.1.2. Fatores de risco relacionados às atividades da Emissora</w:t>
      </w:r>
    </w:p>
    <w:p w14:paraId="04356EF0" w14:textId="77777777" w:rsidR="004D5EBD" w:rsidRPr="001E6E9D" w:rsidRDefault="004D5EBD" w:rsidP="00DC7081">
      <w:pPr>
        <w:spacing w:after="140"/>
        <w:rPr>
          <w:rFonts w:asciiTheme="minorHAnsi" w:hAnsiTheme="minorHAnsi" w:cstheme="minorHAnsi"/>
          <w:b/>
          <w:bCs/>
          <w:i/>
          <w:iCs/>
          <w:color w:val="000000"/>
          <w:kern w:val="20"/>
          <w:szCs w:val="20"/>
        </w:rPr>
      </w:pPr>
      <w:r w:rsidRPr="001E6E9D">
        <w:rPr>
          <w:rFonts w:asciiTheme="minorHAnsi" w:hAnsiTheme="minorHAnsi" w:cstheme="minorHAnsi"/>
          <w:b/>
          <w:bCs/>
          <w:i/>
          <w:iCs/>
          <w:color w:val="000000"/>
          <w:kern w:val="20"/>
          <w:szCs w:val="20"/>
        </w:rPr>
        <w:t>As atividades da Companhia e de suas controladas dependem da incidência solar.</w:t>
      </w:r>
    </w:p>
    <w:p w14:paraId="10EDB20D"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 operação de parques fotovoltaicos depende de fatores meteorológicos, especialmente a incidência solar. Caso as estimativas da Companhia e de suas controladas sobre o regime solar e padrões climáticos não se confirmem, os parques poderão operar abaixo das projeções de geração de energia. A redução na eficiência pode ocorrer devido a variáveis como o aumento da nebulosidade, chuvas intensas, temperaturas extremas e alterações sazonais que reduzam as horas de luz solar disponível. Essa redução pode afetar a quantidade de energia injetada na rede elétrica e, consequentemente, comprometer a compensação esperada por meio do Sistema de Compensação de Energia Elétrica (SCEE).</w:t>
      </w:r>
    </w:p>
    <w:p w14:paraId="09D44D6E" w14:textId="77777777" w:rsidR="004D5EBD" w:rsidRPr="001E6E9D" w:rsidRDefault="004D5EBD" w:rsidP="00DC7081">
      <w:pPr>
        <w:rPr>
          <w:rFonts w:asciiTheme="minorHAnsi" w:hAnsiTheme="minorHAnsi" w:cstheme="minorHAnsi"/>
          <w:color w:val="000000"/>
          <w:kern w:val="20"/>
          <w:szCs w:val="20"/>
        </w:rPr>
      </w:pPr>
      <w:r w:rsidRPr="001E6E9D">
        <w:rPr>
          <w:rFonts w:asciiTheme="minorHAnsi" w:hAnsiTheme="minorHAnsi" w:cstheme="minorHAnsi"/>
          <w:color w:val="000000"/>
          <w:kern w:val="20"/>
          <w:szCs w:val="20"/>
        </w:rPr>
        <w:t>Esses cenários podem prejudicar a capacidade da Companhia e de suas controladas de cumprir as obrigações contratuais assumidas com seus clientes, como o atingimento dos volumes de energia acordados, e afetar adversamente seu fluxo de caixa e resultados operacionais. Além disso, eventos climáticos extremos podem acelerar o desgaste de equipamentos, elevando custos de manutenção e substituição de componentes.</w:t>
      </w:r>
    </w:p>
    <w:p w14:paraId="69FC0D17" w14:textId="54F67CBA" w:rsidR="004D5EBD" w:rsidRPr="001E6E9D" w:rsidRDefault="004D5EBD" w:rsidP="00DC7081">
      <w:pPr>
        <w:tabs>
          <w:tab w:val="left" w:pos="851"/>
        </w:tabs>
        <w:autoSpaceDE w:val="0"/>
        <w:autoSpaceDN w:val="0"/>
        <w:rPr>
          <w:rFonts w:asciiTheme="minorHAnsi" w:hAnsiTheme="minorHAnsi" w:cstheme="minorHAnsi"/>
          <w:color w:val="000000"/>
          <w:kern w:val="20"/>
          <w:szCs w:val="20"/>
        </w:rPr>
      </w:pPr>
      <w:r w:rsidRPr="001E6E9D">
        <w:rPr>
          <w:rFonts w:asciiTheme="minorHAnsi" w:hAnsiTheme="minorHAnsi" w:cstheme="minorHAnsi"/>
          <w:color w:val="000000"/>
          <w:kern w:val="20"/>
          <w:szCs w:val="20"/>
          <w:u w:val="single"/>
        </w:rPr>
        <w:t>Escala qualitativa de risco</w:t>
      </w:r>
      <w:r w:rsidRPr="001E6E9D">
        <w:rPr>
          <w:rFonts w:asciiTheme="minorHAnsi" w:hAnsiTheme="minorHAnsi" w:cstheme="minorHAnsi"/>
          <w:color w:val="000000"/>
          <w:kern w:val="20"/>
          <w:szCs w:val="20"/>
        </w:rPr>
        <w:t xml:space="preserve">: </w:t>
      </w:r>
      <w:r w:rsidR="00002849" w:rsidRPr="001E6E9D">
        <w:rPr>
          <w:rFonts w:asciiTheme="minorHAnsi" w:eastAsia="Times New Roman" w:hAnsiTheme="minorHAnsi" w:cstheme="minorHAnsi"/>
          <w:spacing w:val="-2"/>
          <w:szCs w:val="20"/>
          <w:lang w:eastAsia="pt-BR"/>
        </w:rPr>
        <w:t>Probabilidade</w:t>
      </w:r>
      <w:r w:rsidR="00002849" w:rsidRPr="004418D6">
        <w:rPr>
          <w:rFonts w:asciiTheme="minorHAnsi" w:hAnsiTheme="minorHAnsi"/>
          <w:spacing w:val="-2"/>
        </w:rPr>
        <w:t xml:space="preserve">: </w:t>
      </w:r>
      <w:r w:rsidRPr="001E6E9D">
        <w:rPr>
          <w:rFonts w:asciiTheme="minorHAnsi" w:hAnsiTheme="minorHAnsi" w:cstheme="minorHAnsi"/>
          <w:color w:val="000000"/>
          <w:kern w:val="20"/>
          <w:szCs w:val="20"/>
        </w:rPr>
        <w:t xml:space="preserve">Média / </w:t>
      </w:r>
      <w:r w:rsidRPr="001E6E9D">
        <w:rPr>
          <w:rFonts w:asciiTheme="minorHAnsi" w:hAnsiTheme="minorHAnsi" w:cstheme="minorHAnsi"/>
          <w:color w:val="000000"/>
          <w:kern w:val="20"/>
          <w:szCs w:val="20"/>
          <w:u w:val="single"/>
        </w:rPr>
        <w:t>Magnitude do impacto negativo</w:t>
      </w:r>
      <w:r w:rsidRPr="001E6E9D">
        <w:rPr>
          <w:rFonts w:asciiTheme="minorHAnsi" w:hAnsiTheme="minorHAnsi" w:cstheme="minorHAnsi"/>
          <w:color w:val="000000"/>
          <w:kern w:val="20"/>
          <w:szCs w:val="20"/>
        </w:rPr>
        <w:t>: Média</w:t>
      </w:r>
    </w:p>
    <w:p w14:paraId="60B1FCAE" w14:textId="77777777" w:rsidR="004D5EBD" w:rsidRPr="001E6E9D" w:rsidRDefault="004D5EBD" w:rsidP="001F7A69">
      <w:pPr>
        <w:keepNext/>
        <w:keepLines/>
        <w:spacing w:after="140"/>
        <w:rPr>
          <w:rFonts w:asciiTheme="minorHAnsi" w:hAnsiTheme="minorHAnsi" w:cstheme="minorHAnsi"/>
          <w:b/>
          <w:bCs/>
          <w:i/>
          <w:iCs/>
          <w:color w:val="000000"/>
          <w:kern w:val="20"/>
          <w:szCs w:val="20"/>
        </w:rPr>
      </w:pPr>
      <w:r w:rsidRPr="001E6E9D">
        <w:rPr>
          <w:rFonts w:asciiTheme="minorHAnsi" w:hAnsiTheme="minorHAnsi" w:cstheme="minorHAnsi"/>
          <w:b/>
          <w:bCs/>
          <w:i/>
          <w:iCs/>
          <w:color w:val="000000"/>
          <w:kern w:val="20"/>
          <w:szCs w:val="20"/>
        </w:rPr>
        <w:lastRenderedPageBreak/>
        <w:t>As atividades da Companhia e de suas controladas dependem de fornecedores e mão de obra.</w:t>
      </w:r>
    </w:p>
    <w:p w14:paraId="27378783" w14:textId="77777777" w:rsidR="004D5EBD" w:rsidRPr="001E6E9D" w:rsidRDefault="004D5EBD" w:rsidP="001F7A69">
      <w:pPr>
        <w:keepNext/>
        <w:keepLines/>
        <w:rPr>
          <w:rFonts w:asciiTheme="minorHAnsi" w:hAnsiTheme="minorHAnsi" w:cstheme="minorHAnsi"/>
          <w:color w:val="000000"/>
          <w:kern w:val="20"/>
          <w:szCs w:val="20"/>
        </w:rPr>
      </w:pPr>
      <w:r w:rsidRPr="001E6E9D">
        <w:rPr>
          <w:rFonts w:asciiTheme="minorHAnsi" w:hAnsiTheme="minorHAnsi" w:cstheme="minorHAnsi"/>
          <w:color w:val="000000"/>
          <w:kern w:val="20"/>
          <w:szCs w:val="20"/>
        </w:rPr>
        <w:t>A Companhia e suas controladas dependem de terceiros para a operação e manutenção de seus parques solares. A execução adequada das atividades operacionais e de manutenção é fundamental para a continuidade das operações e para a eficiência na geração de energia. Falhas no cumprimento das obrigações contratuais por parte dessas contrapartes, incluindo interrupções nos serviços de operação e manutenção, podem impactar adversamente os resultados operacionais e financeiros da Companhia e de suas controladas. Além disso, a indisponibilidade de materiais e equipamentos essenciais, decorrente de fatores como problemas na cadeia de suprimentos, limitações na capacidade de produção dos fornecedores ou dificuldades logísticas, pode atrasar o desenvolvimento e operação dos parques solares. A escassez de mão de obra especializada também representa um risco relevante, que pode comprometer a execução de atividades essenciais, resultando em atrasos nas operações e afetando a capacidade de geração de energia das controladas da Companhia.</w:t>
      </w:r>
    </w:p>
    <w:p w14:paraId="4F1437FD" w14:textId="0F1BC064" w:rsidR="004D5EBD" w:rsidRPr="001E6E9D" w:rsidRDefault="004D5EBD" w:rsidP="00DC7081">
      <w:pPr>
        <w:tabs>
          <w:tab w:val="left" w:pos="851"/>
        </w:tabs>
        <w:autoSpaceDE w:val="0"/>
        <w:autoSpaceDN w:val="0"/>
        <w:rPr>
          <w:rFonts w:asciiTheme="minorHAnsi" w:hAnsiTheme="minorHAnsi" w:cstheme="minorHAnsi"/>
          <w:color w:val="000000"/>
          <w:kern w:val="20"/>
          <w:szCs w:val="20"/>
        </w:rPr>
      </w:pPr>
      <w:r w:rsidRPr="001E6E9D">
        <w:rPr>
          <w:rFonts w:asciiTheme="minorHAnsi" w:hAnsiTheme="minorHAnsi" w:cstheme="minorHAnsi"/>
          <w:color w:val="000000"/>
          <w:kern w:val="20"/>
          <w:szCs w:val="20"/>
          <w:u w:val="single"/>
        </w:rPr>
        <w:t>Escala qualitativa de risco</w:t>
      </w:r>
      <w:r w:rsidRPr="001E6E9D">
        <w:rPr>
          <w:rFonts w:asciiTheme="minorHAnsi" w:hAnsiTheme="minorHAnsi" w:cstheme="minorHAnsi"/>
          <w:color w:val="000000"/>
          <w:kern w:val="20"/>
          <w:szCs w:val="20"/>
        </w:rPr>
        <w:t xml:space="preserve">: </w:t>
      </w:r>
      <w:r w:rsidR="00002849" w:rsidRPr="001E6E9D">
        <w:rPr>
          <w:rFonts w:asciiTheme="minorHAnsi" w:eastAsia="Times New Roman" w:hAnsiTheme="minorHAnsi" w:cstheme="minorHAnsi"/>
          <w:spacing w:val="-2"/>
          <w:szCs w:val="20"/>
          <w:lang w:eastAsia="pt-BR"/>
        </w:rPr>
        <w:t>Probabilidade</w:t>
      </w:r>
      <w:r w:rsidR="00002849" w:rsidRPr="004418D6">
        <w:rPr>
          <w:rFonts w:asciiTheme="minorHAnsi" w:hAnsiTheme="minorHAnsi"/>
          <w:spacing w:val="-2"/>
        </w:rPr>
        <w:t xml:space="preserve">: </w:t>
      </w:r>
      <w:r w:rsidRPr="001E6E9D">
        <w:rPr>
          <w:rFonts w:asciiTheme="minorHAnsi" w:hAnsiTheme="minorHAnsi" w:cstheme="minorHAnsi"/>
          <w:color w:val="000000"/>
          <w:kern w:val="20"/>
          <w:szCs w:val="20"/>
        </w:rPr>
        <w:t xml:space="preserve">Menor / </w:t>
      </w:r>
      <w:r w:rsidRPr="001E6E9D">
        <w:rPr>
          <w:rFonts w:asciiTheme="minorHAnsi" w:hAnsiTheme="minorHAnsi" w:cstheme="minorHAnsi"/>
          <w:color w:val="000000"/>
          <w:kern w:val="20"/>
          <w:szCs w:val="20"/>
          <w:u w:val="single"/>
        </w:rPr>
        <w:t>Magnitude do impacto negativo</w:t>
      </w:r>
      <w:r w:rsidRPr="001E6E9D">
        <w:rPr>
          <w:rFonts w:asciiTheme="minorHAnsi" w:hAnsiTheme="minorHAnsi" w:cstheme="minorHAnsi"/>
          <w:color w:val="000000"/>
          <w:kern w:val="20"/>
          <w:szCs w:val="20"/>
        </w:rPr>
        <w:t xml:space="preserve">: Menor </w:t>
      </w:r>
    </w:p>
    <w:p w14:paraId="118B02FC" w14:textId="77777777" w:rsidR="004D5EBD" w:rsidRPr="001E6E9D" w:rsidRDefault="004D5EBD" w:rsidP="00DC7081">
      <w:pPr>
        <w:spacing w:after="140"/>
        <w:rPr>
          <w:rFonts w:asciiTheme="minorHAnsi" w:hAnsiTheme="minorHAnsi" w:cstheme="minorHAnsi"/>
          <w:b/>
          <w:bCs/>
          <w:i/>
          <w:iCs/>
          <w:color w:val="000000"/>
          <w:kern w:val="20"/>
          <w:szCs w:val="20"/>
        </w:rPr>
      </w:pPr>
      <w:r w:rsidRPr="001E6E9D">
        <w:rPr>
          <w:rFonts w:asciiTheme="minorHAnsi" w:hAnsiTheme="minorHAnsi" w:cstheme="minorHAnsi"/>
          <w:b/>
          <w:bCs/>
          <w:i/>
          <w:iCs/>
          <w:color w:val="000000"/>
          <w:kern w:val="20"/>
          <w:szCs w:val="20"/>
        </w:rPr>
        <w:t>A infraestrutura de tecnologia da informação da Companhia está sujeita a incidentes de segurança cibernética e interrupções operacionais que podem comprometer a funcionalidade, disponibilidade, integridade e segurança dos sistemas de TI.</w:t>
      </w:r>
    </w:p>
    <w:p w14:paraId="1CFE4854"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Os negócios da Companhia envolvem a coleta, armazenamento, processamento e transmissão de dados pessoais e confidenciais de clientes, fornecedores e empregados. Um número crescente de organizações, incluindo grandes empresas, instituições financeiras e governamentais, tem relatado interrupções em seus sistemas de tecnologia da informação, causadas por falhas de rede, desastres naturais e ataques sofisticados, muitas vezes direcionados a partes específicas de suas plataformas ou infraestrutura. O tratamento de dados pessoais, conforme definido pela legislação, engloba toda operação que envolva dados pessoais (</w:t>
      </w:r>
      <w:r w:rsidRPr="001E6E9D">
        <w:rPr>
          <w:rFonts w:asciiTheme="minorHAnsi" w:hAnsiTheme="minorHAnsi" w:cstheme="minorHAnsi"/>
          <w:i/>
          <w:iCs/>
          <w:color w:val="000000"/>
          <w:kern w:val="20"/>
          <w:szCs w:val="20"/>
        </w:rPr>
        <w:t>i.e.</w:t>
      </w:r>
      <w:r w:rsidRPr="001E6E9D">
        <w:rPr>
          <w:rFonts w:asciiTheme="minorHAnsi" w:hAnsiTheme="minorHAnsi" w:cstheme="minorHAnsi"/>
          <w:color w:val="000000"/>
          <w:kern w:val="20"/>
          <w:szCs w:val="20"/>
        </w:rPr>
        <w:t xml:space="preserve">, informações relacionadas a pessoa natural identificada ou identificável), como coleta, uso, acesso, reprodução, processamento, armazenamento e transferência de dados. </w:t>
      </w:r>
    </w:p>
    <w:p w14:paraId="62297CA1"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As operações da Companhia dependem da funcionalidade, disponibilidade, integridade, operacionalidade e segurança de seus sistemas de tecnologia da informação. Falhas na segurança cibernética, seja por ações externas como malwares, ataques de hackers ou ciberterrorismo, ou por ações internas resultantes de negligência ou conduta inadequada de funcionários e prestadores de serviços, podem prejudicar a reputação da Companhia, afetando sua marca e relações com terceiros, incluindo governos, órgãos reguladores, consumidores e fornecedores. Esses incidentes podem gerar prejuízos financeiros decorrentes de multas aplicadas por autoridades reguladoras e fiscalizadoras, bem como ações judiciais movidas por titulares de dados pessoais que se considerem prejudicados, causando danos imateriais à imagem e à confiança depositada na Companhia.</w:t>
      </w:r>
    </w:p>
    <w:p w14:paraId="6C9F1C94"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Incidentes de segurança cibernética também podem comprometer a infraestrutura de TI da Companhia, resultando em apropriação indevida de informações, violação de dados ou interrupção de servidores e operações. A consequente perda de propriedade intelectual, segredos comerciais, dados pessoais ou outras informações sensíveis, assim como a referida interrupção das operações, pode afetar adversamente e de maneira relevante os resultados financeiros da Companhia, comprometendo informações críticas de clientes e fornecedores.</w:t>
      </w:r>
    </w:p>
    <w:p w14:paraId="2F184FC7"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Além disso, interrupções ou falhas nos sistemas de tecnologia da informação, como as plataformas digitais de conversão e marketing, ou nos sistemas de apuração e contabilização de faturamento, causadas por acidentes, falhas técnicas ou atos mal-intencionados, podem prejudicar as operações corporativas, comerciais e operacionais da Companhia, resultando em impactos negativos sobre seus negócios, resultados operacionais e sobre sua imagem perante o mercado.</w:t>
      </w:r>
    </w:p>
    <w:p w14:paraId="52B9626E"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Esses riscos também se aplicam à mão de obra terceirizada que opera a infraestrutura e os sistemas da Companhia, sendo necessário o cumprimento constante dos procedimentos de segurança previstos nos contratos de prestação de serviços. O acesso não autorizado, divulgação ou perda de dados pessoais pode resultar em ações judiciais com base nas leis brasileiras que protegem a privacidade e os dados pessoais, além de prejudicar os negócios e a reputação da Companhia. Para mais informações, consulte o fator de risco “</w:t>
      </w:r>
      <w:r w:rsidRPr="001E6E9D">
        <w:rPr>
          <w:rFonts w:asciiTheme="minorHAnsi" w:hAnsiTheme="minorHAnsi" w:cstheme="minorHAnsi"/>
          <w:i/>
          <w:iCs/>
          <w:color w:val="000000"/>
          <w:kern w:val="20"/>
          <w:szCs w:val="20"/>
        </w:rPr>
        <w:t>A não conformidade com leis e regulamentos relacionados à privacidade e proteção de dados pode sujeitar a Companhia a penalidades relevantes, impactando negativamente suas operações, reputação e resultados financeiros.</w:t>
      </w:r>
      <w:r w:rsidRPr="001E6E9D">
        <w:rPr>
          <w:rFonts w:asciiTheme="minorHAnsi" w:hAnsiTheme="minorHAnsi" w:cstheme="minorHAnsi"/>
          <w:color w:val="000000"/>
          <w:kern w:val="20"/>
          <w:szCs w:val="20"/>
        </w:rPr>
        <w:t>” nesta seção 4.1.</w:t>
      </w:r>
    </w:p>
    <w:p w14:paraId="2D01E756"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As medidas de segurança da Companhia também podem ser comprometidas por falhas operacionais, desastres naturais, erros humanos, atos ilícitos, vulnerabilidades do sistema ou outras irregularidades. Qualquer violação, efetiva ou percebida, pode interromper as operações da Companhia, resultar na indisponibilidade de seus sistemas ou serviços, na divulgação indevida de dados, prejudicar de maneira relevante sua reputação e marca, gerar responsabilidade jurídica e/ou financeira, e levar à perda de confiança dos clientes, com impacto adverso sobre os negócios e seus resultados operacionais.</w:t>
      </w:r>
    </w:p>
    <w:p w14:paraId="3D148BC2"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lastRenderedPageBreak/>
        <w:t>Para apoiar sua estratégia de crescimento, a Companhia pode precisar continuamente aprimorar seus sistemas operacionais e financeiros, processos de transações, procedimentos e controles, o que pode implicar custos adicionais e problemas de integração, podendo afetar de forma negativa seus resultados financeiros.</w:t>
      </w:r>
    </w:p>
    <w:p w14:paraId="5842702F"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Sistemas de tecnologia estão sujeitos a constantes atualizações e, se a Companhia não conseguir realizar essas atualizações de forma eficaz, suas operações podem ser prejudicadas, resultando em efeitos adversos.</w:t>
      </w:r>
    </w:p>
    <w:p w14:paraId="07D6ABB2" w14:textId="77777777" w:rsidR="004D5EBD" w:rsidRPr="001E6E9D" w:rsidRDefault="004D5EBD" w:rsidP="00DC7081">
      <w:pPr>
        <w:rPr>
          <w:rFonts w:asciiTheme="minorHAnsi" w:hAnsiTheme="minorHAnsi" w:cstheme="minorHAnsi"/>
          <w:color w:val="000000"/>
          <w:kern w:val="20"/>
          <w:szCs w:val="20"/>
        </w:rPr>
      </w:pPr>
      <w:r w:rsidRPr="001E6E9D">
        <w:rPr>
          <w:rFonts w:asciiTheme="minorHAnsi" w:hAnsiTheme="minorHAnsi" w:cstheme="minorHAnsi"/>
          <w:color w:val="000000"/>
          <w:kern w:val="20"/>
          <w:szCs w:val="20"/>
        </w:rPr>
        <w:t>Além disso, as interrupções ou falhas mencionadas podem não estar cobertas pelas apólices de seguro da Companhia, ou a cobertura pode ser insuficiente para compensar as perdas sofridas em decorrência desses eventos. Perdas não cobertas por seguros podem gerar prejuízos que poderão afetar negativamente a situação financeira e resultados operacionais da Companhia.</w:t>
      </w:r>
    </w:p>
    <w:p w14:paraId="413231D0" w14:textId="36B0877B" w:rsidR="004D5EBD" w:rsidRPr="001E6E9D" w:rsidRDefault="004D5EBD" w:rsidP="00DC7081">
      <w:pPr>
        <w:tabs>
          <w:tab w:val="left" w:pos="851"/>
        </w:tabs>
        <w:autoSpaceDE w:val="0"/>
        <w:autoSpaceDN w:val="0"/>
        <w:rPr>
          <w:rFonts w:asciiTheme="minorHAnsi" w:hAnsiTheme="minorHAnsi" w:cstheme="minorHAnsi"/>
          <w:color w:val="000000"/>
          <w:kern w:val="20"/>
          <w:szCs w:val="20"/>
        </w:rPr>
      </w:pPr>
      <w:r w:rsidRPr="001E6E9D">
        <w:rPr>
          <w:rFonts w:asciiTheme="minorHAnsi" w:hAnsiTheme="minorHAnsi" w:cstheme="minorHAnsi"/>
          <w:color w:val="000000"/>
          <w:kern w:val="20"/>
          <w:szCs w:val="20"/>
          <w:u w:val="single"/>
        </w:rPr>
        <w:t>Escala qualitativa de risco</w:t>
      </w:r>
      <w:r w:rsidRPr="001E6E9D">
        <w:rPr>
          <w:rFonts w:asciiTheme="minorHAnsi" w:hAnsiTheme="minorHAnsi" w:cstheme="minorHAnsi"/>
          <w:color w:val="000000"/>
          <w:kern w:val="20"/>
          <w:szCs w:val="20"/>
        </w:rPr>
        <w:t xml:space="preserve">: </w:t>
      </w:r>
      <w:r w:rsidR="00002849" w:rsidRPr="001E6E9D">
        <w:rPr>
          <w:rFonts w:asciiTheme="minorHAnsi" w:eastAsia="Times New Roman" w:hAnsiTheme="minorHAnsi" w:cstheme="minorHAnsi"/>
          <w:spacing w:val="-2"/>
          <w:szCs w:val="20"/>
          <w:lang w:eastAsia="pt-BR"/>
        </w:rPr>
        <w:t>Probabilidade</w:t>
      </w:r>
      <w:r w:rsidR="00002849" w:rsidRPr="004418D6">
        <w:rPr>
          <w:rFonts w:asciiTheme="minorHAnsi" w:hAnsiTheme="minorHAnsi"/>
          <w:spacing w:val="-2"/>
        </w:rPr>
        <w:t xml:space="preserve">: </w:t>
      </w:r>
      <w:r w:rsidRPr="001E6E9D">
        <w:rPr>
          <w:rFonts w:asciiTheme="minorHAnsi" w:hAnsiTheme="minorHAnsi" w:cstheme="minorHAnsi"/>
          <w:color w:val="000000"/>
          <w:kern w:val="20"/>
          <w:szCs w:val="20"/>
        </w:rPr>
        <w:t xml:space="preserve">Menor / </w:t>
      </w:r>
      <w:r w:rsidRPr="001E6E9D">
        <w:rPr>
          <w:rFonts w:asciiTheme="minorHAnsi" w:hAnsiTheme="minorHAnsi" w:cstheme="minorHAnsi"/>
          <w:color w:val="000000"/>
          <w:kern w:val="20"/>
          <w:szCs w:val="20"/>
          <w:u w:val="single"/>
        </w:rPr>
        <w:t>Magnitude do impacto negativo</w:t>
      </w:r>
      <w:r w:rsidRPr="001E6E9D">
        <w:rPr>
          <w:rFonts w:asciiTheme="minorHAnsi" w:hAnsiTheme="minorHAnsi" w:cstheme="minorHAnsi"/>
          <w:color w:val="000000"/>
          <w:kern w:val="20"/>
          <w:szCs w:val="20"/>
        </w:rPr>
        <w:t xml:space="preserve">: Menor </w:t>
      </w:r>
    </w:p>
    <w:p w14:paraId="4EDB1D32" w14:textId="77777777" w:rsidR="004D5EBD" w:rsidRPr="001E6E9D" w:rsidRDefault="004D5EBD" w:rsidP="00DC7081">
      <w:pPr>
        <w:spacing w:after="140"/>
        <w:rPr>
          <w:rFonts w:asciiTheme="minorHAnsi" w:hAnsiTheme="minorHAnsi" w:cstheme="minorHAnsi"/>
          <w:b/>
          <w:bCs/>
          <w:i/>
          <w:iCs/>
          <w:color w:val="000000"/>
          <w:kern w:val="20"/>
          <w:szCs w:val="20"/>
        </w:rPr>
      </w:pPr>
      <w:r w:rsidRPr="001E6E9D">
        <w:rPr>
          <w:rFonts w:asciiTheme="minorHAnsi" w:hAnsiTheme="minorHAnsi" w:cstheme="minorHAnsi"/>
          <w:b/>
          <w:bCs/>
          <w:i/>
          <w:iCs/>
          <w:color w:val="000000"/>
          <w:kern w:val="20"/>
          <w:szCs w:val="20"/>
        </w:rPr>
        <w:t>As operações da Companhia estão sujeitas à ampla legislação ambiental, cujo descumprimento pode incorrer em significativos riscos financeiros, operacionais e reputacionais.</w:t>
      </w:r>
    </w:p>
    <w:p w14:paraId="46FBE20D"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As operações da Companhia estão sujeitas a uma ampla legislação ambiental em âmbito federal, estadual e municipal, incluindo, dentre outros, regulamentação sobre licenciamento, uso de recursos hídricos, gerenciamento de resíduos sólidos, supressão de vegetação e impactos em áreas protegidas. Falhas na observância dessa legislação, incluindo o descumprimento de condicionantes técnicas estabelecidas nas licenças e autorizações, podem ter efeitos adversos relevantes, sujeitando a Companhia e suas controladas a responsabilização civil, administrativa e criminal.</w:t>
      </w:r>
    </w:p>
    <w:p w14:paraId="481BF339"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Na esfera civil, quem causar degradação ambiental, direta ou indiretamente, pode ser obrigado a reparar os danos ao meio ambiente e a terceiros, independentemente de dolo ou culpa, o que pode resultar em indenizações ambientais substanciais ou altos custos de recuperação.</w:t>
      </w:r>
    </w:p>
    <w:p w14:paraId="734EBE20"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Não há limite legal para o valor de reparação de danos ambientais na esfera cível, e a pretensão reparatória nesse âmbito é imprescritível, ou seja, não se extingue com o passar do tempo. Além disso, a legislação permite a desconsideração da personalidade jurídica da entidade causadora do dano ambiental, sempre que essa for um obstáculo ao ressarcimento dos prejuízos causados à qualidade do meio ambiente.</w:t>
      </w:r>
    </w:p>
    <w:p w14:paraId="2EE0CB76"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 xml:space="preserve">Na esfera administrativa, infrações ambientais podem resultar em advertências, multas simples ou diárias — variando de R$ 500,00 a R$ 50.000.000,00 —, além de embargo, suspensão parcial ou total de obras ou atividades, e até demolição. </w:t>
      </w:r>
    </w:p>
    <w:p w14:paraId="00EA2ED6"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Na esfera criminal, tanto pessoas jurídicas quanto físicas podem ser responsabilizadas e sujeitas a sanções como multas, penas restritivas de direitos e prestação de serviços à comunidade.</w:t>
      </w:r>
    </w:p>
    <w:p w14:paraId="3313675D"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 xml:space="preserve">Não há garantias de que a Companhia não incorrerá em responsabilidade ambiental, ou de que as leis e regulamentos ambientais vigentes não sofrerão alterações ou se tornarão mais rigorosos no futuro. Nesse sentido, tanto o descumprimento da legislação aplicável, quanto mudanças nas regulamentações ambientais ou no regime de licenciamento, podem afetar adversamente a capacidade da Companhia e de suas controladas de operar seus projetos de geração de energia solar, prejudicando sua reputação, resultados operacionais e sua saúde financeira. </w:t>
      </w:r>
    </w:p>
    <w:p w14:paraId="0A71274B" w14:textId="77777777" w:rsidR="004D5EBD" w:rsidRPr="001E6E9D" w:rsidRDefault="004D5EBD" w:rsidP="00DC7081">
      <w:pPr>
        <w:rPr>
          <w:rFonts w:asciiTheme="minorHAnsi" w:hAnsiTheme="minorHAnsi" w:cstheme="minorHAnsi"/>
          <w:color w:val="000000"/>
          <w:kern w:val="20"/>
          <w:szCs w:val="20"/>
        </w:rPr>
      </w:pPr>
      <w:r w:rsidRPr="001E6E9D">
        <w:rPr>
          <w:rFonts w:asciiTheme="minorHAnsi" w:hAnsiTheme="minorHAnsi" w:cstheme="minorHAnsi"/>
          <w:color w:val="000000"/>
          <w:kern w:val="20"/>
          <w:szCs w:val="20"/>
        </w:rPr>
        <w:t>Dado o aumento do escrutínio por parte das autoridades ambientais, da sociedade civil e dos investidores quanto ao cumprimento da legislação ambiental, os custos da Companhia para atender às exigências e reparar possíveis danos podem aumentar substancialmente no futuro. Além disso, os processos relacionados ao compliance ambiental podem se tornar mais complexos.</w:t>
      </w:r>
    </w:p>
    <w:p w14:paraId="2F88FCDA" w14:textId="2D4A5AA4" w:rsidR="004D5EBD" w:rsidRPr="001E6E9D" w:rsidRDefault="004D5EBD" w:rsidP="00DC7081">
      <w:pPr>
        <w:tabs>
          <w:tab w:val="left" w:pos="851"/>
        </w:tabs>
        <w:autoSpaceDE w:val="0"/>
        <w:autoSpaceDN w:val="0"/>
        <w:rPr>
          <w:rFonts w:asciiTheme="minorHAnsi" w:hAnsiTheme="minorHAnsi" w:cstheme="minorHAnsi"/>
          <w:color w:val="000000"/>
          <w:kern w:val="20"/>
          <w:szCs w:val="20"/>
        </w:rPr>
      </w:pPr>
      <w:r w:rsidRPr="001E6E9D">
        <w:rPr>
          <w:rFonts w:asciiTheme="minorHAnsi" w:hAnsiTheme="minorHAnsi" w:cstheme="minorHAnsi"/>
          <w:color w:val="000000"/>
          <w:kern w:val="20"/>
          <w:szCs w:val="20"/>
          <w:u w:val="single"/>
        </w:rPr>
        <w:t>Escala qualitativa de risco</w:t>
      </w:r>
      <w:r w:rsidRPr="001E6E9D">
        <w:rPr>
          <w:rFonts w:asciiTheme="minorHAnsi" w:hAnsiTheme="minorHAnsi" w:cstheme="minorHAnsi"/>
          <w:color w:val="000000"/>
          <w:kern w:val="20"/>
          <w:szCs w:val="20"/>
        </w:rPr>
        <w:t xml:space="preserve">: </w:t>
      </w:r>
      <w:r w:rsidR="00002849" w:rsidRPr="001E6E9D">
        <w:rPr>
          <w:rFonts w:asciiTheme="minorHAnsi" w:eastAsia="Times New Roman" w:hAnsiTheme="minorHAnsi" w:cstheme="minorHAnsi"/>
          <w:spacing w:val="-2"/>
          <w:szCs w:val="20"/>
          <w:lang w:eastAsia="pt-BR"/>
        </w:rPr>
        <w:t>Probabilidade</w:t>
      </w:r>
      <w:r w:rsidR="00002849" w:rsidRPr="004418D6">
        <w:rPr>
          <w:rFonts w:asciiTheme="minorHAnsi" w:hAnsiTheme="minorHAnsi"/>
          <w:spacing w:val="-2"/>
        </w:rPr>
        <w:t xml:space="preserve">: </w:t>
      </w:r>
      <w:r w:rsidRPr="001E6E9D">
        <w:rPr>
          <w:rFonts w:asciiTheme="minorHAnsi" w:hAnsiTheme="minorHAnsi" w:cstheme="minorHAnsi"/>
          <w:color w:val="000000"/>
          <w:kern w:val="20"/>
          <w:szCs w:val="20"/>
        </w:rPr>
        <w:t xml:space="preserve">Menor / </w:t>
      </w:r>
      <w:r w:rsidRPr="001E6E9D">
        <w:rPr>
          <w:rFonts w:asciiTheme="minorHAnsi" w:hAnsiTheme="minorHAnsi" w:cstheme="minorHAnsi"/>
          <w:color w:val="000000"/>
          <w:kern w:val="20"/>
          <w:szCs w:val="20"/>
          <w:u w:val="single"/>
        </w:rPr>
        <w:t>Magnitude do impacto negativo</w:t>
      </w:r>
      <w:r w:rsidRPr="001E6E9D">
        <w:rPr>
          <w:rFonts w:asciiTheme="minorHAnsi" w:hAnsiTheme="minorHAnsi" w:cstheme="minorHAnsi"/>
          <w:color w:val="000000"/>
          <w:kern w:val="20"/>
          <w:szCs w:val="20"/>
        </w:rPr>
        <w:t xml:space="preserve">: Menor </w:t>
      </w:r>
    </w:p>
    <w:p w14:paraId="0B119102" w14:textId="3168C042" w:rsidR="00753BC8" w:rsidRPr="001E6E9D" w:rsidRDefault="00753BC8" w:rsidP="00DC7081">
      <w:pPr>
        <w:rPr>
          <w:rFonts w:asciiTheme="minorHAnsi" w:hAnsiTheme="minorHAnsi" w:cstheme="minorHAnsi"/>
          <w:b/>
          <w:bCs/>
          <w:i/>
          <w:iCs/>
          <w:color w:val="000000"/>
          <w:kern w:val="20"/>
          <w:szCs w:val="20"/>
        </w:rPr>
      </w:pPr>
      <w:r w:rsidRPr="001E6E9D">
        <w:rPr>
          <w:rFonts w:asciiTheme="minorHAnsi" w:hAnsiTheme="minorHAnsi" w:cstheme="minorHAnsi"/>
          <w:b/>
          <w:bCs/>
          <w:i/>
          <w:iCs/>
          <w:color w:val="000000"/>
          <w:kern w:val="20"/>
          <w:szCs w:val="20"/>
        </w:rPr>
        <w:t xml:space="preserve">Decisões contrárias em um ou mais processos judiciais ou administrativos nos quais a Emissora é parte, ou que pode vir a ser parte, poderão afetar adversamente a Emissora e as provisões podem não ser suficientes para atender a eventuais condenações o que pode afetar adversamente seus resultados </w:t>
      </w:r>
    </w:p>
    <w:p w14:paraId="3EC0EB0D" w14:textId="6DA108C7" w:rsidR="00753BC8" w:rsidRPr="001E6E9D" w:rsidRDefault="00753BC8" w:rsidP="00DC7081">
      <w:pPr>
        <w:rPr>
          <w:rFonts w:asciiTheme="minorHAnsi" w:hAnsiTheme="minorHAnsi" w:cstheme="minorHAnsi"/>
          <w:color w:val="000000"/>
          <w:kern w:val="20"/>
          <w:szCs w:val="20"/>
        </w:rPr>
      </w:pPr>
      <w:r w:rsidRPr="001E6E9D">
        <w:rPr>
          <w:rFonts w:asciiTheme="minorHAnsi" w:hAnsiTheme="minorHAnsi" w:cstheme="minorHAnsi"/>
          <w:color w:val="000000"/>
          <w:kern w:val="20"/>
          <w:szCs w:val="20"/>
        </w:rPr>
        <w:t xml:space="preserve">A Emissora é parte em diversos processos na esfera judicial e na administrativa, incluindo ações cíveis, trabalhistas, tributárias e previdenciárias, tendo, constituído, quando justificável, provisão em suas demonstrações financeiras. Não é possível garantir que a Emissora não será parte em novos processos administrativos e judiciais de natureza cível, tributária e trabalhista. As provisões constituídas nas demonstrações financeiras para os processos dos quais a Emissora é parte podem não ser suficientes para cobrir os custos totais decorrentes dos processos. Adicionalmente, de acordo com as práticas contábeis adotadas no Brasil, a Emissora provisiona os valores referentes aos processos em que a Emissora e seus assessores jurídicos externos consideram que têm chance de perda provável. No entanto, a Emissora não provisiona em suas demonstrações </w:t>
      </w:r>
      <w:r w:rsidRPr="001E6E9D">
        <w:rPr>
          <w:rFonts w:asciiTheme="minorHAnsi" w:hAnsiTheme="minorHAnsi" w:cstheme="minorHAnsi"/>
          <w:color w:val="000000"/>
          <w:kern w:val="20"/>
          <w:szCs w:val="20"/>
        </w:rPr>
        <w:lastRenderedPageBreak/>
        <w:t xml:space="preserve">financeiras e valores relativos a processos com probabilidade de perda classificada pela Emissora e pelos assessores legais externos da Emissora como possível ou remota. Novos processos ou procedimentos em andamento podem afetar adversamente os resultados financeiros da Emissora e, consequentemente, sua capacidade de pagamento das Debêntures, prejudicando os Debenturistas. </w:t>
      </w:r>
    </w:p>
    <w:p w14:paraId="46775CBD" w14:textId="6E51A27D" w:rsidR="00753BC8" w:rsidRPr="001E6E9D" w:rsidRDefault="00753BC8" w:rsidP="00DC7081">
      <w:pPr>
        <w:tabs>
          <w:tab w:val="left" w:pos="851"/>
        </w:tabs>
        <w:autoSpaceDE w:val="0"/>
        <w:autoSpaceDN w:val="0"/>
        <w:rPr>
          <w:rFonts w:asciiTheme="minorHAnsi" w:hAnsiTheme="minorHAnsi" w:cstheme="minorHAnsi"/>
          <w:color w:val="000000"/>
          <w:kern w:val="20"/>
          <w:szCs w:val="20"/>
        </w:rPr>
      </w:pPr>
      <w:r w:rsidRPr="001E6E9D">
        <w:rPr>
          <w:rFonts w:asciiTheme="minorHAnsi" w:hAnsiTheme="minorHAnsi" w:cstheme="minorHAnsi"/>
          <w:color w:val="000000"/>
          <w:kern w:val="20"/>
          <w:szCs w:val="20"/>
          <w:u w:val="single"/>
        </w:rPr>
        <w:t>Escala qualitativa de risco</w:t>
      </w:r>
      <w:r w:rsidRPr="001E6E9D">
        <w:rPr>
          <w:rFonts w:asciiTheme="minorHAnsi" w:hAnsiTheme="minorHAnsi" w:cstheme="minorHAnsi"/>
          <w:color w:val="000000"/>
          <w:kern w:val="20"/>
          <w:szCs w:val="20"/>
        </w:rPr>
        <w:t xml:space="preserve">: </w:t>
      </w:r>
      <w:r w:rsidR="00002849" w:rsidRPr="001E6E9D">
        <w:rPr>
          <w:rFonts w:asciiTheme="minorHAnsi" w:eastAsia="Times New Roman" w:hAnsiTheme="minorHAnsi" w:cstheme="minorHAnsi"/>
          <w:spacing w:val="-2"/>
          <w:szCs w:val="20"/>
          <w:lang w:eastAsia="pt-BR"/>
        </w:rPr>
        <w:t>Probabilidade</w:t>
      </w:r>
      <w:r w:rsidR="00002849" w:rsidRPr="004418D6">
        <w:rPr>
          <w:rFonts w:asciiTheme="minorHAnsi" w:hAnsiTheme="minorHAnsi"/>
          <w:spacing w:val="-2"/>
        </w:rPr>
        <w:t xml:space="preserve">: </w:t>
      </w:r>
      <w:r w:rsidRPr="001E6E9D">
        <w:rPr>
          <w:rFonts w:asciiTheme="minorHAnsi" w:hAnsiTheme="minorHAnsi" w:cstheme="minorHAnsi"/>
          <w:color w:val="000000"/>
          <w:kern w:val="20"/>
          <w:szCs w:val="20"/>
        </w:rPr>
        <w:t xml:space="preserve">Menor / </w:t>
      </w:r>
      <w:r w:rsidRPr="001E6E9D">
        <w:rPr>
          <w:rFonts w:asciiTheme="minorHAnsi" w:hAnsiTheme="minorHAnsi" w:cstheme="minorHAnsi"/>
          <w:color w:val="000000"/>
          <w:kern w:val="20"/>
          <w:szCs w:val="20"/>
          <w:u w:val="single"/>
        </w:rPr>
        <w:t>Magnitude do impacto negativo</w:t>
      </w:r>
      <w:r w:rsidRPr="001E6E9D">
        <w:rPr>
          <w:rFonts w:asciiTheme="minorHAnsi" w:hAnsiTheme="minorHAnsi" w:cstheme="minorHAnsi"/>
          <w:color w:val="000000"/>
          <w:kern w:val="20"/>
          <w:szCs w:val="20"/>
        </w:rPr>
        <w:t xml:space="preserve">: Menor </w:t>
      </w:r>
    </w:p>
    <w:p w14:paraId="31E45AFD" w14:textId="77777777" w:rsidR="004D5EBD" w:rsidRPr="001E6E9D" w:rsidRDefault="004D5EBD" w:rsidP="00DC7081">
      <w:pPr>
        <w:spacing w:after="140"/>
        <w:rPr>
          <w:rFonts w:asciiTheme="minorHAnsi" w:hAnsiTheme="minorHAnsi" w:cstheme="minorHAnsi"/>
          <w:b/>
          <w:bCs/>
          <w:i/>
          <w:iCs/>
          <w:color w:val="000000"/>
          <w:kern w:val="20"/>
          <w:szCs w:val="20"/>
        </w:rPr>
      </w:pPr>
      <w:r w:rsidRPr="001E6E9D">
        <w:rPr>
          <w:rFonts w:asciiTheme="minorHAnsi" w:hAnsiTheme="minorHAnsi" w:cstheme="minorHAnsi"/>
          <w:b/>
          <w:bCs/>
          <w:i/>
          <w:iCs/>
          <w:color w:val="000000"/>
          <w:kern w:val="20"/>
          <w:szCs w:val="20"/>
        </w:rPr>
        <w:t>Os resultados operacionais da Companhia poderão ser impactados por alterações na legislação tributária brasileira ou por resultados desfavoráveis de contingências tributárias.</w:t>
      </w:r>
    </w:p>
    <w:p w14:paraId="20837993"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As autoridades fiscais brasileiras implementam regularmente mudanças no regime tributário que podem afetar a Companhia. Essas medidas incluem mudanças nas alíquotas vigentes e, ocasionalmente, a criação de impostos temporários e permanentes. Algumas dessas mudanças podem aumentar, direta ou indiretamente, a carga tributária da Companhia, o que pode aumentar os preços que a Companhia cobra por seus serviços, restringir a capacidade da Companhia de fazer negócios e, portanto, impactar de maneira material e adversa seus negócios e resultados operacionais.</w:t>
      </w:r>
    </w:p>
    <w:p w14:paraId="6EDBB1D3"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Além disso, as leis tributárias aplicáveis podem estar sujeitas a interpretações divergentes ou controvérsias por parte das autoridades fiscais. A Companhia poderá ser adversamente impactada caso adote uma interpretação das normas tributárias que, posteriormente, venha a ser considerada inconsistente com o entendimento das autoridades fiscais competentes. Nessa hipótese, a Companhia poderá ser obrigada a recolher a integralidade dos tributos considerados devidos, acrescidos de juros, multas e outras penalidades aplicáveis, o que pode gerar impactos negativos significativos sobre sua posição financeira, seus resultados operacionais e fluxo de caixa.</w:t>
      </w:r>
    </w:p>
    <w:p w14:paraId="7D41D90B"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Outrossim, a Companhia está sujeita a fiscalizações pelas autoridades fiscais nas esferas federal, estadual e municipal. Como resultado de tais fiscalizações, as posições fiscais da Companhia podem ser questionadas pelas autoridades fiscais. A Companhia não pode garantir que os provisionamentos para tais processos existirão ou, se existentes, serão corretos, que não haverá identificação de exposição fiscal adicional, e que não será necessária constituição de reservas fiscais adicionais para qualquer exposição fiscal. Qualquer aumento no montante da tributação como resultado das contestações às posições fiscais da Companhia pode afetar adversamente os seus negócios, os seus resultados operacionais e a sua condição financeira.</w:t>
      </w:r>
    </w:p>
    <w:p w14:paraId="623082B1" w14:textId="77777777" w:rsidR="004D5EBD" w:rsidRPr="001E6E9D" w:rsidRDefault="004D5EBD" w:rsidP="00DC7081">
      <w:pPr>
        <w:rPr>
          <w:rFonts w:asciiTheme="minorHAnsi" w:hAnsiTheme="minorHAnsi" w:cstheme="minorHAnsi"/>
          <w:color w:val="000000"/>
          <w:kern w:val="20"/>
          <w:szCs w:val="20"/>
        </w:rPr>
      </w:pPr>
      <w:r w:rsidRPr="001E6E9D">
        <w:rPr>
          <w:rFonts w:asciiTheme="minorHAnsi" w:hAnsiTheme="minorHAnsi" w:cstheme="minorHAnsi"/>
          <w:color w:val="000000"/>
          <w:kern w:val="20"/>
          <w:szCs w:val="20"/>
        </w:rPr>
        <w:t>As autoridades fiscais brasileiras intensificaram, recentemente, o número de fiscalizações. Existem diversas questões fiscais objeto de preocupação das autoridades brasileiras e com relação às quais as autoridades brasileiras regularmente fiscalizam as empresas, incluindo despesas de amortização de ágio, reestruturação societária e planejamento tributário, entre outros. Quaisquer processos judiciais e administrativos relacionados a assuntos fiscais perante os tribunais, incluindo o Conselho Administrativo de Recursos Fiscais (CARF) e tribunais administrativos estaduais e municipais, pode afetar negativamente a Companhia.</w:t>
      </w:r>
    </w:p>
    <w:p w14:paraId="487E39EA" w14:textId="4CD38E45" w:rsidR="004D5EBD" w:rsidRPr="001E6E9D" w:rsidRDefault="004D5EBD" w:rsidP="00DC7081">
      <w:pPr>
        <w:tabs>
          <w:tab w:val="left" w:pos="851"/>
        </w:tabs>
        <w:autoSpaceDE w:val="0"/>
        <w:autoSpaceDN w:val="0"/>
        <w:rPr>
          <w:rFonts w:asciiTheme="minorHAnsi" w:hAnsiTheme="minorHAnsi" w:cstheme="minorHAnsi"/>
          <w:color w:val="000000"/>
          <w:kern w:val="20"/>
          <w:szCs w:val="20"/>
        </w:rPr>
      </w:pPr>
      <w:r w:rsidRPr="001E6E9D">
        <w:rPr>
          <w:rFonts w:asciiTheme="minorHAnsi" w:hAnsiTheme="minorHAnsi" w:cstheme="minorHAnsi"/>
          <w:color w:val="000000"/>
          <w:kern w:val="20"/>
          <w:szCs w:val="20"/>
          <w:u w:val="single"/>
        </w:rPr>
        <w:t>Escala qualitativa de risco</w:t>
      </w:r>
      <w:r w:rsidRPr="001E6E9D">
        <w:rPr>
          <w:rFonts w:asciiTheme="minorHAnsi" w:hAnsiTheme="minorHAnsi" w:cstheme="minorHAnsi"/>
          <w:color w:val="000000"/>
          <w:kern w:val="20"/>
          <w:szCs w:val="20"/>
        </w:rPr>
        <w:t xml:space="preserve">: </w:t>
      </w:r>
      <w:r w:rsidR="00002849" w:rsidRPr="001E6E9D">
        <w:rPr>
          <w:rFonts w:asciiTheme="minorHAnsi" w:eastAsia="Times New Roman" w:hAnsiTheme="minorHAnsi" w:cstheme="minorHAnsi"/>
          <w:spacing w:val="-2"/>
          <w:szCs w:val="20"/>
          <w:lang w:eastAsia="pt-BR"/>
        </w:rPr>
        <w:t>Probabilidade</w:t>
      </w:r>
      <w:r w:rsidR="00002849" w:rsidRPr="004418D6">
        <w:rPr>
          <w:rFonts w:asciiTheme="minorHAnsi" w:hAnsiTheme="minorHAnsi"/>
          <w:spacing w:val="-2"/>
        </w:rPr>
        <w:t xml:space="preserve">: </w:t>
      </w:r>
      <w:r w:rsidRPr="001E6E9D">
        <w:rPr>
          <w:rFonts w:asciiTheme="minorHAnsi" w:hAnsiTheme="minorHAnsi" w:cstheme="minorHAnsi"/>
          <w:color w:val="000000"/>
          <w:kern w:val="20"/>
          <w:szCs w:val="20"/>
        </w:rPr>
        <w:t xml:space="preserve">Menor / </w:t>
      </w:r>
      <w:r w:rsidRPr="001E6E9D">
        <w:rPr>
          <w:rFonts w:asciiTheme="minorHAnsi" w:hAnsiTheme="minorHAnsi" w:cstheme="minorHAnsi"/>
          <w:color w:val="000000"/>
          <w:kern w:val="20"/>
          <w:szCs w:val="20"/>
          <w:u w:val="single"/>
        </w:rPr>
        <w:t>Magnitude do impacto negativo</w:t>
      </w:r>
      <w:r w:rsidRPr="001E6E9D">
        <w:rPr>
          <w:rFonts w:asciiTheme="minorHAnsi" w:hAnsiTheme="minorHAnsi" w:cstheme="minorHAnsi"/>
          <w:color w:val="000000"/>
          <w:kern w:val="20"/>
          <w:szCs w:val="20"/>
        </w:rPr>
        <w:t>: Menor</w:t>
      </w:r>
    </w:p>
    <w:p w14:paraId="7CE500CA" w14:textId="77777777" w:rsidR="004D5EBD" w:rsidRPr="001E6E9D" w:rsidRDefault="004D5EBD" w:rsidP="00DC7081">
      <w:pPr>
        <w:spacing w:after="140"/>
        <w:rPr>
          <w:rFonts w:asciiTheme="minorHAnsi" w:hAnsiTheme="minorHAnsi" w:cstheme="minorHAnsi"/>
          <w:b/>
          <w:bCs/>
          <w:i/>
          <w:iCs/>
          <w:color w:val="000000"/>
          <w:kern w:val="20"/>
          <w:szCs w:val="20"/>
        </w:rPr>
      </w:pPr>
      <w:r w:rsidRPr="001E6E9D">
        <w:rPr>
          <w:rFonts w:asciiTheme="minorHAnsi" w:hAnsiTheme="minorHAnsi" w:cstheme="minorHAnsi"/>
          <w:b/>
          <w:bCs/>
          <w:i/>
          <w:iCs/>
          <w:color w:val="000000"/>
          <w:kern w:val="20"/>
          <w:szCs w:val="20"/>
        </w:rPr>
        <w:t>Impacto da concorrência e dos fatores regulatórios no setor de energia brasileiro.</w:t>
      </w:r>
    </w:p>
    <w:p w14:paraId="785C3E04"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 Companhia poderá ser afetada pela crescente concorrência no setor de energia brasileiro, bem como por fatores de mercado e regulação, como processos de autorização, concessão, licenciamento e licitações conduzidos pelos órgãos reguladores. Essa concorrência pode dificultar a renovação de contratos vigentes, impactando negativamente a receita, os resultados operacionais e a capacidade de pagamento da Companhia.</w:t>
      </w:r>
    </w:p>
    <w:p w14:paraId="05C40A61"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Além disso, a continuidade dos negócios atuais está sujeita a fatores fora do controle da Companhia, o que torna impossível garantir o sucesso de seu plano de negócios neste segmento. Outros fatores de incerteza incluem o caráter cíclico dos preços, influenciados por: (i) oferta e demanda de energia, afetada por fontes alternativas; (ii) variação dos custos de insumos necessários à operação e manutenção de usinas solares; (iii) mecanismos de compensação e custos de acesso à rede de distribuição; (iv) capacidade das usinas de realizar compensação de energia; e (v) criação ou alteração de contas que afetam os custos relacionados à geração distribuída (“</w:t>
      </w:r>
      <w:r w:rsidRPr="001E6E9D">
        <w:rPr>
          <w:rFonts w:asciiTheme="minorHAnsi" w:hAnsiTheme="minorHAnsi" w:cstheme="minorHAnsi"/>
          <w:color w:val="000000"/>
          <w:kern w:val="20"/>
          <w:szCs w:val="20"/>
          <w:u w:val="single"/>
        </w:rPr>
        <w:t>GD</w:t>
      </w:r>
      <w:r w:rsidRPr="001E6E9D">
        <w:rPr>
          <w:rFonts w:asciiTheme="minorHAnsi" w:hAnsiTheme="minorHAnsi" w:cstheme="minorHAnsi"/>
          <w:color w:val="000000"/>
          <w:kern w:val="20"/>
          <w:szCs w:val="20"/>
        </w:rPr>
        <w:t>”) e/ou às tarifas das distribuidoras. Tais variações podem ter um impacto adverso significativo nos resultados operacionais e financeiros da Companhia.</w:t>
      </w:r>
    </w:p>
    <w:p w14:paraId="4CCEE682"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Portanto, o aumento da concorrência no setor de energia, aliado a essas incertezas, pode gerar efeitos negativos tanto para a Companhia quanto para o valor de mercado de seus valores mobiliários, resultando em potenciais impactos adversos aos seus resultados.</w:t>
      </w:r>
    </w:p>
    <w:p w14:paraId="700C2242" w14:textId="3CE94458" w:rsidR="004D5EBD" w:rsidRPr="001E6E9D" w:rsidRDefault="004D5EBD" w:rsidP="001F7A69">
      <w:pPr>
        <w:tabs>
          <w:tab w:val="left" w:pos="851"/>
        </w:tabs>
        <w:autoSpaceDE w:val="0"/>
        <w:autoSpaceDN w:val="0"/>
        <w:rPr>
          <w:rFonts w:asciiTheme="minorHAnsi" w:hAnsiTheme="minorHAnsi" w:cstheme="minorHAnsi"/>
          <w:color w:val="000000"/>
          <w:kern w:val="20"/>
          <w:szCs w:val="20"/>
        </w:rPr>
      </w:pPr>
      <w:r w:rsidRPr="001E6E9D">
        <w:rPr>
          <w:rFonts w:asciiTheme="minorHAnsi" w:hAnsiTheme="minorHAnsi" w:cstheme="minorHAnsi"/>
          <w:color w:val="000000"/>
          <w:kern w:val="20"/>
          <w:szCs w:val="20"/>
          <w:u w:val="single"/>
        </w:rPr>
        <w:t>Escala qualitativa de risco</w:t>
      </w:r>
      <w:r w:rsidRPr="001E6E9D">
        <w:rPr>
          <w:rFonts w:asciiTheme="minorHAnsi" w:hAnsiTheme="minorHAnsi" w:cstheme="minorHAnsi"/>
          <w:color w:val="000000"/>
          <w:kern w:val="20"/>
          <w:szCs w:val="20"/>
        </w:rPr>
        <w:t xml:space="preserve">: </w:t>
      </w:r>
      <w:r w:rsidR="00002849" w:rsidRPr="001E6E9D">
        <w:rPr>
          <w:rFonts w:asciiTheme="minorHAnsi" w:eastAsia="Times New Roman" w:hAnsiTheme="minorHAnsi" w:cstheme="minorHAnsi"/>
          <w:spacing w:val="-2"/>
          <w:szCs w:val="20"/>
          <w:lang w:eastAsia="pt-BR"/>
        </w:rPr>
        <w:t>Probabilidade</w:t>
      </w:r>
      <w:r w:rsidR="00002849" w:rsidRPr="004418D6">
        <w:rPr>
          <w:rFonts w:asciiTheme="minorHAnsi" w:hAnsiTheme="minorHAnsi"/>
          <w:spacing w:val="-2"/>
        </w:rPr>
        <w:t xml:space="preserve">: </w:t>
      </w:r>
      <w:r w:rsidRPr="001E6E9D">
        <w:rPr>
          <w:rFonts w:asciiTheme="minorHAnsi" w:hAnsiTheme="minorHAnsi" w:cstheme="minorHAnsi"/>
          <w:color w:val="000000"/>
          <w:kern w:val="20"/>
          <w:szCs w:val="20"/>
        </w:rPr>
        <w:t xml:space="preserve">Menor / </w:t>
      </w:r>
      <w:r w:rsidRPr="001E6E9D">
        <w:rPr>
          <w:rFonts w:asciiTheme="minorHAnsi" w:hAnsiTheme="minorHAnsi" w:cstheme="minorHAnsi"/>
          <w:color w:val="000000"/>
          <w:kern w:val="20"/>
          <w:szCs w:val="20"/>
          <w:u w:val="single"/>
        </w:rPr>
        <w:t>Magnitude do impacto negativo</w:t>
      </w:r>
      <w:r w:rsidRPr="001E6E9D">
        <w:rPr>
          <w:rFonts w:asciiTheme="minorHAnsi" w:hAnsiTheme="minorHAnsi" w:cstheme="minorHAnsi"/>
          <w:color w:val="000000"/>
          <w:kern w:val="20"/>
          <w:szCs w:val="20"/>
        </w:rPr>
        <w:t>: Menor</w:t>
      </w:r>
    </w:p>
    <w:p w14:paraId="1C8B417A" w14:textId="77777777" w:rsidR="004D5EBD" w:rsidRPr="001E6E9D" w:rsidRDefault="004D5EBD" w:rsidP="001F7A69">
      <w:pPr>
        <w:keepNext/>
        <w:keepLines/>
        <w:spacing w:after="140"/>
        <w:rPr>
          <w:rFonts w:asciiTheme="minorHAnsi" w:hAnsiTheme="minorHAnsi" w:cstheme="minorHAnsi"/>
          <w:b/>
          <w:bCs/>
          <w:i/>
          <w:iCs/>
          <w:color w:val="000000"/>
          <w:kern w:val="20"/>
          <w:szCs w:val="20"/>
        </w:rPr>
      </w:pPr>
      <w:r w:rsidRPr="001E6E9D">
        <w:rPr>
          <w:rFonts w:asciiTheme="minorHAnsi" w:hAnsiTheme="minorHAnsi" w:cstheme="minorHAnsi"/>
          <w:b/>
          <w:bCs/>
          <w:i/>
          <w:iCs/>
          <w:color w:val="000000"/>
          <w:kern w:val="20"/>
          <w:szCs w:val="20"/>
        </w:rPr>
        <w:lastRenderedPageBreak/>
        <w:t>Impacto da abertura do mercado de energia e migração de clientes para o Ambiente de Contratação Livre (“</w:t>
      </w:r>
      <w:r w:rsidRPr="001E6E9D">
        <w:rPr>
          <w:rFonts w:asciiTheme="minorHAnsi" w:hAnsiTheme="minorHAnsi" w:cstheme="minorHAnsi"/>
          <w:b/>
          <w:bCs/>
          <w:i/>
          <w:iCs/>
          <w:color w:val="000000"/>
          <w:kern w:val="20"/>
          <w:szCs w:val="20"/>
          <w:u w:val="single"/>
        </w:rPr>
        <w:t>ACL</w:t>
      </w:r>
      <w:r w:rsidRPr="001E6E9D">
        <w:rPr>
          <w:rFonts w:asciiTheme="minorHAnsi" w:hAnsiTheme="minorHAnsi" w:cstheme="minorHAnsi"/>
          <w:b/>
          <w:bCs/>
          <w:i/>
          <w:iCs/>
          <w:color w:val="000000"/>
          <w:kern w:val="20"/>
          <w:szCs w:val="20"/>
        </w:rPr>
        <w:t>”).</w:t>
      </w:r>
    </w:p>
    <w:p w14:paraId="255BB6C5" w14:textId="77777777" w:rsidR="004D5EBD" w:rsidRPr="001E6E9D" w:rsidRDefault="004D5EBD" w:rsidP="001F7A69">
      <w:pPr>
        <w:keepNext/>
        <w:keepLines/>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 receita da Companhia é parcialmente gerada por clientes classificados como consumidores potencialmente livres que, em um cenário de abertura integral do mercado de energia, terão a liberdade de escolher fornecedores alternativos fora do ambiente de contratação regulada. Se alguns desses clientes optarem por rescindir os contratos vigentes para migrar para o ACL, os resultados da Companhia poderão ser negativamente afetados.</w:t>
      </w:r>
    </w:p>
    <w:p w14:paraId="4A7F680D"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 expansão do ACL pode ocorrer em ritmo mais acelerado do que o previsto pela Companhia, especialmente com a esperada abertura total do mercado e a redução dos limites de contratação para consumidores de energia, conforme estabelecido pela Portaria do Ministério de Minas e Energia n.º 465, de 12 de dezembro de 2019 (“</w:t>
      </w:r>
      <w:r w:rsidRPr="001E6E9D">
        <w:rPr>
          <w:rFonts w:asciiTheme="minorHAnsi" w:hAnsiTheme="minorHAnsi" w:cstheme="minorHAnsi"/>
          <w:color w:val="000000"/>
          <w:kern w:val="20"/>
          <w:szCs w:val="20"/>
          <w:u w:val="single"/>
        </w:rPr>
        <w:t>Portaria MME 465/2019</w:t>
      </w:r>
      <w:r w:rsidRPr="001E6E9D">
        <w:rPr>
          <w:rFonts w:asciiTheme="minorHAnsi" w:hAnsiTheme="minorHAnsi" w:cstheme="minorHAnsi"/>
          <w:color w:val="000000"/>
          <w:kern w:val="20"/>
          <w:szCs w:val="20"/>
        </w:rPr>
        <w:t>”), pela Portaria do Ministério de Minas e Energia n.º 50, de 27 de setembro de 2022 (“</w:t>
      </w:r>
      <w:r w:rsidRPr="001E6E9D">
        <w:rPr>
          <w:rFonts w:asciiTheme="minorHAnsi" w:hAnsiTheme="minorHAnsi" w:cstheme="minorHAnsi"/>
          <w:color w:val="000000"/>
          <w:kern w:val="20"/>
          <w:szCs w:val="20"/>
          <w:u w:val="single"/>
        </w:rPr>
        <w:t>Portaria MME 50/2022</w:t>
      </w:r>
      <w:r w:rsidRPr="001E6E9D">
        <w:rPr>
          <w:rFonts w:asciiTheme="minorHAnsi" w:hAnsiTheme="minorHAnsi" w:cstheme="minorHAnsi"/>
          <w:color w:val="000000"/>
          <w:kern w:val="20"/>
          <w:szCs w:val="20"/>
        </w:rPr>
        <w:t>”) e pelo Projeto de Lei do Senado n.º 232, de 2016, que atualmente tramita na Câmara dos Deputados sob a numeração do Projeto de Lei n.º 414, de 2021 (“</w:t>
      </w:r>
      <w:r w:rsidRPr="001E6E9D">
        <w:rPr>
          <w:rFonts w:asciiTheme="minorHAnsi" w:hAnsiTheme="minorHAnsi" w:cstheme="minorHAnsi"/>
          <w:color w:val="000000"/>
          <w:kern w:val="20"/>
          <w:szCs w:val="20"/>
          <w:u w:val="single"/>
        </w:rPr>
        <w:t>PL 414/2021</w:t>
      </w:r>
      <w:r w:rsidRPr="001E6E9D">
        <w:rPr>
          <w:rFonts w:asciiTheme="minorHAnsi" w:hAnsiTheme="minorHAnsi" w:cstheme="minorHAnsi"/>
          <w:color w:val="000000"/>
          <w:kern w:val="20"/>
          <w:szCs w:val="20"/>
        </w:rPr>
        <w:t>”).</w:t>
      </w:r>
    </w:p>
    <w:p w14:paraId="14C79550"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 Portaria MME 465/2019 autoriza a compra de energia de qualquer concessionário, permissionário ou autorizado do Sistema Interligado Nacional (SIN) por consumidores com carga: (i) igual ou superior a 1.500 quilowatts (“</w:t>
      </w:r>
      <w:r w:rsidRPr="001E6E9D">
        <w:rPr>
          <w:rFonts w:asciiTheme="minorHAnsi" w:hAnsiTheme="minorHAnsi" w:cstheme="minorHAnsi"/>
          <w:color w:val="000000"/>
          <w:kern w:val="20"/>
          <w:szCs w:val="20"/>
          <w:u w:val="single"/>
        </w:rPr>
        <w:t>kW</w:t>
      </w:r>
      <w:r w:rsidRPr="001E6E9D">
        <w:rPr>
          <w:rFonts w:asciiTheme="minorHAnsi" w:hAnsiTheme="minorHAnsi" w:cstheme="minorHAnsi"/>
          <w:color w:val="000000"/>
          <w:kern w:val="20"/>
          <w:szCs w:val="20"/>
        </w:rPr>
        <w:t>”), a partir de 1º de janeiro de 2021; (ii) igual ou superior a 1.000 kW, a partir de 1º de janeiro de 2022; e (iii) igual ou superior a 500 kW, a partir de 1º de janeiro de 2023. A Portaria MME 50/2022 amplia essa autorização para consumidores classificados como Grupo A. O PL 414/2021, por sua vez, estabelece que consumidores com cargas superiores a 3.000 kW poderão escolher livremente seu fornecedor, inclusive no ACL, e, em até 42 meses após a sanção da lei, todos os consumidores, independentemente da carga ou tensão utilizada, poderão optar por migrar para o ACL.</w:t>
      </w:r>
    </w:p>
    <w:p w14:paraId="47B7E8B1"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Se a migração de clientes para o ACL ocorrer em escala elevada, resultando na rescisão de contratos, os resultados operacionais e a geração de caixa da Companhia poderão ser significativamente afetados.</w:t>
      </w:r>
    </w:p>
    <w:p w14:paraId="7DCEC470" w14:textId="579B44BA" w:rsidR="004D5EBD" w:rsidRPr="001E6E9D" w:rsidRDefault="004D5EBD" w:rsidP="00DC7081">
      <w:pPr>
        <w:tabs>
          <w:tab w:val="left" w:pos="851"/>
        </w:tabs>
        <w:autoSpaceDE w:val="0"/>
        <w:autoSpaceDN w:val="0"/>
        <w:rPr>
          <w:rFonts w:asciiTheme="minorHAnsi" w:hAnsiTheme="minorHAnsi" w:cstheme="minorHAnsi"/>
          <w:color w:val="000000"/>
          <w:kern w:val="20"/>
          <w:szCs w:val="20"/>
        </w:rPr>
      </w:pPr>
      <w:r w:rsidRPr="001E6E9D">
        <w:rPr>
          <w:rFonts w:asciiTheme="minorHAnsi" w:hAnsiTheme="minorHAnsi" w:cstheme="minorHAnsi"/>
          <w:color w:val="000000"/>
          <w:kern w:val="20"/>
          <w:szCs w:val="20"/>
          <w:u w:val="single"/>
        </w:rPr>
        <w:t>Escala qualitativa de risco</w:t>
      </w:r>
      <w:r w:rsidRPr="001E6E9D">
        <w:rPr>
          <w:rFonts w:asciiTheme="minorHAnsi" w:hAnsiTheme="minorHAnsi" w:cstheme="minorHAnsi"/>
          <w:color w:val="000000"/>
          <w:kern w:val="20"/>
          <w:szCs w:val="20"/>
        </w:rPr>
        <w:t xml:space="preserve">: </w:t>
      </w:r>
      <w:r w:rsidR="00002849" w:rsidRPr="001E6E9D">
        <w:rPr>
          <w:rFonts w:asciiTheme="minorHAnsi" w:eastAsia="Times New Roman" w:hAnsiTheme="minorHAnsi" w:cstheme="minorHAnsi"/>
          <w:spacing w:val="-2"/>
          <w:szCs w:val="20"/>
          <w:lang w:eastAsia="pt-BR"/>
        </w:rPr>
        <w:t>Probabilidade</w:t>
      </w:r>
      <w:r w:rsidR="00002849" w:rsidRPr="004418D6">
        <w:rPr>
          <w:rFonts w:asciiTheme="minorHAnsi" w:hAnsiTheme="minorHAnsi"/>
          <w:spacing w:val="-2"/>
        </w:rPr>
        <w:t xml:space="preserve">: </w:t>
      </w:r>
      <w:r w:rsidRPr="001E6E9D">
        <w:rPr>
          <w:rFonts w:asciiTheme="minorHAnsi" w:hAnsiTheme="minorHAnsi" w:cstheme="minorHAnsi"/>
          <w:color w:val="000000"/>
          <w:kern w:val="20"/>
          <w:szCs w:val="20"/>
        </w:rPr>
        <w:t xml:space="preserve">Menor / </w:t>
      </w:r>
      <w:r w:rsidRPr="001E6E9D">
        <w:rPr>
          <w:rFonts w:asciiTheme="minorHAnsi" w:hAnsiTheme="minorHAnsi" w:cstheme="minorHAnsi"/>
          <w:color w:val="000000"/>
          <w:kern w:val="20"/>
          <w:szCs w:val="20"/>
          <w:u w:val="single"/>
        </w:rPr>
        <w:t>Magnitude do impacto negativo</w:t>
      </w:r>
      <w:r w:rsidRPr="001E6E9D">
        <w:rPr>
          <w:rFonts w:asciiTheme="minorHAnsi" w:hAnsiTheme="minorHAnsi" w:cstheme="minorHAnsi"/>
          <w:color w:val="000000"/>
          <w:kern w:val="20"/>
          <w:szCs w:val="20"/>
        </w:rPr>
        <w:t>: Menor</w:t>
      </w:r>
    </w:p>
    <w:p w14:paraId="091E9B34" w14:textId="77777777" w:rsidR="004D5EBD" w:rsidRPr="001E6E9D" w:rsidRDefault="004D5EBD" w:rsidP="00DC7081">
      <w:pPr>
        <w:spacing w:after="140"/>
        <w:rPr>
          <w:rFonts w:asciiTheme="minorHAnsi" w:hAnsiTheme="minorHAnsi" w:cstheme="minorHAnsi"/>
          <w:b/>
          <w:bCs/>
          <w:i/>
          <w:iCs/>
          <w:color w:val="000000"/>
          <w:kern w:val="20"/>
          <w:szCs w:val="20"/>
        </w:rPr>
      </w:pPr>
      <w:r w:rsidRPr="001E6E9D">
        <w:rPr>
          <w:rFonts w:asciiTheme="minorHAnsi" w:hAnsiTheme="minorHAnsi" w:cstheme="minorHAnsi"/>
          <w:b/>
          <w:bCs/>
          <w:i/>
          <w:iCs/>
          <w:color w:val="000000"/>
          <w:kern w:val="20"/>
          <w:szCs w:val="20"/>
        </w:rPr>
        <w:t xml:space="preserve">Modificações significativas nas políticas monetárias, fiscais, creditícias e tarifárias brasileiras podem impactar os negócios da Companhia. </w:t>
      </w:r>
    </w:p>
    <w:p w14:paraId="7634BF81"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O histórico recente da economia brasileira demonstra diversos exemplos de medidas governamentais que alteraram drasticamente a condução das políticas públicas, visando enfrentar as condições econômicas e políticas da época. Entre essas medidas, destacam-se: aumentos ou reduções nas taxas de juros, mudanças nas políticas fiscais, controle de salários e preços, desvalorização cambial, controle de capital e restrições às importações.</w:t>
      </w:r>
    </w:p>
    <w:p w14:paraId="60A3A71F"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t>A Companhia não tem controle sobre as futuras políticas ou medidas que o governo brasileiro poderá implementar. Mudanças relevantes em políticas ou normas que afetam fatores como os listados abaixo podem impactar de forma significativa os negócios da Companhia, sua situação financeira, resultados operacionais e suas perspectivas futuras:</w:t>
      </w:r>
    </w:p>
    <w:p w14:paraId="014F3724" w14:textId="59BCDEC8"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política monetária;</w:t>
      </w:r>
    </w:p>
    <w:p w14:paraId="5703229D" w14:textId="601B02FE"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política fiscal;</w:t>
      </w:r>
    </w:p>
    <w:p w14:paraId="2E53C644" w14:textId="6F90377B"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política cambial;</w:t>
      </w:r>
    </w:p>
    <w:p w14:paraId="5EE9ECDA" w14:textId="365462C9"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estabilidade social e política;</w:t>
      </w:r>
    </w:p>
    <w:p w14:paraId="4F305258" w14:textId="6D7130E0"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expansão ou contração da economia global ou brasileira;</w:t>
      </w:r>
    </w:p>
    <w:p w14:paraId="0BD3CA12" w14:textId="31588E4E"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controles cambiais e restrições a remessas internacionais;</w:t>
      </w:r>
    </w:p>
    <w:p w14:paraId="56FBCEAF" w14:textId="293BCB7F"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flutuações cambiais expressivas;</w:t>
      </w:r>
    </w:p>
    <w:p w14:paraId="1534E79E" w14:textId="268EFB94"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alterações no regime tributário;</w:t>
      </w:r>
    </w:p>
    <w:p w14:paraId="29A65C49" w14:textId="4126D043"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liquidez dos mercados financeiros e de capitais locais;</w:t>
      </w:r>
    </w:p>
    <w:p w14:paraId="6E2F25B9" w14:textId="5609A89C"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taxas de juros;</w:t>
      </w:r>
    </w:p>
    <w:p w14:paraId="21C715CE" w14:textId="5D62FA31"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inflação;</w:t>
      </w:r>
    </w:p>
    <w:p w14:paraId="6D9C5361" w14:textId="603C8BE1"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modificações nos critérios de definição de preços e tarifas praticados; e</w:t>
      </w:r>
    </w:p>
    <w:p w14:paraId="21379E63" w14:textId="017DE799" w:rsidR="004D5EBD" w:rsidRPr="001E6E9D" w:rsidRDefault="00DE41ED" w:rsidP="00DE41ED">
      <w:pPr>
        <w:spacing w:after="140"/>
        <w:ind w:left="567" w:hanging="567"/>
        <w:rPr>
          <w:rFonts w:asciiTheme="minorHAnsi" w:hAnsiTheme="minorHAnsi" w:cstheme="minorHAnsi"/>
          <w:color w:val="000000"/>
          <w:kern w:val="20"/>
          <w:szCs w:val="20"/>
        </w:rPr>
      </w:pPr>
      <w:r>
        <w:rPr>
          <w:rFonts w:asciiTheme="minorHAnsi" w:hAnsiTheme="minorHAnsi" w:cstheme="minorHAnsi"/>
          <w:color w:val="000000"/>
          <w:w w:val="102"/>
          <w:kern w:val="20"/>
          <w:sz w:val="19"/>
          <w:szCs w:val="19"/>
          <w:lang w:val="pt-PT"/>
        </w:rPr>
        <w:t>•</w:t>
      </w:r>
      <w:r w:rsidR="00DC7081" w:rsidRPr="001E6E9D">
        <w:rPr>
          <w:rFonts w:asciiTheme="minorHAnsi" w:hAnsiTheme="minorHAnsi" w:cstheme="minorHAnsi"/>
          <w:color w:val="000000"/>
          <w:w w:val="102"/>
          <w:kern w:val="20"/>
          <w:sz w:val="19"/>
          <w:szCs w:val="19"/>
          <w:lang w:val="pt-PT"/>
        </w:rPr>
        <w:tab/>
      </w:r>
      <w:r w:rsidR="004D5EBD" w:rsidRPr="001E6E9D">
        <w:rPr>
          <w:rFonts w:asciiTheme="minorHAnsi" w:hAnsiTheme="minorHAnsi" w:cstheme="minorHAnsi"/>
          <w:color w:val="000000"/>
          <w:kern w:val="20"/>
          <w:szCs w:val="20"/>
        </w:rPr>
        <w:t xml:space="preserve">outros eventos políticos, diplomáticos, sociais e econômicos que venham a ocorrer no Brasil ou que o </w:t>
      </w:r>
      <w:r>
        <w:rPr>
          <w:rFonts w:asciiTheme="minorHAnsi" w:hAnsiTheme="minorHAnsi" w:cstheme="minorHAnsi"/>
          <w:color w:val="000000"/>
          <w:kern w:val="20"/>
          <w:szCs w:val="20"/>
        </w:rPr>
        <w:t> </w:t>
      </w:r>
      <w:r w:rsidR="004D5EBD" w:rsidRPr="001E6E9D">
        <w:rPr>
          <w:rFonts w:asciiTheme="minorHAnsi" w:hAnsiTheme="minorHAnsi" w:cstheme="minorHAnsi"/>
          <w:color w:val="000000"/>
          <w:kern w:val="20"/>
          <w:szCs w:val="20"/>
        </w:rPr>
        <w:t>afetem.</w:t>
      </w:r>
    </w:p>
    <w:p w14:paraId="6DC3F00A" w14:textId="77777777" w:rsidR="004D5EBD" w:rsidRPr="001E6E9D" w:rsidRDefault="004D5EBD" w:rsidP="00DC7081">
      <w:pPr>
        <w:spacing w:after="140"/>
        <w:rPr>
          <w:rFonts w:asciiTheme="minorHAnsi" w:hAnsiTheme="minorHAnsi" w:cstheme="minorHAnsi"/>
          <w:color w:val="000000"/>
          <w:kern w:val="20"/>
          <w:szCs w:val="20"/>
        </w:rPr>
      </w:pPr>
      <w:r w:rsidRPr="001E6E9D">
        <w:rPr>
          <w:rFonts w:asciiTheme="minorHAnsi" w:hAnsiTheme="minorHAnsi" w:cstheme="minorHAnsi"/>
          <w:color w:val="000000"/>
          <w:kern w:val="20"/>
          <w:szCs w:val="20"/>
        </w:rPr>
        <w:lastRenderedPageBreak/>
        <w:t>A adoção de novas políticas ou normas que impactem esses fatores pode aumentar a incerteza econômica no Brasil e a volatilidade do mercado de valores mobiliários. Qualquer um desses eventos pode ter um efeito adverso sobre a Companhia.</w:t>
      </w:r>
    </w:p>
    <w:p w14:paraId="10DC92B1" w14:textId="77777777" w:rsidR="004D5EBD" w:rsidRPr="001E6E9D" w:rsidRDefault="004D5EBD" w:rsidP="00DC7081">
      <w:pPr>
        <w:rPr>
          <w:rFonts w:asciiTheme="minorHAnsi" w:hAnsiTheme="minorHAnsi" w:cstheme="minorHAnsi"/>
          <w:color w:val="000000"/>
          <w:kern w:val="20"/>
          <w:szCs w:val="20"/>
        </w:rPr>
      </w:pPr>
      <w:r w:rsidRPr="001E6E9D">
        <w:rPr>
          <w:rFonts w:asciiTheme="minorHAnsi" w:hAnsiTheme="minorHAnsi" w:cstheme="minorHAnsi"/>
          <w:color w:val="000000"/>
          <w:kern w:val="20"/>
          <w:szCs w:val="20"/>
        </w:rPr>
        <w:t>Adicionalmente, possíveis revisões da isenção do imposto de renda sobre dividendos e da tributação incidente sobre o pagamento de juros sobre capital próprio, atualmente previstas na legislação, podem impactar negativamente o valor líquido a ser recebido pelos acionistas como participação nos resultados da Companhia.</w:t>
      </w:r>
    </w:p>
    <w:p w14:paraId="59622176" w14:textId="17797905" w:rsidR="004D5EBD" w:rsidRPr="001E6E9D" w:rsidRDefault="004D5EBD" w:rsidP="00DC7081">
      <w:pPr>
        <w:tabs>
          <w:tab w:val="left" w:pos="851"/>
        </w:tabs>
        <w:autoSpaceDE w:val="0"/>
        <w:autoSpaceDN w:val="0"/>
        <w:rPr>
          <w:rFonts w:asciiTheme="minorHAnsi" w:eastAsia="MS Mincho" w:hAnsiTheme="minorHAnsi" w:cstheme="minorHAnsi"/>
          <w:spacing w:val="-2"/>
          <w:lang w:eastAsia="x-none"/>
        </w:rPr>
      </w:pPr>
      <w:r w:rsidRPr="001E6E9D">
        <w:rPr>
          <w:rFonts w:asciiTheme="minorHAnsi" w:hAnsiTheme="minorHAnsi" w:cstheme="minorHAnsi"/>
          <w:color w:val="000000"/>
          <w:kern w:val="20"/>
          <w:szCs w:val="20"/>
          <w:u w:val="single"/>
        </w:rPr>
        <w:t>Escala qualitativa de risco</w:t>
      </w:r>
      <w:r w:rsidRPr="001E6E9D">
        <w:rPr>
          <w:rFonts w:asciiTheme="minorHAnsi" w:hAnsiTheme="minorHAnsi" w:cstheme="minorHAnsi"/>
          <w:color w:val="000000"/>
          <w:kern w:val="20"/>
          <w:szCs w:val="20"/>
        </w:rPr>
        <w:t xml:space="preserve">: Menor / </w:t>
      </w:r>
      <w:r w:rsidRPr="001E6E9D">
        <w:rPr>
          <w:rFonts w:asciiTheme="minorHAnsi" w:hAnsiTheme="minorHAnsi" w:cstheme="minorHAnsi"/>
          <w:color w:val="000000"/>
          <w:kern w:val="20"/>
          <w:szCs w:val="20"/>
          <w:u w:val="single"/>
        </w:rPr>
        <w:t>Magnitude do impacto negativo</w:t>
      </w:r>
      <w:r w:rsidRPr="001E6E9D">
        <w:rPr>
          <w:rFonts w:asciiTheme="minorHAnsi" w:hAnsiTheme="minorHAnsi" w:cstheme="minorHAnsi"/>
          <w:color w:val="000000"/>
          <w:kern w:val="20"/>
          <w:szCs w:val="20"/>
        </w:rPr>
        <w:t>: Menor</w:t>
      </w:r>
    </w:p>
    <w:p w14:paraId="0B485817" w14:textId="1C3F9095" w:rsidR="007E0732" w:rsidRPr="001E6E9D" w:rsidRDefault="00A439A3" w:rsidP="00DC7081">
      <w:pPr>
        <w:pStyle w:val="Ttulo3"/>
        <w:rPr>
          <w:rFonts w:asciiTheme="minorHAnsi" w:eastAsia="MS Mincho" w:hAnsiTheme="minorHAnsi"/>
          <w:b w:val="0"/>
          <w:bCs w:val="0"/>
          <w:iCs w:val="0"/>
          <w:spacing w:val="-2"/>
          <w:lang w:eastAsia="x-none"/>
        </w:rPr>
      </w:pPr>
      <w:r w:rsidRPr="001E6E9D">
        <w:rPr>
          <w:rFonts w:asciiTheme="minorHAnsi" w:eastAsia="MS Mincho" w:hAnsiTheme="minorHAnsi"/>
          <w:b w:val="0"/>
          <w:bCs w:val="0"/>
          <w:iCs w:val="0"/>
          <w:spacing w:val="-2"/>
          <w:lang w:eastAsia="x-none"/>
        </w:rPr>
        <w:t xml:space="preserve">Os </w:t>
      </w:r>
      <w:r w:rsidR="00BB09A1" w:rsidRPr="001E6E9D">
        <w:rPr>
          <w:rFonts w:asciiTheme="minorHAnsi" w:eastAsia="MS Mincho" w:hAnsiTheme="minorHAnsi"/>
          <w:b w:val="0"/>
          <w:bCs w:val="0"/>
          <w:iCs w:val="0"/>
          <w:spacing w:val="-2"/>
          <w:lang w:eastAsia="x-none"/>
        </w:rPr>
        <w:t xml:space="preserve">demais </w:t>
      </w:r>
      <w:r w:rsidRPr="001E6E9D">
        <w:rPr>
          <w:rFonts w:asciiTheme="minorHAnsi" w:eastAsia="MS Mincho" w:hAnsiTheme="minorHAnsi"/>
          <w:b w:val="0"/>
          <w:bCs w:val="0"/>
          <w:iCs w:val="0"/>
          <w:spacing w:val="-2"/>
          <w:lang w:eastAsia="x-none"/>
        </w:rPr>
        <w:t>fatores de risco relacionados à</w:t>
      </w:r>
      <w:r w:rsidR="00812727" w:rsidRPr="001E6E9D">
        <w:rPr>
          <w:rFonts w:asciiTheme="minorHAnsi" w:eastAsia="MS Mincho" w:hAnsiTheme="minorHAnsi"/>
          <w:b w:val="0"/>
          <w:bCs w:val="0"/>
          <w:iCs w:val="0"/>
          <w:spacing w:val="-2"/>
          <w:lang w:eastAsia="x-none"/>
        </w:rPr>
        <w:t>s atividades da</w:t>
      </w:r>
      <w:r w:rsidRPr="001E6E9D">
        <w:rPr>
          <w:rFonts w:asciiTheme="minorHAnsi" w:eastAsia="MS Mincho" w:hAnsiTheme="minorHAnsi"/>
          <w:b w:val="0"/>
          <w:bCs w:val="0"/>
          <w:iCs w:val="0"/>
          <w:spacing w:val="-2"/>
          <w:lang w:eastAsia="x-none"/>
        </w:rPr>
        <w:t xml:space="preserve"> Emissora</w:t>
      </w:r>
      <w:r w:rsidR="00812727" w:rsidRPr="001E6E9D">
        <w:rPr>
          <w:rFonts w:asciiTheme="minorHAnsi" w:eastAsia="MS Mincho" w:hAnsiTheme="minorHAnsi"/>
          <w:b w:val="0"/>
          <w:bCs w:val="0"/>
          <w:iCs w:val="0"/>
          <w:spacing w:val="-2"/>
          <w:lang w:eastAsia="x-none"/>
        </w:rPr>
        <w:t xml:space="preserve"> e</w:t>
      </w:r>
      <w:r w:rsidRPr="001E6E9D">
        <w:rPr>
          <w:rFonts w:asciiTheme="minorHAnsi" w:eastAsia="MS Mincho" w:hAnsiTheme="minorHAnsi"/>
          <w:b w:val="0"/>
          <w:bCs w:val="0"/>
          <w:iCs w:val="0"/>
          <w:spacing w:val="-2"/>
          <w:lang w:eastAsia="x-none"/>
        </w:rPr>
        <w:t xml:space="preserve"> ao seu ramo de atuação e ao ambiente macroeconômico estão disponíveis </w:t>
      </w:r>
      <w:r w:rsidR="009D4C56" w:rsidRPr="001E6E9D">
        <w:rPr>
          <w:rFonts w:asciiTheme="minorHAnsi" w:eastAsia="MS Mincho" w:hAnsiTheme="minorHAnsi"/>
          <w:b w:val="0"/>
          <w:bCs w:val="0"/>
          <w:iCs w:val="0"/>
          <w:spacing w:val="-2"/>
          <w:lang w:eastAsia="x-none"/>
        </w:rPr>
        <w:t>no</w:t>
      </w:r>
      <w:r w:rsidRPr="001E6E9D">
        <w:rPr>
          <w:rFonts w:asciiTheme="minorHAnsi" w:eastAsia="MS Mincho" w:hAnsiTheme="minorHAnsi"/>
          <w:b w:val="0"/>
          <w:bCs w:val="0"/>
          <w:iCs w:val="0"/>
          <w:spacing w:val="-2"/>
          <w:lang w:eastAsia="x-none"/>
        </w:rPr>
        <w:t xml:space="preserve"> Formulário de Referência</w:t>
      </w:r>
      <w:r w:rsidR="009D4C56" w:rsidRPr="001E6E9D">
        <w:rPr>
          <w:rFonts w:asciiTheme="minorHAnsi" w:eastAsia="MS Mincho" w:hAnsiTheme="minorHAnsi"/>
          <w:b w:val="0"/>
          <w:bCs w:val="0"/>
          <w:iCs w:val="0"/>
          <w:spacing w:val="-2"/>
          <w:lang w:eastAsia="x-none"/>
        </w:rPr>
        <w:t xml:space="preserve"> da Emissora</w:t>
      </w:r>
      <w:r w:rsidRPr="001E6E9D">
        <w:rPr>
          <w:rFonts w:asciiTheme="minorHAnsi" w:eastAsia="MS Mincho" w:hAnsiTheme="minorHAnsi"/>
          <w:b w:val="0"/>
          <w:bCs w:val="0"/>
          <w:iCs w:val="0"/>
          <w:spacing w:val="-2"/>
          <w:lang w:eastAsia="x-none"/>
        </w:rPr>
        <w:t>, na seção “4. Fatores de Risco”,</w:t>
      </w:r>
      <w:r w:rsidR="0083655A" w:rsidRPr="001E6E9D">
        <w:rPr>
          <w:rFonts w:asciiTheme="minorHAnsi" w:eastAsia="MS Mincho" w:hAnsiTheme="minorHAnsi"/>
          <w:b w:val="0"/>
          <w:bCs w:val="0"/>
          <w:iCs w:val="0"/>
          <w:spacing w:val="-2"/>
          <w:lang w:eastAsia="x-none"/>
        </w:rPr>
        <w:t xml:space="preserve"> </w:t>
      </w:r>
      <w:r w:rsidRPr="001E6E9D">
        <w:rPr>
          <w:rFonts w:asciiTheme="minorHAnsi" w:eastAsia="MS Mincho" w:hAnsiTheme="minorHAnsi"/>
          <w:b w:val="0"/>
          <w:bCs w:val="0"/>
          <w:iCs w:val="0"/>
          <w:spacing w:val="-2"/>
          <w:lang w:eastAsia="x-none"/>
        </w:rPr>
        <w:t>incorporado por referência a este Prospecto.</w:t>
      </w:r>
      <w:r w:rsidR="002D5D93" w:rsidRPr="001E6E9D">
        <w:rPr>
          <w:rFonts w:asciiTheme="minorHAnsi" w:eastAsia="MS Mincho" w:hAnsiTheme="minorHAnsi"/>
          <w:b w:val="0"/>
          <w:bCs w:val="0"/>
          <w:iCs w:val="0"/>
          <w:spacing w:val="-2"/>
          <w:lang w:eastAsia="x-none"/>
        </w:rPr>
        <w:t xml:space="preserve"> </w:t>
      </w:r>
    </w:p>
    <w:p w14:paraId="52F82CCC" w14:textId="77777777" w:rsidR="0046067F" w:rsidRPr="001E6E9D" w:rsidRDefault="0046067F" w:rsidP="00DC7081">
      <w:pPr>
        <w:pStyle w:val="Ttulo3"/>
        <w:widowControl/>
        <w:rPr>
          <w:rFonts w:asciiTheme="minorHAnsi" w:hAnsiTheme="minorHAnsi"/>
        </w:rPr>
      </w:pPr>
      <w:bookmarkStart w:id="159" w:name="_Ref184134231"/>
      <w:r w:rsidRPr="001E6E9D">
        <w:rPr>
          <w:rFonts w:asciiTheme="minorHAnsi" w:hAnsiTheme="minorHAnsi"/>
        </w:rPr>
        <w:t>4.1.3. Fatores de risco relacionados aos terceiros prestadores de garantia</w:t>
      </w:r>
      <w:bookmarkEnd w:id="159"/>
    </w:p>
    <w:p w14:paraId="588EEED4" w14:textId="32635A4A" w:rsidR="003468A1" w:rsidRPr="001E6E9D" w:rsidRDefault="00812727" w:rsidP="001F7A69">
      <w:pPr>
        <w:rPr>
          <w:rFonts w:asciiTheme="minorHAnsi" w:hAnsiTheme="minorHAnsi" w:cstheme="minorHAnsi"/>
        </w:rPr>
      </w:pPr>
      <w:r w:rsidRPr="001E6E9D">
        <w:rPr>
          <w:rFonts w:asciiTheme="minorHAnsi" w:eastAsia="MS Mincho" w:hAnsiTheme="minorHAnsi" w:cstheme="minorHAnsi"/>
          <w:spacing w:val="-2"/>
          <w:szCs w:val="20"/>
          <w:lang w:eastAsia="x-none"/>
        </w:rPr>
        <w:t xml:space="preserve">Os 18 garantidores </w:t>
      </w:r>
      <w:r w:rsidR="00CC5840" w:rsidRPr="001E6E9D">
        <w:rPr>
          <w:rFonts w:asciiTheme="minorHAnsi" w:eastAsia="MS Mincho" w:hAnsiTheme="minorHAnsi" w:cstheme="minorHAnsi"/>
          <w:spacing w:val="-2"/>
          <w:szCs w:val="20"/>
          <w:lang w:eastAsia="x-none"/>
        </w:rPr>
        <w:t xml:space="preserve">das Debêntures </w:t>
      </w:r>
      <w:r w:rsidRPr="001E6E9D">
        <w:rPr>
          <w:rFonts w:asciiTheme="minorHAnsi" w:eastAsia="MS Mincho" w:hAnsiTheme="minorHAnsi" w:cstheme="minorHAnsi"/>
          <w:spacing w:val="-2"/>
          <w:szCs w:val="20"/>
          <w:lang w:eastAsia="x-none"/>
        </w:rPr>
        <w:t>correspondem a 1 acionista controlador da Emissora</w:t>
      </w:r>
      <w:r w:rsidR="00CC5840" w:rsidRPr="001E6E9D">
        <w:rPr>
          <w:rFonts w:asciiTheme="minorHAnsi" w:eastAsia="MS Mincho" w:hAnsiTheme="minorHAnsi" w:cstheme="minorHAnsi"/>
          <w:spacing w:val="-2"/>
          <w:szCs w:val="20"/>
          <w:lang w:eastAsia="x-none"/>
        </w:rPr>
        <w:t xml:space="preserve"> (a FERP)</w:t>
      </w:r>
      <w:r w:rsidRPr="001E6E9D">
        <w:rPr>
          <w:rFonts w:asciiTheme="minorHAnsi" w:eastAsia="MS Mincho" w:hAnsiTheme="minorHAnsi" w:cstheme="minorHAnsi"/>
          <w:spacing w:val="-2"/>
          <w:szCs w:val="20"/>
          <w:lang w:eastAsia="x-none"/>
        </w:rPr>
        <w:t xml:space="preserve">, 1 sociedade sob controle comum com a Emissora </w:t>
      </w:r>
      <w:r w:rsidR="00CC5840" w:rsidRPr="001E6E9D">
        <w:rPr>
          <w:rFonts w:asciiTheme="minorHAnsi" w:eastAsia="MS Mincho" w:hAnsiTheme="minorHAnsi" w:cstheme="minorHAnsi"/>
          <w:spacing w:val="-2"/>
          <w:szCs w:val="20"/>
          <w:lang w:eastAsia="x-none"/>
        </w:rPr>
        <w:t xml:space="preserve">(a FED) </w:t>
      </w:r>
      <w:r w:rsidRPr="001E6E9D">
        <w:rPr>
          <w:rFonts w:asciiTheme="minorHAnsi" w:eastAsia="MS Mincho" w:hAnsiTheme="minorHAnsi" w:cstheme="minorHAnsi"/>
          <w:spacing w:val="-2"/>
          <w:szCs w:val="20"/>
          <w:lang w:eastAsia="x-none"/>
        </w:rPr>
        <w:t>e 16 sociedades de propósito específico controladas pela Emissora</w:t>
      </w:r>
      <w:r w:rsidR="00CC5840" w:rsidRPr="001E6E9D">
        <w:rPr>
          <w:rFonts w:asciiTheme="minorHAnsi" w:eastAsia="MS Mincho" w:hAnsiTheme="minorHAnsi" w:cstheme="minorHAnsi"/>
          <w:spacing w:val="-2"/>
          <w:szCs w:val="20"/>
          <w:lang w:eastAsia="x-none"/>
        </w:rPr>
        <w:t xml:space="preserve"> (as SPEs)</w:t>
      </w:r>
      <w:r w:rsidRPr="001E6E9D">
        <w:rPr>
          <w:rFonts w:asciiTheme="minorHAnsi" w:eastAsia="MS Mincho" w:hAnsiTheme="minorHAnsi" w:cstheme="minorHAnsi"/>
          <w:spacing w:val="-2"/>
          <w:szCs w:val="20"/>
          <w:lang w:eastAsia="x-none"/>
        </w:rPr>
        <w:t xml:space="preserve">. Os riscos relacionados às sociedades controladoras, controladas e sob controle comum com a </w:t>
      </w:r>
      <w:r w:rsidR="00CC5840" w:rsidRPr="001E6E9D">
        <w:rPr>
          <w:rFonts w:asciiTheme="minorHAnsi" w:eastAsia="MS Mincho" w:hAnsiTheme="minorHAnsi" w:cstheme="minorHAnsi"/>
          <w:spacing w:val="-2"/>
          <w:szCs w:val="20"/>
          <w:lang w:eastAsia="x-none"/>
        </w:rPr>
        <w:t>Emissora</w:t>
      </w:r>
      <w:r w:rsidRPr="001E6E9D">
        <w:rPr>
          <w:rFonts w:asciiTheme="minorHAnsi" w:eastAsia="MS Mincho" w:hAnsiTheme="minorHAnsi" w:cstheme="minorHAnsi"/>
          <w:spacing w:val="-2"/>
          <w:szCs w:val="20"/>
          <w:lang w:eastAsia="x-none"/>
        </w:rPr>
        <w:t xml:space="preserve"> são os mesmos aplicáveis à Emissora e </w:t>
      </w:r>
      <w:r w:rsidR="00CC5840" w:rsidRPr="001E6E9D">
        <w:rPr>
          <w:rFonts w:asciiTheme="minorHAnsi" w:eastAsia="MS Mincho" w:hAnsiTheme="minorHAnsi" w:cstheme="minorHAnsi"/>
          <w:spacing w:val="-2"/>
          <w:lang w:eastAsia="x-none"/>
        </w:rPr>
        <w:t xml:space="preserve">disponíveis </w:t>
      </w:r>
      <w:r w:rsidR="009D4C56" w:rsidRPr="001E6E9D">
        <w:rPr>
          <w:rFonts w:asciiTheme="minorHAnsi" w:eastAsia="MS Mincho" w:hAnsiTheme="minorHAnsi" w:cstheme="minorHAnsi"/>
          <w:spacing w:val="-2"/>
          <w:lang w:eastAsia="x-none"/>
        </w:rPr>
        <w:t>no</w:t>
      </w:r>
      <w:r w:rsidR="004D5EBD" w:rsidRPr="001E6E9D">
        <w:rPr>
          <w:rFonts w:asciiTheme="minorHAnsi" w:eastAsia="MS Mincho" w:hAnsiTheme="minorHAnsi" w:cstheme="minorHAnsi"/>
          <w:spacing w:val="-2"/>
          <w:lang w:eastAsia="x-none"/>
        </w:rPr>
        <w:t xml:space="preserve"> item 4.1.2 acima e no</w:t>
      </w:r>
      <w:r w:rsidR="00CC5840" w:rsidRPr="001E6E9D">
        <w:rPr>
          <w:rFonts w:asciiTheme="minorHAnsi" w:eastAsia="MS Mincho" w:hAnsiTheme="minorHAnsi" w:cstheme="minorHAnsi"/>
          <w:spacing w:val="-2"/>
          <w:lang w:eastAsia="x-none"/>
        </w:rPr>
        <w:t xml:space="preserve"> Formulário de Referência</w:t>
      </w:r>
      <w:r w:rsidR="009D4C56" w:rsidRPr="001E6E9D">
        <w:rPr>
          <w:rFonts w:asciiTheme="minorHAnsi" w:eastAsia="MS Mincho" w:hAnsiTheme="minorHAnsi" w:cstheme="minorHAnsi"/>
          <w:spacing w:val="-2"/>
          <w:lang w:eastAsia="x-none"/>
        </w:rPr>
        <w:t xml:space="preserve"> da Emissora</w:t>
      </w:r>
      <w:r w:rsidR="00CC5840" w:rsidRPr="001E6E9D">
        <w:rPr>
          <w:rFonts w:asciiTheme="minorHAnsi" w:eastAsia="MS Mincho" w:hAnsiTheme="minorHAnsi" w:cstheme="minorHAnsi"/>
          <w:spacing w:val="-2"/>
          <w:lang w:eastAsia="x-none"/>
        </w:rPr>
        <w:t>, na seção “4. Fatores de Risco”</w:t>
      </w:r>
      <w:r w:rsidR="0083655A" w:rsidRPr="001E6E9D">
        <w:rPr>
          <w:rFonts w:asciiTheme="minorHAnsi" w:eastAsia="MS Mincho" w:hAnsiTheme="minorHAnsi" w:cstheme="minorHAnsi"/>
          <w:spacing w:val="-2"/>
          <w:lang w:eastAsia="x-none"/>
        </w:rPr>
        <w:t>,</w:t>
      </w:r>
      <w:r w:rsidR="00CC5840" w:rsidRPr="001E6E9D">
        <w:rPr>
          <w:rFonts w:asciiTheme="minorHAnsi" w:eastAsia="MS Mincho" w:hAnsiTheme="minorHAnsi" w:cstheme="minorHAnsi"/>
          <w:spacing w:val="-2"/>
          <w:lang w:eastAsia="x-none"/>
        </w:rPr>
        <w:t xml:space="preserve"> incorporado por referência a</w:t>
      </w:r>
      <w:r w:rsidR="00CC5840" w:rsidRPr="001E6E9D">
        <w:rPr>
          <w:rFonts w:asciiTheme="minorHAnsi" w:eastAsia="MS Mincho" w:hAnsiTheme="minorHAnsi" w:cstheme="minorHAnsi"/>
          <w:iCs/>
          <w:spacing w:val="-2"/>
          <w:lang w:eastAsia="x-none"/>
        </w:rPr>
        <w:t xml:space="preserve"> </w:t>
      </w:r>
      <w:r w:rsidR="00CC5840" w:rsidRPr="001E6E9D">
        <w:rPr>
          <w:rFonts w:asciiTheme="minorHAnsi" w:eastAsia="MS Mincho" w:hAnsiTheme="minorHAnsi" w:cstheme="minorHAnsi"/>
          <w:spacing w:val="-2"/>
          <w:lang w:eastAsia="x-none"/>
        </w:rPr>
        <w:t>este Prospecto</w:t>
      </w:r>
      <w:r w:rsidRPr="001E6E9D">
        <w:rPr>
          <w:rFonts w:asciiTheme="minorHAnsi" w:eastAsia="MS Mincho" w:hAnsiTheme="minorHAnsi" w:cstheme="minorHAnsi"/>
          <w:spacing w:val="-2"/>
          <w:szCs w:val="20"/>
          <w:lang w:eastAsia="x-none"/>
        </w:rPr>
        <w:t>.</w:t>
      </w:r>
      <w:bookmarkEnd w:id="158"/>
    </w:p>
    <w:p w14:paraId="3C8BE74A" w14:textId="77777777" w:rsidR="003468A1" w:rsidRPr="001E6E9D" w:rsidRDefault="0053704D" w:rsidP="00DC7081">
      <w:pPr>
        <w:pStyle w:val="Ttulo1"/>
      </w:pPr>
      <w:bookmarkStart w:id="160" w:name="_Ref158845002"/>
      <w:bookmarkStart w:id="161" w:name="_Toc159073479"/>
      <w:bookmarkStart w:id="162" w:name="_Toc184129221"/>
      <w:bookmarkStart w:id="163" w:name="_Toc90918167"/>
      <w:bookmarkStart w:id="164" w:name="_Toc89359092"/>
      <w:r w:rsidRPr="001E6E9D">
        <w:lastRenderedPageBreak/>
        <w:t>5.</w:t>
      </w:r>
      <w:r w:rsidR="00FE0AC9" w:rsidRPr="001E6E9D">
        <w:t xml:space="preserve"> </w:t>
      </w:r>
      <w:r w:rsidRPr="001E6E9D">
        <w:t>CRONOGRAMA</w:t>
      </w:r>
      <w:bookmarkEnd w:id="160"/>
      <w:bookmarkEnd w:id="161"/>
      <w:bookmarkEnd w:id="162"/>
      <w:r w:rsidRPr="001E6E9D">
        <w:t xml:space="preserve"> </w:t>
      </w:r>
    </w:p>
    <w:p w14:paraId="5E34C6E4" w14:textId="77777777" w:rsidR="003468A1" w:rsidRPr="001E6E9D" w:rsidRDefault="0053704D" w:rsidP="00DC7081">
      <w:pPr>
        <w:pStyle w:val="Ttulo2"/>
      </w:pPr>
      <w:bookmarkStart w:id="165" w:name="_Ref158845003"/>
      <w:bookmarkStart w:id="166" w:name="_Toc159073480"/>
      <w:bookmarkStart w:id="167" w:name="_Toc184129222"/>
      <w:r w:rsidRPr="001E6E9D">
        <w:t>5.1.</w:t>
      </w:r>
      <w:r w:rsidR="00FE0AC9" w:rsidRPr="001E6E9D">
        <w:t xml:space="preserve"> </w:t>
      </w:r>
      <w:r w:rsidRPr="001E6E9D">
        <w:t>Cronograma das etapas da oferta, destacando, no mínimo:</w:t>
      </w:r>
      <w:bookmarkEnd w:id="165"/>
      <w:bookmarkEnd w:id="166"/>
      <w:bookmarkEnd w:id="167"/>
    </w:p>
    <w:p w14:paraId="29BEFDD5" w14:textId="77777777" w:rsidR="003468A1" w:rsidRPr="001E6E9D" w:rsidRDefault="0053704D" w:rsidP="00DC7081">
      <w:pPr>
        <w:pStyle w:val="Ttulo3"/>
        <w:widowControl/>
        <w:rPr>
          <w:rFonts w:asciiTheme="minorHAnsi" w:hAnsiTheme="minorHAnsi"/>
        </w:rPr>
      </w:pPr>
      <w:bookmarkStart w:id="168" w:name="_Ref158845004"/>
      <w:r w:rsidRPr="001E6E9D">
        <w:rPr>
          <w:rFonts w:asciiTheme="minorHAnsi" w:hAnsiTheme="minorHAnsi"/>
        </w:rPr>
        <w:t>a)</w:t>
      </w:r>
      <w:r w:rsidR="00FE0AC9" w:rsidRPr="001E6E9D">
        <w:rPr>
          <w:rFonts w:asciiTheme="minorHAnsi" w:hAnsiTheme="minorHAnsi"/>
        </w:rPr>
        <w:t xml:space="preserve"> </w:t>
      </w:r>
      <w:r w:rsidRPr="001E6E9D">
        <w:rPr>
          <w:rFonts w:asciiTheme="minorHAnsi" w:hAnsiTheme="minorHAnsi"/>
        </w:rPr>
        <w:t>as datas previstas para o início e o término da oferta, a possibilidade de sua suspensão ou a sua prorrogação, conforme o caso, ou, ainda, na hipótese de não serem conhecidas, a forma como serão anunciadas tais datas, bem como a forma como será dada divulgação a quaisquer anúncios relacionados à oferta.</w:t>
      </w:r>
      <w:bookmarkEnd w:id="168"/>
    </w:p>
    <w:p w14:paraId="1F1CA887" w14:textId="11B2C891" w:rsidR="0053704D" w:rsidRPr="001E6E9D" w:rsidRDefault="0053704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Abaixo um cronograma indicativo e tentativo das etapas da Oferta, informando seus principais eventos a partir do protocolo na CVM do pedido de registro automático da Oferta:</w:t>
      </w:r>
      <w:r w:rsidR="00A00864" w:rsidRPr="001E6E9D">
        <w:rPr>
          <w:rFonts w:asciiTheme="minorHAnsi" w:hAnsiTheme="minorHAnsi" w:cstheme="minorHAnsi"/>
          <w:szCs w:val="20"/>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72" w:type="dxa"/>
          <w:bottom w:w="40" w:type="dxa"/>
          <w:right w:w="72" w:type="dxa"/>
        </w:tblCellMar>
        <w:tblLook w:val="0400" w:firstRow="0" w:lastRow="0" w:firstColumn="0" w:lastColumn="0" w:noHBand="0" w:noVBand="1"/>
      </w:tblPr>
      <w:tblGrid>
        <w:gridCol w:w="738"/>
        <w:gridCol w:w="6346"/>
        <w:gridCol w:w="1977"/>
      </w:tblGrid>
      <w:tr w:rsidR="0053704D" w:rsidRPr="001E6E9D" w14:paraId="3C172260" w14:textId="77777777" w:rsidTr="00DE41ED">
        <w:trPr>
          <w:jc w:val="center"/>
        </w:trPr>
        <w:tc>
          <w:tcPr>
            <w:tcW w:w="407" w:type="pct"/>
            <w:tcBorders>
              <w:bottom w:val="nil"/>
            </w:tcBorders>
            <w:shd w:val="clear" w:color="auto" w:fill="0082CB"/>
            <w:vAlign w:val="center"/>
            <w:hideMark/>
          </w:tcPr>
          <w:p w14:paraId="2979F5D9" w14:textId="77777777" w:rsidR="0053704D" w:rsidRPr="001E6E9D" w:rsidRDefault="0053704D" w:rsidP="00CE2727">
            <w:pPr>
              <w:spacing w:before="20" w:after="20"/>
              <w:rPr>
                <w:rFonts w:asciiTheme="minorHAnsi" w:eastAsia="Times New Roman" w:hAnsiTheme="minorHAnsi" w:cstheme="minorHAnsi"/>
                <w:color w:val="FFFFFF" w:themeColor="background1"/>
                <w:sz w:val="16"/>
                <w:szCs w:val="16"/>
                <w:lang w:eastAsia="pt-BR"/>
              </w:rPr>
            </w:pPr>
            <w:r w:rsidRPr="001E6E9D">
              <w:rPr>
                <w:rFonts w:asciiTheme="minorHAnsi" w:eastAsia="Times New Roman" w:hAnsiTheme="minorHAnsi" w:cstheme="minorHAnsi"/>
                <w:b/>
                <w:color w:val="FFFFFF" w:themeColor="background1"/>
                <w:sz w:val="16"/>
                <w:szCs w:val="16"/>
                <w:lang w:eastAsia="pt-BR"/>
              </w:rPr>
              <w:t>Ordem</w:t>
            </w:r>
          </w:p>
        </w:tc>
        <w:tc>
          <w:tcPr>
            <w:tcW w:w="3502" w:type="pct"/>
            <w:tcBorders>
              <w:bottom w:val="nil"/>
            </w:tcBorders>
            <w:shd w:val="clear" w:color="auto" w:fill="0082CB"/>
            <w:vAlign w:val="center"/>
            <w:hideMark/>
          </w:tcPr>
          <w:p w14:paraId="46D93F27" w14:textId="1936C5C5" w:rsidR="0053704D" w:rsidRPr="001E6E9D" w:rsidRDefault="0053704D" w:rsidP="00CE2727">
            <w:pPr>
              <w:tabs>
                <w:tab w:val="left" w:pos="5752"/>
              </w:tabs>
              <w:spacing w:before="20" w:after="20"/>
              <w:jc w:val="center"/>
              <w:rPr>
                <w:rFonts w:asciiTheme="minorHAnsi" w:eastAsia="Times New Roman" w:hAnsiTheme="minorHAnsi" w:cstheme="minorHAnsi"/>
                <w:color w:val="FFFFFF" w:themeColor="background1"/>
                <w:sz w:val="16"/>
                <w:szCs w:val="16"/>
                <w:lang w:eastAsia="pt-BR"/>
              </w:rPr>
            </w:pPr>
            <w:r w:rsidRPr="001E6E9D">
              <w:rPr>
                <w:rFonts w:asciiTheme="minorHAnsi" w:eastAsia="Times New Roman" w:hAnsiTheme="minorHAnsi" w:cstheme="minorHAnsi"/>
                <w:b/>
                <w:color w:val="FFFFFF" w:themeColor="background1"/>
                <w:sz w:val="16"/>
                <w:szCs w:val="16"/>
                <w:lang w:eastAsia="pt-BR"/>
              </w:rPr>
              <w:t>Evento</w:t>
            </w:r>
            <w:r w:rsidR="00551380" w:rsidRPr="001E6E9D">
              <w:rPr>
                <w:rFonts w:asciiTheme="minorHAnsi" w:eastAsia="Times New Roman" w:hAnsiTheme="minorHAnsi" w:cstheme="minorHAnsi"/>
                <w:b/>
                <w:color w:val="FFFFFF" w:themeColor="background1"/>
                <w:sz w:val="16"/>
                <w:szCs w:val="16"/>
                <w:lang w:eastAsia="pt-BR"/>
              </w:rPr>
              <w:t>s</w:t>
            </w:r>
          </w:p>
        </w:tc>
        <w:tc>
          <w:tcPr>
            <w:tcW w:w="1091" w:type="pct"/>
            <w:tcBorders>
              <w:bottom w:val="nil"/>
            </w:tcBorders>
            <w:shd w:val="clear" w:color="auto" w:fill="0082CB"/>
            <w:vAlign w:val="center"/>
            <w:hideMark/>
          </w:tcPr>
          <w:p w14:paraId="17589349" w14:textId="12C50AC4" w:rsidR="0053704D" w:rsidRPr="001E6E9D" w:rsidRDefault="006F3767" w:rsidP="00CE2727">
            <w:pPr>
              <w:spacing w:before="20" w:after="20"/>
              <w:jc w:val="center"/>
              <w:rPr>
                <w:rFonts w:asciiTheme="minorHAnsi" w:eastAsia="Times New Roman" w:hAnsiTheme="minorHAnsi" w:cstheme="minorHAnsi"/>
                <w:color w:val="FFFFFF" w:themeColor="background1"/>
                <w:sz w:val="16"/>
                <w:szCs w:val="16"/>
                <w:lang w:eastAsia="pt-BR"/>
              </w:rPr>
            </w:pPr>
            <w:r w:rsidRPr="001E6E9D">
              <w:rPr>
                <w:rFonts w:asciiTheme="minorHAnsi" w:eastAsia="Times New Roman" w:hAnsiTheme="minorHAnsi" w:cstheme="minorHAnsi"/>
                <w:b/>
                <w:color w:val="FFFFFF" w:themeColor="background1"/>
                <w:sz w:val="16"/>
                <w:szCs w:val="16"/>
                <w:lang w:eastAsia="pt-BR"/>
              </w:rPr>
              <w:t xml:space="preserve">Data Prevista </w:t>
            </w:r>
            <w:r w:rsidRPr="001E6E9D">
              <w:rPr>
                <w:rFonts w:asciiTheme="minorHAnsi" w:hAnsiTheme="minorHAnsi" w:cstheme="minorHAnsi"/>
                <w:b/>
                <w:color w:val="FFFFFF" w:themeColor="background1"/>
                <w:sz w:val="16"/>
                <w:szCs w:val="16"/>
              </w:rPr>
              <w:t>(1</w:t>
            </w:r>
            <w:r w:rsidRPr="001E6E9D">
              <w:rPr>
                <w:rFonts w:asciiTheme="minorHAnsi" w:eastAsia="Times New Roman" w:hAnsiTheme="minorHAnsi" w:cstheme="minorHAnsi"/>
                <w:b/>
                <w:color w:val="FFFFFF" w:themeColor="background1"/>
                <w:sz w:val="16"/>
                <w:szCs w:val="16"/>
                <w:lang w:eastAsia="pt-BR"/>
              </w:rPr>
              <w:t>)(2)(3</w:t>
            </w:r>
            <w:r w:rsidRPr="001E6E9D">
              <w:rPr>
                <w:rFonts w:asciiTheme="minorHAnsi" w:hAnsiTheme="minorHAnsi" w:cstheme="minorHAnsi"/>
                <w:b/>
                <w:color w:val="FFFFFF" w:themeColor="background1"/>
                <w:sz w:val="16"/>
                <w:szCs w:val="16"/>
              </w:rPr>
              <w:t>)</w:t>
            </w:r>
          </w:p>
        </w:tc>
      </w:tr>
      <w:tr w:rsidR="006F3767" w:rsidRPr="001E6E9D" w14:paraId="4FF75D02" w14:textId="77777777" w:rsidTr="00DE41ED">
        <w:trPr>
          <w:jc w:val="center"/>
        </w:trPr>
        <w:tc>
          <w:tcPr>
            <w:tcW w:w="407" w:type="pct"/>
            <w:tcBorders>
              <w:top w:val="nil"/>
              <w:left w:val="nil"/>
              <w:bottom w:val="single" w:sz="4" w:space="0" w:color="auto"/>
              <w:right w:val="nil"/>
            </w:tcBorders>
            <w:shd w:val="clear" w:color="auto" w:fill="auto"/>
            <w:vAlign w:val="center"/>
            <w:hideMark/>
          </w:tcPr>
          <w:p w14:paraId="5E8E81F5" w14:textId="77777777" w:rsidR="006F3767" w:rsidRPr="001E6E9D" w:rsidRDefault="006F3767" w:rsidP="00CE2727">
            <w:pPr>
              <w:spacing w:before="20" w:after="20"/>
              <w:jc w:val="center"/>
              <w:rPr>
                <w:rFonts w:asciiTheme="minorHAnsi" w:eastAsia="Times New Roman" w:hAnsiTheme="minorHAnsi" w:cstheme="minorHAnsi"/>
                <w:sz w:val="16"/>
                <w:szCs w:val="16"/>
                <w:lang w:eastAsia="pt-BR"/>
              </w:rPr>
            </w:pPr>
            <w:r w:rsidRPr="001E6E9D">
              <w:rPr>
                <w:rFonts w:asciiTheme="minorHAnsi" w:eastAsia="Times New Roman" w:hAnsiTheme="minorHAnsi" w:cstheme="minorHAnsi"/>
                <w:b/>
                <w:sz w:val="16"/>
                <w:szCs w:val="16"/>
                <w:lang w:eastAsia="pt-BR"/>
              </w:rPr>
              <w:t>1.</w:t>
            </w:r>
          </w:p>
        </w:tc>
        <w:tc>
          <w:tcPr>
            <w:tcW w:w="3502" w:type="pct"/>
            <w:tcBorders>
              <w:top w:val="nil"/>
              <w:left w:val="nil"/>
              <w:bottom w:val="single" w:sz="4" w:space="0" w:color="auto"/>
              <w:right w:val="nil"/>
            </w:tcBorders>
            <w:shd w:val="clear" w:color="auto" w:fill="auto"/>
            <w:vAlign w:val="center"/>
            <w:hideMark/>
          </w:tcPr>
          <w:p w14:paraId="20878389" w14:textId="77777777" w:rsidR="006F3767" w:rsidRPr="001E6E9D" w:rsidRDefault="006F3767" w:rsidP="00CE2727">
            <w:pPr>
              <w:spacing w:before="20" w:after="20"/>
              <w:rPr>
                <w:rFonts w:asciiTheme="minorHAnsi" w:hAnsiTheme="minorHAnsi" w:cstheme="minorHAnsi"/>
                <w:sz w:val="16"/>
                <w:szCs w:val="16"/>
              </w:rPr>
            </w:pPr>
            <w:r w:rsidRPr="001E6E9D">
              <w:rPr>
                <w:rFonts w:asciiTheme="minorHAnsi" w:hAnsiTheme="minorHAnsi" w:cstheme="minorHAnsi"/>
                <w:sz w:val="16"/>
                <w:szCs w:val="16"/>
              </w:rPr>
              <w:t>Protocolo do pedido de registro automático da Oferta na CVM</w:t>
            </w:r>
          </w:p>
          <w:p w14:paraId="09CDE535" w14:textId="28B57DE6" w:rsidR="006F3767" w:rsidRPr="001E6E9D" w:rsidRDefault="006F3767" w:rsidP="00CE2727">
            <w:pPr>
              <w:spacing w:before="20" w:after="20"/>
              <w:rPr>
                <w:rFonts w:asciiTheme="minorHAnsi" w:hAnsiTheme="minorHAnsi" w:cstheme="minorHAnsi"/>
                <w:sz w:val="16"/>
                <w:szCs w:val="16"/>
              </w:rPr>
            </w:pPr>
            <w:r w:rsidRPr="001E6E9D">
              <w:rPr>
                <w:rFonts w:asciiTheme="minorHAnsi" w:hAnsiTheme="minorHAnsi" w:cstheme="minorHAnsi"/>
                <w:sz w:val="16"/>
                <w:szCs w:val="16"/>
              </w:rPr>
              <w:t>Divulgação do Aviso ao Mercado</w:t>
            </w:r>
          </w:p>
          <w:p w14:paraId="3ADECBD7" w14:textId="5BEFAA06" w:rsidR="006F3767" w:rsidRPr="001E6E9D" w:rsidRDefault="006F3767" w:rsidP="00CE2727">
            <w:pPr>
              <w:spacing w:before="20" w:after="20"/>
              <w:rPr>
                <w:rFonts w:asciiTheme="minorHAnsi" w:hAnsiTheme="minorHAnsi" w:cstheme="minorHAnsi"/>
                <w:sz w:val="16"/>
                <w:szCs w:val="16"/>
              </w:rPr>
            </w:pPr>
            <w:r w:rsidRPr="001E6E9D">
              <w:rPr>
                <w:rFonts w:asciiTheme="minorHAnsi" w:hAnsiTheme="minorHAnsi" w:cstheme="minorHAnsi"/>
                <w:sz w:val="16"/>
                <w:szCs w:val="16"/>
              </w:rPr>
              <w:t xml:space="preserve">Disponibilização </w:t>
            </w:r>
            <w:r w:rsidR="00915B73">
              <w:rPr>
                <w:rFonts w:asciiTheme="minorHAnsi" w:hAnsiTheme="minorHAnsi" w:cstheme="minorHAnsi"/>
                <w:sz w:val="16"/>
                <w:szCs w:val="16"/>
              </w:rPr>
              <w:t>do</w:t>
            </w:r>
            <w:r w:rsidR="00915B73" w:rsidRPr="001E6E9D">
              <w:rPr>
                <w:rFonts w:asciiTheme="minorHAnsi" w:hAnsiTheme="minorHAnsi" w:cstheme="minorHAnsi"/>
                <w:sz w:val="16"/>
                <w:szCs w:val="16"/>
              </w:rPr>
              <w:t xml:space="preserve"> </w:t>
            </w:r>
            <w:r w:rsidRPr="001E6E9D">
              <w:rPr>
                <w:rFonts w:asciiTheme="minorHAnsi" w:hAnsiTheme="minorHAnsi" w:cstheme="minorHAnsi"/>
                <w:sz w:val="16"/>
                <w:szCs w:val="16"/>
              </w:rPr>
              <w:t>Prospecto Preliminar</w:t>
            </w:r>
          </w:p>
          <w:p w14:paraId="1C1C7FFA" w14:textId="4130C815" w:rsidR="006F3767" w:rsidRPr="001E6E9D" w:rsidRDefault="006F3767" w:rsidP="00CE2727">
            <w:pPr>
              <w:spacing w:before="20" w:after="20"/>
              <w:rPr>
                <w:rFonts w:asciiTheme="minorHAnsi" w:eastAsia="Times New Roman" w:hAnsiTheme="minorHAnsi" w:cstheme="minorHAnsi"/>
                <w:sz w:val="16"/>
                <w:szCs w:val="16"/>
                <w:lang w:eastAsia="pt-BR"/>
              </w:rPr>
            </w:pPr>
            <w:r w:rsidRPr="001E6E9D">
              <w:rPr>
                <w:rFonts w:asciiTheme="minorHAnsi" w:hAnsiTheme="minorHAnsi" w:cstheme="minorHAnsi"/>
                <w:sz w:val="16"/>
                <w:szCs w:val="16"/>
              </w:rPr>
              <w:t>Disponibilização da Lâmina da Oferta</w:t>
            </w:r>
          </w:p>
        </w:tc>
        <w:tc>
          <w:tcPr>
            <w:tcW w:w="1091" w:type="pct"/>
            <w:tcBorders>
              <w:top w:val="nil"/>
              <w:left w:val="nil"/>
              <w:bottom w:val="single" w:sz="4" w:space="0" w:color="auto"/>
              <w:right w:val="nil"/>
            </w:tcBorders>
            <w:shd w:val="clear" w:color="auto" w:fill="auto"/>
            <w:vAlign w:val="center"/>
          </w:tcPr>
          <w:p w14:paraId="0C6669D9" w14:textId="581A2CD8" w:rsidR="006F3767" w:rsidRPr="001E6E9D" w:rsidRDefault="000D1366" w:rsidP="00CE2727">
            <w:pPr>
              <w:spacing w:before="20" w:after="20"/>
              <w:jc w:val="center"/>
              <w:rPr>
                <w:rFonts w:asciiTheme="minorHAnsi" w:eastAsia="Times New Roman" w:hAnsiTheme="minorHAnsi" w:cstheme="minorHAnsi"/>
                <w:sz w:val="16"/>
                <w:szCs w:val="16"/>
                <w:highlight w:val="yellow"/>
                <w:lang w:eastAsia="pt-BR"/>
              </w:rPr>
            </w:pPr>
            <w:r>
              <w:rPr>
                <w:rFonts w:asciiTheme="minorHAnsi" w:hAnsiTheme="minorHAnsi" w:cstheme="minorHAnsi"/>
                <w:sz w:val="16"/>
                <w:szCs w:val="16"/>
              </w:rPr>
              <w:t>20</w:t>
            </w:r>
            <w:r w:rsidR="006F3767" w:rsidRPr="001E6E9D">
              <w:rPr>
                <w:rFonts w:asciiTheme="minorHAnsi" w:hAnsiTheme="minorHAnsi" w:cstheme="minorHAnsi"/>
                <w:sz w:val="16"/>
                <w:szCs w:val="16"/>
              </w:rPr>
              <w:t xml:space="preserve"> de dezembro de 2024</w:t>
            </w:r>
          </w:p>
        </w:tc>
      </w:tr>
      <w:tr w:rsidR="006F3767" w:rsidRPr="001E6E9D" w14:paraId="1485BF25" w14:textId="77777777" w:rsidTr="00DE41ED">
        <w:trPr>
          <w:jc w:val="center"/>
        </w:trPr>
        <w:tc>
          <w:tcPr>
            <w:tcW w:w="407" w:type="pct"/>
            <w:tcBorders>
              <w:top w:val="single" w:sz="4" w:space="0" w:color="auto"/>
              <w:left w:val="nil"/>
              <w:bottom w:val="single" w:sz="4" w:space="0" w:color="auto"/>
              <w:right w:val="nil"/>
            </w:tcBorders>
            <w:shd w:val="clear" w:color="auto" w:fill="auto"/>
            <w:vAlign w:val="center"/>
          </w:tcPr>
          <w:p w14:paraId="1E839A5A" w14:textId="23C95D75" w:rsidR="006F3767" w:rsidRPr="001E6E9D" w:rsidRDefault="006F3767" w:rsidP="00CE2727">
            <w:pPr>
              <w:spacing w:before="20" w:after="20"/>
              <w:jc w:val="center"/>
              <w:rPr>
                <w:rFonts w:asciiTheme="minorHAnsi" w:eastAsia="Times New Roman" w:hAnsiTheme="minorHAnsi" w:cstheme="minorHAnsi"/>
                <w:b/>
                <w:sz w:val="16"/>
                <w:szCs w:val="16"/>
                <w:lang w:eastAsia="pt-BR"/>
              </w:rPr>
            </w:pPr>
            <w:r w:rsidRPr="001E6E9D">
              <w:rPr>
                <w:rFonts w:asciiTheme="minorHAnsi" w:eastAsia="Times New Roman" w:hAnsiTheme="minorHAnsi" w:cstheme="minorHAnsi"/>
                <w:b/>
                <w:sz w:val="16"/>
                <w:szCs w:val="16"/>
                <w:lang w:eastAsia="pt-BR"/>
              </w:rPr>
              <w:t>2.</w:t>
            </w:r>
          </w:p>
        </w:tc>
        <w:tc>
          <w:tcPr>
            <w:tcW w:w="3502" w:type="pct"/>
            <w:tcBorders>
              <w:top w:val="single" w:sz="4" w:space="0" w:color="auto"/>
              <w:left w:val="nil"/>
              <w:bottom w:val="single" w:sz="4" w:space="0" w:color="auto"/>
              <w:right w:val="nil"/>
            </w:tcBorders>
            <w:shd w:val="clear" w:color="auto" w:fill="auto"/>
            <w:vAlign w:val="center"/>
          </w:tcPr>
          <w:p w14:paraId="39C52937" w14:textId="5E665472" w:rsidR="006F3767" w:rsidRPr="001E6E9D" w:rsidRDefault="006F3767" w:rsidP="00CE2727">
            <w:pPr>
              <w:spacing w:before="20" w:after="20"/>
              <w:rPr>
                <w:rFonts w:asciiTheme="minorHAnsi" w:eastAsia="Times New Roman" w:hAnsiTheme="minorHAnsi" w:cstheme="minorHAnsi"/>
                <w:sz w:val="16"/>
                <w:szCs w:val="16"/>
                <w:lang w:eastAsia="pt-BR"/>
              </w:rPr>
            </w:pPr>
            <w:r w:rsidRPr="001E6E9D">
              <w:rPr>
                <w:rFonts w:asciiTheme="minorHAnsi" w:hAnsiTheme="minorHAnsi" w:cstheme="minorHAnsi"/>
                <w:sz w:val="16"/>
                <w:szCs w:val="16"/>
              </w:rPr>
              <w:t xml:space="preserve">Início das apresentações de </w:t>
            </w:r>
            <w:r w:rsidRPr="001E6E9D">
              <w:rPr>
                <w:rFonts w:asciiTheme="minorHAnsi" w:hAnsiTheme="minorHAnsi" w:cstheme="minorHAnsi"/>
                <w:i/>
                <w:sz w:val="16"/>
                <w:szCs w:val="16"/>
              </w:rPr>
              <w:t>roadshow</w:t>
            </w:r>
          </w:p>
        </w:tc>
        <w:tc>
          <w:tcPr>
            <w:tcW w:w="1091" w:type="pct"/>
            <w:tcBorders>
              <w:top w:val="single" w:sz="4" w:space="0" w:color="auto"/>
              <w:left w:val="nil"/>
              <w:bottom w:val="single" w:sz="4" w:space="0" w:color="auto"/>
              <w:right w:val="nil"/>
            </w:tcBorders>
            <w:shd w:val="clear" w:color="auto" w:fill="auto"/>
            <w:vAlign w:val="center"/>
          </w:tcPr>
          <w:p w14:paraId="5BCAF780" w14:textId="42804F2B" w:rsidR="006F3767" w:rsidRPr="001E6E9D" w:rsidDel="002B3B2A" w:rsidRDefault="006F3767" w:rsidP="00CE2727">
            <w:pPr>
              <w:spacing w:before="20" w:after="20"/>
              <w:jc w:val="center"/>
              <w:rPr>
                <w:rFonts w:asciiTheme="minorHAnsi" w:eastAsia="Times New Roman" w:hAnsiTheme="minorHAnsi" w:cstheme="minorHAnsi"/>
                <w:sz w:val="16"/>
                <w:szCs w:val="16"/>
                <w:highlight w:val="yellow"/>
                <w:lang w:eastAsia="pt-BR"/>
              </w:rPr>
            </w:pPr>
            <w:r w:rsidRPr="001E6E9D">
              <w:rPr>
                <w:rFonts w:asciiTheme="minorHAnsi" w:hAnsiTheme="minorHAnsi" w:cstheme="minorHAnsi"/>
                <w:sz w:val="16"/>
                <w:szCs w:val="16"/>
              </w:rPr>
              <w:t>23 de dezembro de 2024</w:t>
            </w:r>
          </w:p>
        </w:tc>
      </w:tr>
      <w:tr w:rsidR="006F3767" w:rsidRPr="001E6E9D" w14:paraId="4C1D73B3" w14:textId="77777777" w:rsidTr="00DE41ED">
        <w:trPr>
          <w:jc w:val="center"/>
        </w:trPr>
        <w:tc>
          <w:tcPr>
            <w:tcW w:w="407" w:type="pct"/>
            <w:tcBorders>
              <w:top w:val="single" w:sz="4" w:space="0" w:color="auto"/>
              <w:left w:val="nil"/>
              <w:bottom w:val="single" w:sz="4" w:space="0" w:color="auto"/>
              <w:right w:val="nil"/>
            </w:tcBorders>
            <w:shd w:val="clear" w:color="auto" w:fill="auto"/>
            <w:vAlign w:val="center"/>
          </w:tcPr>
          <w:p w14:paraId="6D4F61C5" w14:textId="17B45832" w:rsidR="006F3767" w:rsidRPr="001E6E9D" w:rsidDel="009C7AD0" w:rsidRDefault="006F3767" w:rsidP="00CE2727">
            <w:pPr>
              <w:spacing w:before="20" w:after="20"/>
              <w:jc w:val="center"/>
              <w:rPr>
                <w:rFonts w:asciiTheme="minorHAnsi" w:eastAsia="Times New Roman" w:hAnsiTheme="minorHAnsi" w:cstheme="minorHAnsi"/>
                <w:b/>
                <w:sz w:val="16"/>
                <w:szCs w:val="16"/>
                <w:lang w:eastAsia="pt-BR"/>
              </w:rPr>
            </w:pPr>
            <w:r w:rsidRPr="001E6E9D">
              <w:rPr>
                <w:rFonts w:asciiTheme="minorHAnsi" w:eastAsia="Times New Roman" w:hAnsiTheme="minorHAnsi" w:cstheme="minorHAnsi"/>
                <w:b/>
                <w:sz w:val="16"/>
                <w:szCs w:val="16"/>
                <w:lang w:eastAsia="pt-BR"/>
              </w:rPr>
              <w:t>3.</w:t>
            </w:r>
          </w:p>
        </w:tc>
        <w:tc>
          <w:tcPr>
            <w:tcW w:w="3502" w:type="pct"/>
            <w:tcBorders>
              <w:top w:val="single" w:sz="4" w:space="0" w:color="auto"/>
              <w:left w:val="nil"/>
              <w:bottom w:val="single" w:sz="4" w:space="0" w:color="auto"/>
              <w:right w:val="nil"/>
            </w:tcBorders>
            <w:shd w:val="clear" w:color="auto" w:fill="auto"/>
            <w:vAlign w:val="center"/>
          </w:tcPr>
          <w:p w14:paraId="1966A506" w14:textId="6C652CE6" w:rsidR="006F3767" w:rsidRPr="001E6E9D" w:rsidRDefault="006F3767" w:rsidP="00CE2727">
            <w:pPr>
              <w:spacing w:before="20" w:after="20"/>
              <w:rPr>
                <w:rFonts w:asciiTheme="minorHAnsi" w:eastAsia="Times New Roman" w:hAnsiTheme="minorHAnsi" w:cstheme="minorHAnsi"/>
                <w:sz w:val="16"/>
                <w:szCs w:val="16"/>
                <w:lang w:eastAsia="pt-BR"/>
              </w:rPr>
            </w:pPr>
            <w:r w:rsidRPr="001E6E9D">
              <w:rPr>
                <w:rFonts w:asciiTheme="minorHAnsi" w:hAnsiTheme="minorHAnsi" w:cstheme="minorHAnsi"/>
                <w:sz w:val="16"/>
                <w:szCs w:val="16"/>
              </w:rPr>
              <w:t>Início do Período de Reserva</w:t>
            </w:r>
          </w:p>
        </w:tc>
        <w:tc>
          <w:tcPr>
            <w:tcW w:w="1091" w:type="pct"/>
            <w:tcBorders>
              <w:top w:val="single" w:sz="4" w:space="0" w:color="auto"/>
              <w:left w:val="nil"/>
              <w:bottom w:val="single" w:sz="4" w:space="0" w:color="auto"/>
              <w:right w:val="nil"/>
            </w:tcBorders>
            <w:shd w:val="clear" w:color="auto" w:fill="auto"/>
            <w:vAlign w:val="center"/>
          </w:tcPr>
          <w:p w14:paraId="11D5A4BC" w14:textId="658A6384" w:rsidR="006F3767" w:rsidRPr="001E6E9D" w:rsidDel="009C7AD0" w:rsidRDefault="00680A4C" w:rsidP="00CE2727">
            <w:pPr>
              <w:spacing w:before="20" w:after="20"/>
              <w:jc w:val="center"/>
              <w:rPr>
                <w:rFonts w:asciiTheme="minorHAnsi" w:eastAsia="Times New Roman" w:hAnsiTheme="minorHAnsi" w:cstheme="minorHAnsi"/>
                <w:sz w:val="16"/>
                <w:szCs w:val="16"/>
                <w:lang w:eastAsia="pt-BR"/>
              </w:rPr>
            </w:pPr>
            <w:r>
              <w:rPr>
                <w:rFonts w:asciiTheme="minorHAnsi" w:hAnsiTheme="minorHAnsi" w:cstheme="minorHAnsi"/>
                <w:sz w:val="16"/>
                <w:szCs w:val="16"/>
              </w:rPr>
              <w:t>30</w:t>
            </w:r>
            <w:r w:rsidR="006F3767" w:rsidRPr="001E6E9D">
              <w:rPr>
                <w:rFonts w:asciiTheme="minorHAnsi" w:hAnsiTheme="minorHAnsi" w:cstheme="minorHAnsi"/>
                <w:sz w:val="16"/>
                <w:szCs w:val="16"/>
              </w:rPr>
              <w:t xml:space="preserve"> de dezembro de 2024</w:t>
            </w:r>
          </w:p>
        </w:tc>
      </w:tr>
      <w:tr w:rsidR="00535777" w:rsidRPr="001E6E9D" w14:paraId="320ACC62" w14:textId="77777777" w:rsidTr="00DE41ED">
        <w:trPr>
          <w:jc w:val="center"/>
        </w:trPr>
        <w:tc>
          <w:tcPr>
            <w:tcW w:w="407" w:type="pct"/>
            <w:tcBorders>
              <w:top w:val="single" w:sz="4" w:space="0" w:color="auto"/>
              <w:left w:val="nil"/>
              <w:bottom w:val="single" w:sz="4" w:space="0" w:color="auto"/>
              <w:right w:val="nil"/>
            </w:tcBorders>
            <w:shd w:val="clear" w:color="auto" w:fill="auto"/>
            <w:vAlign w:val="center"/>
          </w:tcPr>
          <w:p w14:paraId="32DE3F31" w14:textId="4054DC11" w:rsidR="00535777" w:rsidRPr="001E6E9D" w:rsidRDefault="00535777" w:rsidP="00CE2727">
            <w:pPr>
              <w:spacing w:before="20" w:after="20"/>
              <w:jc w:val="center"/>
              <w:rPr>
                <w:rFonts w:asciiTheme="minorHAnsi" w:eastAsia="Times New Roman" w:hAnsiTheme="minorHAnsi" w:cstheme="minorHAnsi"/>
                <w:b/>
                <w:sz w:val="16"/>
                <w:szCs w:val="16"/>
                <w:lang w:eastAsia="pt-BR"/>
              </w:rPr>
            </w:pPr>
            <w:r>
              <w:rPr>
                <w:rFonts w:asciiTheme="minorHAnsi" w:eastAsia="Times New Roman" w:hAnsiTheme="minorHAnsi" w:cstheme="minorHAnsi"/>
                <w:b/>
                <w:sz w:val="16"/>
                <w:szCs w:val="16"/>
                <w:lang w:eastAsia="pt-BR"/>
              </w:rPr>
              <w:t>4.</w:t>
            </w:r>
          </w:p>
        </w:tc>
        <w:tc>
          <w:tcPr>
            <w:tcW w:w="3502" w:type="pct"/>
            <w:tcBorders>
              <w:top w:val="single" w:sz="4" w:space="0" w:color="auto"/>
              <w:left w:val="nil"/>
              <w:bottom w:val="single" w:sz="4" w:space="0" w:color="auto"/>
              <w:right w:val="nil"/>
            </w:tcBorders>
            <w:shd w:val="clear" w:color="auto" w:fill="auto"/>
            <w:vAlign w:val="center"/>
          </w:tcPr>
          <w:p w14:paraId="288DCCAF" w14:textId="77777777" w:rsidR="00535777" w:rsidRDefault="00535777" w:rsidP="00CE2727">
            <w:pPr>
              <w:spacing w:before="20" w:after="20"/>
              <w:rPr>
                <w:rFonts w:asciiTheme="minorHAnsi" w:hAnsiTheme="minorHAnsi" w:cstheme="minorHAnsi"/>
                <w:sz w:val="16"/>
                <w:szCs w:val="16"/>
              </w:rPr>
            </w:pPr>
            <w:r w:rsidRPr="001E6E9D">
              <w:rPr>
                <w:rFonts w:asciiTheme="minorHAnsi" w:hAnsiTheme="minorHAnsi" w:cstheme="minorHAnsi"/>
                <w:sz w:val="16"/>
                <w:szCs w:val="16"/>
              </w:rPr>
              <w:t xml:space="preserve">Disponibilização </w:t>
            </w:r>
            <w:r>
              <w:rPr>
                <w:rFonts w:asciiTheme="minorHAnsi" w:hAnsiTheme="minorHAnsi" w:cstheme="minorHAnsi"/>
                <w:sz w:val="16"/>
                <w:szCs w:val="16"/>
              </w:rPr>
              <w:t>da 2ª versão do</w:t>
            </w:r>
            <w:r w:rsidRPr="001E6E9D">
              <w:rPr>
                <w:rFonts w:asciiTheme="minorHAnsi" w:hAnsiTheme="minorHAnsi" w:cstheme="minorHAnsi"/>
                <w:sz w:val="16"/>
                <w:szCs w:val="16"/>
              </w:rPr>
              <w:t xml:space="preserve"> Prospecto Preliminar</w:t>
            </w:r>
          </w:p>
          <w:p w14:paraId="132B050F" w14:textId="2088A09E" w:rsidR="00535777" w:rsidRPr="001E6E9D" w:rsidRDefault="00535777" w:rsidP="00CE2727">
            <w:pPr>
              <w:spacing w:before="20" w:after="20"/>
              <w:rPr>
                <w:rFonts w:asciiTheme="minorHAnsi" w:hAnsiTheme="minorHAnsi" w:cstheme="minorHAnsi"/>
                <w:sz w:val="16"/>
                <w:szCs w:val="16"/>
              </w:rPr>
            </w:pPr>
            <w:r>
              <w:rPr>
                <w:rFonts w:asciiTheme="minorHAnsi" w:hAnsiTheme="minorHAnsi" w:cstheme="minorHAnsi"/>
                <w:sz w:val="16"/>
                <w:szCs w:val="16"/>
              </w:rPr>
              <w:t>Divulgação do Comunicado ao Mercado da 2ª versão do Prospecto Preliminar</w:t>
            </w:r>
          </w:p>
        </w:tc>
        <w:tc>
          <w:tcPr>
            <w:tcW w:w="1091" w:type="pct"/>
            <w:tcBorders>
              <w:top w:val="single" w:sz="4" w:space="0" w:color="auto"/>
              <w:left w:val="nil"/>
              <w:bottom w:val="single" w:sz="4" w:space="0" w:color="auto"/>
              <w:right w:val="nil"/>
            </w:tcBorders>
            <w:shd w:val="clear" w:color="auto" w:fill="auto"/>
            <w:vAlign w:val="center"/>
          </w:tcPr>
          <w:p w14:paraId="746DC426" w14:textId="5B3245F5" w:rsidR="00535777" w:rsidRPr="00680A4C" w:rsidRDefault="00535777" w:rsidP="00CE2727">
            <w:pPr>
              <w:spacing w:before="20" w:after="20"/>
              <w:jc w:val="center"/>
              <w:rPr>
                <w:rFonts w:asciiTheme="minorHAnsi" w:hAnsiTheme="minorHAnsi" w:cstheme="minorHAnsi"/>
                <w:sz w:val="16"/>
                <w:szCs w:val="16"/>
              </w:rPr>
            </w:pPr>
            <w:r>
              <w:rPr>
                <w:rFonts w:asciiTheme="minorHAnsi" w:hAnsiTheme="minorHAnsi" w:cstheme="minorHAnsi"/>
                <w:sz w:val="16"/>
                <w:szCs w:val="16"/>
              </w:rPr>
              <w:t>15 de janeiro de 2025</w:t>
            </w:r>
          </w:p>
        </w:tc>
      </w:tr>
      <w:tr w:rsidR="006F3767" w:rsidRPr="001E6E9D" w14:paraId="4973220E" w14:textId="77777777" w:rsidTr="00DE41ED">
        <w:trPr>
          <w:jc w:val="center"/>
        </w:trPr>
        <w:tc>
          <w:tcPr>
            <w:tcW w:w="407" w:type="pct"/>
            <w:tcBorders>
              <w:top w:val="single" w:sz="4" w:space="0" w:color="auto"/>
              <w:left w:val="nil"/>
              <w:bottom w:val="single" w:sz="4" w:space="0" w:color="auto"/>
              <w:right w:val="nil"/>
            </w:tcBorders>
            <w:shd w:val="clear" w:color="auto" w:fill="auto"/>
            <w:vAlign w:val="center"/>
          </w:tcPr>
          <w:p w14:paraId="13499596" w14:textId="145AA204" w:rsidR="006F3767" w:rsidRPr="001E6E9D" w:rsidDel="009C7AD0" w:rsidRDefault="00535777" w:rsidP="00CE2727">
            <w:pPr>
              <w:spacing w:before="20" w:after="20"/>
              <w:jc w:val="center"/>
              <w:rPr>
                <w:rFonts w:asciiTheme="minorHAnsi" w:eastAsia="Times New Roman" w:hAnsiTheme="minorHAnsi" w:cstheme="minorHAnsi"/>
                <w:b/>
                <w:sz w:val="16"/>
                <w:szCs w:val="16"/>
                <w:lang w:eastAsia="pt-BR"/>
              </w:rPr>
            </w:pPr>
            <w:r>
              <w:rPr>
                <w:rFonts w:asciiTheme="minorHAnsi" w:eastAsia="Times New Roman" w:hAnsiTheme="minorHAnsi" w:cstheme="minorHAnsi"/>
                <w:b/>
                <w:sz w:val="16"/>
                <w:szCs w:val="16"/>
                <w:lang w:eastAsia="pt-BR"/>
              </w:rPr>
              <w:t>5.</w:t>
            </w:r>
          </w:p>
        </w:tc>
        <w:tc>
          <w:tcPr>
            <w:tcW w:w="3502" w:type="pct"/>
            <w:tcBorders>
              <w:top w:val="single" w:sz="4" w:space="0" w:color="auto"/>
              <w:left w:val="nil"/>
              <w:bottom w:val="single" w:sz="4" w:space="0" w:color="auto"/>
              <w:right w:val="nil"/>
            </w:tcBorders>
            <w:shd w:val="clear" w:color="auto" w:fill="auto"/>
            <w:vAlign w:val="center"/>
          </w:tcPr>
          <w:p w14:paraId="08FC5DBC" w14:textId="22E29857" w:rsidR="006F3767" w:rsidRPr="001E6E9D" w:rsidRDefault="006F3767" w:rsidP="00CE2727">
            <w:pPr>
              <w:spacing w:before="20" w:after="20"/>
              <w:rPr>
                <w:rFonts w:asciiTheme="minorHAnsi" w:eastAsia="Times New Roman" w:hAnsiTheme="minorHAnsi" w:cstheme="minorHAnsi"/>
                <w:sz w:val="16"/>
                <w:szCs w:val="16"/>
                <w:lang w:eastAsia="pt-BR"/>
              </w:rPr>
            </w:pPr>
            <w:r w:rsidRPr="001E6E9D">
              <w:rPr>
                <w:rFonts w:asciiTheme="minorHAnsi" w:hAnsiTheme="minorHAnsi" w:cstheme="minorHAnsi"/>
                <w:sz w:val="16"/>
                <w:szCs w:val="16"/>
              </w:rPr>
              <w:t>Encerramento do Período de Reserva</w:t>
            </w:r>
          </w:p>
        </w:tc>
        <w:tc>
          <w:tcPr>
            <w:tcW w:w="1091" w:type="pct"/>
            <w:tcBorders>
              <w:top w:val="single" w:sz="4" w:space="0" w:color="auto"/>
              <w:left w:val="nil"/>
              <w:bottom w:val="single" w:sz="4" w:space="0" w:color="auto"/>
              <w:right w:val="nil"/>
            </w:tcBorders>
            <w:shd w:val="clear" w:color="auto" w:fill="auto"/>
            <w:vAlign w:val="center"/>
          </w:tcPr>
          <w:p w14:paraId="54A4984A" w14:textId="6291587D" w:rsidR="006F3767" w:rsidRPr="001E6E9D" w:rsidDel="009C7AD0" w:rsidRDefault="00680A4C" w:rsidP="00CE2727">
            <w:pPr>
              <w:spacing w:before="20" w:after="20"/>
              <w:jc w:val="center"/>
              <w:rPr>
                <w:rFonts w:asciiTheme="minorHAnsi" w:eastAsia="Times New Roman" w:hAnsiTheme="minorHAnsi" w:cstheme="minorHAnsi"/>
                <w:sz w:val="16"/>
                <w:szCs w:val="16"/>
                <w:lang w:eastAsia="pt-BR"/>
              </w:rPr>
            </w:pPr>
            <w:r w:rsidRPr="00680A4C">
              <w:rPr>
                <w:rFonts w:asciiTheme="minorHAnsi" w:hAnsiTheme="minorHAnsi" w:cstheme="minorHAnsi"/>
                <w:sz w:val="16"/>
                <w:szCs w:val="16"/>
              </w:rPr>
              <w:t>30 de janeiro de 2025</w:t>
            </w:r>
          </w:p>
        </w:tc>
      </w:tr>
      <w:tr w:rsidR="006F3767" w:rsidRPr="001E6E9D" w14:paraId="7E51AD0F" w14:textId="77777777" w:rsidTr="00DE41ED">
        <w:trPr>
          <w:jc w:val="center"/>
        </w:trPr>
        <w:tc>
          <w:tcPr>
            <w:tcW w:w="407" w:type="pct"/>
            <w:tcBorders>
              <w:top w:val="single" w:sz="4" w:space="0" w:color="auto"/>
              <w:left w:val="nil"/>
              <w:bottom w:val="single" w:sz="4" w:space="0" w:color="auto"/>
              <w:right w:val="nil"/>
            </w:tcBorders>
            <w:shd w:val="clear" w:color="auto" w:fill="auto"/>
            <w:vAlign w:val="center"/>
          </w:tcPr>
          <w:p w14:paraId="6A02B984" w14:textId="74063443" w:rsidR="006F3767" w:rsidRPr="001E6E9D" w:rsidRDefault="00535777" w:rsidP="00CE2727">
            <w:pPr>
              <w:spacing w:before="20" w:after="20"/>
              <w:jc w:val="center"/>
              <w:rPr>
                <w:rFonts w:asciiTheme="minorHAnsi" w:eastAsia="Times New Roman" w:hAnsiTheme="minorHAnsi" w:cstheme="minorHAnsi"/>
                <w:b/>
                <w:sz w:val="16"/>
                <w:szCs w:val="16"/>
                <w:lang w:eastAsia="pt-BR"/>
              </w:rPr>
            </w:pPr>
            <w:r>
              <w:rPr>
                <w:rFonts w:asciiTheme="minorHAnsi" w:eastAsia="Times New Roman" w:hAnsiTheme="minorHAnsi" w:cstheme="minorHAnsi"/>
                <w:b/>
                <w:sz w:val="16"/>
                <w:szCs w:val="16"/>
                <w:lang w:eastAsia="pt-BR"/>
              </w:rPr>
              <w:t>6</w:t>
            </w:r>
            <w:r w:rsidR="006F3767" w:rsidRPr="001E6E9D">
              <w:rPr>
                <w:rFonts w:asciiTheme="minorHAnsi" w:eastAsia="Times New Roman" w:hAnsiTheme="minorHAnsi" w:cstheme="minorHAnsi"/>
                <w:b/>
                <w:sz w:val="16"/>
                <w:szCs w:val="16"/>
                <w:lang w:eastAsia="pt-BR"/>
              </w:rPr>
              <w:t>.</w:t>
            </w:r>
          </w:p>
        </w:tc>
        <w:tc>
          <w:tcPr>
            <w:tcW w:w="3502" w:type="pct"/>
            <w:tcBorders>
              <w:top w:val="single" w:sz="4" w:space="0" w:color="auto"/>
              <w:left w:val="nil"/>
              <w:bottom w:val="single" w:sz="4" w:space="0" w:color="auto"/>
              <w:right w:val="nil"/>
            </w:tcBorders>
            <w:shd w:val="clear" w:color="auto" w:fill="auto"/>
            <w:vAlign w:val="center"/>
          </w:tcPr>
          <w:p w14:paraId="7190A072" w14:textId="77777777" w:rsidR="006F3767" w:rsidRPr="001E6E9D" w:rsidRDefault="006F3767" w:rsidP="00CE2727">
            <w:pPr>
              <w:spacing w:before="20" w:after="20"/>
              <w:rPr>
                <w:rFonts w:asciiTheme="minorHAnsi" w:hAnsiTheme="minorHAnsi" w:cstheme="minorHAnsi"/>
                <w:sz w:val="16"/>
                <w:szCs w:val="16"/>
              </w:rPr>
            </w:pPr>
            <w:r w:rsidRPr="001E6E9D">
              <w:rPr>
                <w:rFonts w:asciiTheme="minorHAnsi" w:hAnsiTheme="minorHAnsi" w:cstheme="minorHAnsi"/>
                <w:sz w:val="16"/>
                <w:szCs w:val="16"/>
              </w:rPr>
              <w:t xml:space="preserve">Procedimento de </w:t>
            </w:r>
            <w:r w:rsidRPr="001E6E9D">
              <w:rPr>
                <w:rFonts w:asciiTheme="minorHAnsi" w:hAnsiTheme="minorHAnsi" w:cstheme="minorHAnsi"/>
                <w:i/>
                <w:sz w:val="16"/>
                <w:szCs w:val="16"/>
              </w:rPr>
              <w:t>Bookbuilding</w:t>
            </w:r>
          </w:p>
          <w:p w14:paraId="0593FD4F" w14:textId="30475FF4" w:rsidR="006F3767" w:rsidRPr="001E6E9D" w:rsidRDefault="006F3767" w:rsidP="00CE2727">
            <w:pPr>
              <w:spacing w:before="20" w:after="20"/>
              <w:rPr>
                <w:rFonts w:asciiTheme="minorHAnsi" w:eastAsia="Times New Roman" w:hAnsiTheme="minorHAnsi" w:cstheme="minorHAnsi"/>
                <w:i/>
                <w:iCs/>
                <w:sz w:val="16"/>
                <w:szCs w:val="16"/>
                <w:lang w:eastAsia="pt-BR"/>
              </w:rPr>
            </w:pPr>
            <w:r w:rsidRPr="001E6E9D">
              <w:rPr>
                <w:rFonts w:asciiTheme="minorHAnsi" w:hAnsiTheme="minorHAnsi" w:cstheme="minorHAnsi"/>
                <w:sz w:val="16"/>
                <w:szCs w:val="16"/>
              </w:rPr>
              <w:t xml:space="preserve">Divulgação do resultado do Procedimento de </w:t>
            </w:r>
            <w:r w:rsidRPr="001E6E9D">
              <w:rPr>
                <w:rFonts w:asciiTheme="minorHAnsi" w:hAnsiTheme="minorHAnsi" w:cstheme="minorHAnsi"/>
                <w:i/>
                <w:sz w:val="16"/>
                <w:szCs w:val="16"/>
              </w:rPr>
              <w:t>Bookbuilding</w:t>
            </w:r>
          </w:p>
        </w:tc>
        <w:tc>
          <w:tcPr>
            <w:tcW w:w="1091" w:type="pct"/>
            <w:tcBorders>
              <w:top w:val="single" w:sz="4" w:space="0" w:color="auto"/>
              <w:left w:val="nil"/>
              <w:bottom w:val="single" w:sz="4" w:space="0" w:color="auto"/>
              <w:right w:val="nil"/>
            </w:tcBorders>
            <w:shd w:val="clear" w:color="auto" w:fill="auto"/>
            <w:vAlign w:val="center"/>
          </w:tcPr>
          <w:p w14:paraId="196978F2" w14:textId="568461CB" w:rsidR="006F3767" w:rsidRPr="001E6E9D" w:rsidRDefault="006F3767" w:rsidP="00CE2727">
            <w:pPr>
              <w:spacing w:before="20" w:after="20"/>
              <w:jc w:val="center"/>
              <w:rPr>
                <w:rFonts w:asciiTheme="minorHAnsi" w:eastAsia="Times New Roman" w:hAnsiTheme="minorHAnsi" w:cstheme="minorHAnsi"/>
                <w:sz w:val="16"/>
                <w:szCs w:val="16"/>
                <w:highlight w:val="yellow"/>
                <w:lang w:eastAsia="pt-BR"/>
              </w:rPr>
            </w:pPr>
            <w:r w:rsidRPr="001E6E9D">
              <w:rPr>
                <w:rFonts w:asciiTheme="minorHAnsi" w:hAnsiTheme="minorHAnsi" w:cstheme="minorHAnsi"/>
                <w:sz w:val="16"/>
                <w:szCs w:val="16"/>
              </w:rPr>
              <w:t>31 de janeiro de 2025</w:t>
            </w:r>
          </w:p>
        </w:tc>
      </w:tr>
      <w:tr w:rsidR="001E1F2D" w:rsidRPr="001E6E9D" w14:paraId="4B035A5C" w14:textId="77777777" w:rsidTr="00DE41ED">
        <w:trPr>
          <w:jc w:val="center"/>
        </w:trPr>
        <w:tc>
          <w:tcPr>
            <w:tcW w:w="407" w:type="pct"/>
            <w:tcBorders>
              <w:top w:val="single" w:sz="4" w:space="0" w:color="auto"/>
              <w:left w:val="nil"/>
              <w:bottom w:val="single" w:sz="4" w:space="0" w:color="auto"/>
              <w:right w:val="nil"/>
            </w:tcBorders>
            <w:shd w:val="clear" w:color="auto" w:fill="auto"/>
            <w:vAlign w:val="center"/>
          </w:tcPr>
          <w:p w14:paraId="6ADA2AAD" w14:textId="1AFA6BF1" w:rsidR="001E1F2D" w:rsidRDefault="001E1F2D" w:rsidP="00CE2727">
            <w:pPr>
              <w:spacing w:before="20" w:after="20"/>
              <w:jc w:val="center"/>
              <w:rPr>
                <w:rFonts w:asciiTheme="minorHAnsi" w:eastAsia="Times New Roman" w:hAnsiTheme="minorHAnsi" w:cstheme="minorHAnsi"/>
                <w:b/>
                <w:sz w:val="16"/>
                <w:szCs w:val="16"/>
                <w:lang w:eastAsia="pt-BR"/>
              </w:rPr>
            </w:pPr>
            <w:r>
              <w:rPr>
                <w:rFonts w:asciiTheme="minorHAnsi" w:eastAsia="Times New Roman" w:hAnsiTheme="minorHAnsi" w:cstheme="minorHAnsi"/>
                <w:b/>
                <w:sz w:val="16"/>
                <w:szCs w:val="16"/>
                <w:lang w:eastAsia="pt-BR"/>
              </w:rPr>
              <w:t>7</w:t>
            </w:r>
            <w:r w:rsidRPr="001E6E9D">
              <w:rPr>
                <w:rFonts w:asciiTheme="minorHAnsi" w:eastAsia="Times New Roman" w:hAnsiTheme="minorHAnsi" w:cstheme="minorHAnsi"/>
                <w:b/>
                <w:sz w:val="16"/>
                <w:szCs w:val="16"/>
                <w:lang w:eastAsia="pt-BR"/>
              </w:rPr>
              <w:t>.</w:t>
            </w:r>
          </w:p>
        </w:tc>
        <w:tc>
          <w:tcPr>
            <w:tcW w:w="3502" w:type="pct"/>
            <w:tcBorders>
              <w:top w:val="single" w:sz="4" w:space="0" w:color="auto"/>
              <w:left w:val="nil"/>
              <w:bottom w:val="single" w:sz="4" w:space="0" w:color="auto"/>
              <w:right w:val="nil"/>
            </w:tcBorders>
            <w:shd w:val="clear" w:color="auto" w:fill="auto"/>
            <w:vAlign w:val="center"/>
          </w:tcPr>
          <w:p w14:paraId="4EA4204A" w14:textId="6E791606" w:rsidR="001E1F2D" w:rsidRPr="001E6E9D" w:rsidRDefault="001E1F2D" w:rsidP="00CE2727">
            <w:pPr>
              <w:spacing w:before="20" w:after="20"/>
              <w:rPr>
                <w:rFonts w:asciiTheme="minorHAnsi" w:hAnsiTheme="minorHAnsi" w:cstheme="minorHAnsi"/>
                <w:sz w:val="16"/>
                <w:szCs w:val="16"/>
              </w:rPr>
            </w:pPr>
            <w:r>
              <w:rPr>
                <w:rFonts w:asciiTheme="minorHAnsi" w:hAnsiTheme="minorHAnsi" w:cstheme="minorHAnsi"/>
                <w:sz w:val="16"/>
                <w:szCs w:val="16"/>
              </w:rPr>
              <w:t>Divulgação d</w:t>
            </w:r>
            <w:r w:rsidR="0039139F">
              <w:rPr>
                <w:rFonts w:asciiTheme="minorHAnsi" w:hAnsiTheme="minorHAnsi" w:cstheme="minorHAnsi"/>
                <w:sz w:val="16"/>
                <w:szCs w:val="16"/>
              </w:rPr>
              <w:t>e</w:t>
            </w:r>
            <w:r>
              <w:rPr>
                <w:rFonts w:asciiTheme="minorHAnsi" w:hAnsiTheme="minorHAnsi" w:cstheme="minorHAnsi"/>
                <w:sz w:val="16"/>
                <w:szCs w:val="16"/>
              </w:rPr>
              <w:t xml:space="preserve"> Comunicado ao Mercado</w:t>
            </w:r>
          </w:p>
        </w:tc>
        <w:tc>
          <w:tcPr>
            <w:tcW w:w="1091" w:type="pct"/>
            <w:tcBorders>
              <w:top w:val="single" w:sz="4" w:space="0" w:color="auto"/>
              <w:left w:val="nil"/>
              <w:bottom w:val="single" w:sz="4" w:space="0" w:color="auto"/>
              <w:right w:val="nil"/>
            </w:tcBorders>
            <w:shd w:val="clear" w:color="auto" w:fill="auto"/>
            <w:vAlign w:val="center"/>
          </w:tcPr>
          <w:p w14:paraId="09779106" w14:textId="0E2A365E" w:rsidR="001E1F2D" w:rsidRPr="001E6E9D" w:rsidRDefault="001E1F2D" w:rsidP="00CE2727">
            <w:pPr>
              <w:spacing w:before="20" w:after="20"/>
              <w:jc w:val="center"/>
              <w:rPr>
                <w:rFonts w:asciiTheme="minorHAnsi" w:hAnsiTheme="minorHAnsi" w:cstheme="minorHAnsi"/>
                <w:sz w:val="16"/>
                <w:szCs w:val="16"/>
              </w:rPr>
            </w:pPr>
            <w:r>
              <w:rPr>
                <w:rFonts w:asciiTheme="minorHAnsi" w:hAnsiTheme="minorHAnsi" w:cstheme="minorHAnsi"/>
                <w:sz w:val="16"/>
                <w:szCs w:val="16"/>
              </w:rPr>
              <w:t>04 de fevereiro de 2025</w:t>
            </w:r>
          </w:p>
        </w:tc>
      </w:tr>
      <w:tr w:rsidR="001E1F2D" w:rsidRPr="001E6E9D" w14:paraId="5A95C2DF" w14:textId="77777777" w:rsidTr="00DE41ED">
        <w:trPr>
          <w:jc w:val="center"/>
        </w:trPr>
        <w:tc>
          <w:tcPr>
            <w:tcW w:w="407" w:type="pct"/>
            <w:tcBorders>
              <w:top w:val="single" w:sz="4" w:space="0" w:color="auto"/>
              <w:left w:val="nil"/>
              <w:bottom w:val="single" w:sz="4" w:space="0" w:color="auto"/>
              <w:right w:val="nil"/>
            </w:tcBorders>
            <w:shd w:val="clear" w:color="auto" w:fill="auto"/>
            <w:vAlign w:val="center"/>
          </w:tcPr>
          <w:p w14:paraId="562135FB" w14:textId="6C8D7352" w:rsidR="001E1F2D" w:rsidRPr="001E6E9D" w:rsidRDefault="001E1F2D" w:rsidP="00CE2727">
            <w:pPr>
              <w:spacing w:before="20" w:after="20"/>
              <w:jc w:val="center"/>
              <w:rPr>
                <w:rFonts w:asciiTheme="minorHAnsi" w:eastAsia="Times New Roman" w:hAnsiTheme="minorHAnsi" w:cstheme="minorHAnsi"/>
                <w:b/>
                <w:sz w:val="16"/>
                <w:szCs w:val="16"/>
                <w:lang w:eastAsia="pt-BR"/>
              </w:rPr>
            </w:pPr>
            <w:r>
              <w:rPr>
                <w:rFonts w:asciiTheme="minorHAnsi" w:eastAsia="Times New Roman" w:hAnsiTheme="minorHAnsi" w:cstheme="minorHAnsi"/>
                <w:b/>
                <w:sz w:val="16"/>
                <w:szCs w:val="16"/>
                <w:lang w:eastAsia="pt-BR"/>
              </w:rPr>
              <w:t>8</w:t>
            </w:r>
            <w:r w:rsidRPr="001E6E9D">
              <w:rPr>
                <w:rFonts w:asciiTheme="minorHAnsi" w:eastAsia="Times New Roman" w:hAnsiTheme="minorHAnsi" w:cstheme="minorHAnsi"/>
                <w:b/>
                <w:sz w:val="16"/>
                <w:szCs w:val="16"/>
                <w:lang w:eastAsia="pt-BR"/>
              </w:rPr>
              <w:t>.</w:t>
            </w:r>
          </w:p>
        </w:tc>
        <w:tc>
          <w:tcPr>
            <w:tcW w:w="3502" w:type="pct"/>
            <w:tcBorders>
              <w:top w:val="single" w:sz="4" w:space="0" w:color="auto"/>
              <w:left w:val="nil"/>
              <w:bottom w:val="single" w:sz="4" w:space="0" w:color="auto"/>
              <w:right w:val="nil"/>
            </w:tcBorders>
            <w:shd w:val="clear" w:color="auto" w:fill="auto"/>
            <w:vAlign w:val="center"/>
          </w:tcPr>
          <w:p w14:paraId="72F2D874" w14:textId="57EE7447" w:rsidR="001E1F2D" w:rsidRPr="001E6E9D" w:rsidRDefault="001E1F2D" w:rsidP="00CE2727">
            <w:pPr>
              <w:spacing w:before="20" w:after="20"/>
              <w:rPr>
                <w:rFonts w:asciiTheme="minorHAnsi" w:hAnsiTheme="minorHAnsi" w:cstheme="minorHAnsi"/>
                <w:sz w:val="16"/>
                <w:szCs w:val="16"/>
              </w:rPr>
            </w:pPr>
            <w:r w:rsidRPr="001E6E9D">
              <w:rPr>
                <w:rFonts w:asciiTheme="minorHAnsi" w:hAnsiTheme="minorHAnsi" w:cstheme="minorHAnsi"/>
                <w:sz w:val="16"/>
                <w:szCs w:val="16"/>
              </w:rPr>
              <w:t>Disponibilização d</w:t>
            </w:r>
            <w:r>
              <w:rPr>
                <w:rFonts w:asciiTheme="minorHAnsi" w:hAnsiTheme="minorHAnsi" w:cstheme="minorHAnsi"/>
                <w:sz w:val="16"/>
                <w:szCs w:val="16"/>
              </w:rPr>
              <w:t>este</w:t>
            </w:r>
            <w:r w:rsidRPr="001E6E9D">
              <w:rPr>
                <w:rFonts w:asciiTheme="minorHAnsi" w:hAnsiTheme="minorHAnsi" w:cstheme="minorHAnsi"/>
                <w:sz w:val="16"/>
                <w:szCs w:val="16"/>
              </w:rPr>
              <w:t xml:space="preserve"> Prospecto Definitivo</w:t>
            </w:r>
          </w:p>
          <w:p w14:paraId="6966CA28" w14:textId="77777777" w:rsidR="001E1F2D" w:rsidRPr="001E6E9D" w:rsidRDefault="001E1F2D" w:rsidP="00CE2727">
            <w:pPr>
              <w:spacing w:before="20" w:after="20"/>
              <w:rPr>
                <w:rFonts w:asciiTheme="minorHAnsi" w:hAnsiTheme="minorHAnsi" w:cstheme="minorHAnsi"/>
                <w:sz w:val="16"/>
                <w:szCs w:val="16"/>
              </w:rPr>
            </w:pPr>
            <w:r w:rsidRPr="001E6E9D">
              <w:rPr>
                <w:rFonts w:asciiTheme="minorHAnsi" w:hAnsiTheme="minorHAnsi" w:cstheme="minorHAnsi"/>
                <w:sz w:val="16"/>
                <w:szCs w:val="16"/>
              </w:rPr>
              <w:t>Concessão do registro automático da Oferta pela CVM</w:t>
            </w:r>
          </w:p>
          <w:p w14:paraId="0054B38E" w14:textId="4839CF03" w:rsidR="001E1F2D" w:rsidRPr="001E6E9D" w:rsidRDefault="001E1F2D" w:rsidP="00CE2727">
            <w:pPr>
              <w:spacing w:before="20" w:after="20"/>
              <w:rPr>
                <w:rFonts w:asciiTheme="minorHAnsi" w:eastAsia="Times New Roman" w:hAnsiTheme="minorHAnsi" w:cstheme="minorHAnsi"/>
                <w:sz w:val="16"/>
                <w:szCs w:val="16"/>
                <w:lang w:eastAsia="pt-BR"/>
              </w:rPr>
            </w:pPr>
            <w:r w:rsidRPr="001E6E9D">
              <w:rPr>
                <w:rFonts w:asciiTheme="minorHAnsi" w:hAnsiTheme="minorHAnsi" w:cstheme="minorHAnsi"/>
                <w:sz w:val="16"/>
                <w:szCs w:val="16"/>
              </w:rPr>
              <w:t>Divulgação do Anúncio de Início</w:t>
            </w:r>
          </w:p>
        </w:tc>
        <w:tc>
          <w:tcPr>
            <w:tcW w:w="1091" w:type="pct"/>
            <w:tcBorders>
              <w:top w:val="single" w:sz="4" w:space="0" w:color="auto"/>
              <w:left w:val="nil"/>
              <w:bottom w:val="single" w:sz="4" w:space="0" w:color="auto"/>
              <w:right w:val="nil"/>
            </w:tcBorders>
            <w:shd w:val="clear" w:color="auto" w:fill="auto"/>
            <w:vAlign w:val="center"/>
          </w:tcPr>
          <w:p w14:paraId="4C790A87" w14:textId="5B8E2A42" w:rsidR="001E1F2D" w:rsidRPr="001E6E9D" w:rsidRDefault="001E1F2D" w:rsidP="00CE2727">
            <w:pPr>
              <w:spacing w:before="20" w:after="20"/>
              <w:jc w:val="center"/>
              <w:rPr>
                <w:rFonts w:asciiTheme="minorHAnsi" w:eastAsia="Times New Roman" w:hAnsiTheme="minorHAnsi" w:cstheme="minorHAnsi"/>
                <w:sz w:val="16"/>
                <w:szCs w:val="16"/>
                <w:highlight w:val="yellow"/>
                <w:lang w:eastAsia="pt-BR"/>
              </w:rPr>
            </w:pPr>
            <w:r w:rsidRPr="001E6E9D">
              <w:rPr>
                <w:rFonts w:asciiTheme="minorHAnsi" w:hAnsiTheme="minorHAnsi" w:cstheme="minorHAnsi"/>
                <w:sz w:val="16"/>
                <w:szCs w:val="16"/>
              </w:rPr>
              <w:t>0</w:t>
            </w:r>
            <w:r>
              <w:rPr>
                <w:rFonts w:asciiTheme="minorHAnsi" w:hAnsiTheme="minorHAnsi" w:cstheme="minorHAnsi"/>
                <w:sz w:val="16"/>
                <w:szCs w:val="16"/>
              </w:rPr>
              <w:t>5</w:t>
            </w:r>
            <w:r w:rsidRPr="001E6E9D">
              <w:rPr>
                <w:rFonts w:asciiTheme="minorHAnsi" w:hAnsiTheme="minorHAnsi" w:cstheme="minorHAnsi"/>
                <w:sz w:val="16"/>
                <w:szCs w:val="16"/>
              </w:rPr>
              <w:t xml:space="preserve"> de fevereiro de 2025</w:t>
            </w:r>
          </w:p>
        </w:tc>
      </w:tr>
      <w:tr w:rsidR="001E1F2D" w:rsidRPr="001E6E9D" w14:paraId="6C264D2C" w14:textId="77777777" w:rsidTr="00DE41ED">
        <w:trPr>
          <w:jc w:val="center"/>
        </w:trPr>
        <w:tc>
          <w:tcPr>
            <w:tcW w:w="407" w:type="pct"/>
            <w:tcBorders>
              <w:top w:val="single" w:sz="4" w:space="0" w:color="auto"/>
              <w:left w:val="nil"/>
              <w:bottom w:val="single" w:sz="4" w:space="0" w:color="auto"/>
              <w:right w:val="nil"/>
            </w:tcBorders>
            <w:shd w:val="clear" w:color="auto" w:fill="auto"/>
            <w:vAlign w:val="center"/>
          </w:tcPr>
          <w:p w14:paraId="3E61C778" w14:textId="2AB5CC05" w:rsidR="001E1F2D" w:rsidRPr="001E6E9D" w:rsidRDefault="001E1F2D" w:rsidP="00CE2727">
            <w:pPr>
              <w:spacing w:before="20" w:after="20"/>
              <w:jc w:val="center"/>
              <w:rPr>
                <w:rFonts w:asciiTheme="minorHAnsi" w:eastAsia="Times New Roman" w:hAnsiTheme="minorHAnsi" w:cstheme="minorHAnsi"/>
                <w:b/>
                <w:sz w:val="16"/>
                <w:szCs w:val="16"/>
                <w:lang w:eastAsia="pt-BR"/>
              </w:rPr>
            </w:pPr>
            <w:r>
              <w:rPr>
                <w:rFonts w:asciiTheme="minorHAnsi" w:eastAsia="Times New Roman" w:hAnsiTheme="minorHAnsi" w:cstheme="minorHAnsi"/>
                <w:b/>
                <w:sz w:val="16"/>
                <w:szCs w:val="16"/>
                <w:lang w:eastAsia="pt-BR"/>
              </w:rPr>
              <w:t>9</w:t>
            </w:r>
            <w:r w:rsidRPr="001E6E9D">
              <w:rPr>
                <w:rFonts w:asciiTheme="minorHAnsi" w:eastAsia="Times New Roman" w:hAnsiTheme="minorHAnsi" w:cstheme="minorHAnsi"/>
                <w:b/>
                <w:sz w:val="16"/>
                <w:szCs w:val="16"/>
                <w:lang w:eastAsia="pt-BR"/>
              </w:rPr>
              <w:t>.</w:t>
            </w:r>
          </w:p>
        </w:tc>
        <w:tc>
          <w:tcPr>
            <w:tcW w:w="3502" w:type="pct"/>
            <w:tcBorders>
              <w:top w:val="single" w:sz="4" w:space="0" w:color="auto"/>
              <w:left w:val="nil"/>
              <w:bottom w:val="single" w:sz="4" w:space="0" w:color="auto"/>
              <w:right w:val="nil"/>
            </w:tcBorders>
            <w:shd w:val="clear" w:color="auto" w:fill="auto"/>
            <w:vAlign w:val="center"/>
          </w:tcPr>
          <w:p w14:paraId="482E13FF" w14:textId="753E347A" w:rsidR="001E1F2D" w:rsidRPr="001E6E9D" w:rsidRDefault="001E1F2D" w:rsidP="00CE2727">
            <w:pPr>
              <w:spacing w:before="20" w:after="20"/>
              <w:rPr>
                <w:rFonts w:asciiTheme="minorHAnsi" w:eastAsia="Times New Roman" w:hAnsiTheme="minorHAnsi" w:cstheme="minorHAnsi"/>
                <w:sz w:val="16"/>
                <w:szCs w:val="16"/>
                <w:lang w:eastAsia="pt-BR"/>
              </w:rPr>
            </w:pPr>
            <w:r w:rsidRPr="001E6E9D">
              <w:rPr>
                <w:rFonts w:asciiTheme="minorHAnsi" w:hAnsiTheme="minorHAnsi" w:cstheme="minorHAnsi"/>
                <w:sz w:val="16"/>
                <w:szCs w:val="16"/>
              </w:rPr>
              <w:t>Primeira Liquidação das Debêntures</w:t>
            </w:r>
            <w:r w:rsidRPr="001E6E9D">
              <w:rPr>
                <w:rFonts w:asciiTheme="minorHAnsi" w:hAnsiTheme="minorHAnsi" w:cstheme="minorHAnsi"/>
                <w:sz w:val="16"/>
                <w:szCs w:val="16"/>
                <w:vertAlign w:val="superscript"/>
              </w:rPr>
              <w:t>(4)</w:t>
            </w:r>
          </w:p>
        </w:tc>
        <w:tc>
          <w:tcPr>
            <w:tcW w:w="1091" w:type="pct"/>
            <w:tcBorders>
              <w:top w:val="single" w:sz="4" w:space="0" w:color="auto"/>
              <w:left w:val="nil"/>
              <w:bottom w:val="single" w:sz="4" w:space="0" w:color="auto"/>
              <w:right w:val="nil"/>
            </w:tcBorders>
            <w:shd w:val="clear" w:color="auto" w:fill="auto"/>
            <w:vAlign w:val="center"/>
          </w:tcPr>
          <w:p w14:paraId="2AC1E977" w14:textId="3C1BD163" w:rsidR="001E1F2D" w:rsidRPr="001E6E9D" w:rsidRDefault="001E1F2D" w:rsidP="00CE2727">
            <w:pPr>
              <w:spacing w:before="20" w:after="20"/>
              <w:jc w:val="center"/>
              <w:rPr>
                <w:rFonts w:asciiTheme="minorHAnsi" w:eastAsia="Times New Roman" w:hAnsiTheme="minorHAnsi" w:cstheme="minorHAnsi"/>
                <w:sz w:val="16"/>
                <w:szCs w:val="16"/>
                <w:highlight w:val="yellow"/>
                <w:lang w:eastAsia="pt-BR"/>
              </w:rPr>
            </w:pPr>
            <w:r w:rsidRPr="001E6E9D">
              <w:rPr>
                <w:rFonts w:asciiTheme="minorHAnsi" w:hAnsiTheme="minorHAnsi" w:cstheme="minorHAnsi"/>
                <w:sz w:val="16"/>
                <w:szCs w:val="16"/>
              </w:rPr>
              <w:t>06 de fevereiro de 2025</w:t>
            </w:r>
          </w:p>
        </w:tc>
      </w:tr>
      <w:tr w:rsidR="006F3767" w:rsidRPr="001E6E9D" w14:paraId="0D719D61" w14:textId="77777777" w:rsidTr="00DE41ED">
        <w:trPr>
          <w:jc w:val="center"/>
        </w:trPr>
        <w:tc>
          <w:tcPr>
            <w:tcW w:w="407" w:type="pct"/>
            <w:tcBorders>
              <w:top w:val="single" w:sz="4" w:space="0" w:color="auto"/>
              <w:left w:val="nil"/>
              <w:bottom w:val="single" w:sz="4" w:space="0" w:color="auto"/>
              <w:right w:val="nil"/>
            </w:tcBorders>
            <w:shd w:val="clear" w:color="auto" w:fill="auto"/>
            <w:vAlign w:val="center"/>
          </w:tcPr>
          <w:p w14:paraId="146B941D" w14:textId="64238DDF" w:rsidR="006F3767" w:rsidRPr="001E6E9D" w:rsidRDefault="001E1F2D" w:rsidP="00CE2727">
            <w:pPr>
              <w:spacing w:before="20" w:after="20"/>
              <w:jc w:val="center"/>
              <w:rPr>
                <w:rFonts w:asciiTheme="minorHAnsi" w:eastAsia="Times New Roman" w:hAnsiTheme="minorHAnsi" w:cstheme="minorHAnsi"/>
                <w:sz w:val="16"/>
                <w:szCs w:val="16"/>
                <w:lang w:eastAsia="pt-BR"/>
              </w:rPr>
            </w:pPr>
            <w:r>
              <w:rPr>
                <w:rFonts w:asciiTheme="minorHAnsi" w:eastAsia="Times New Roman" w:hAnsiTheme="minorHAnsi" w:cstheme="minorHAnsi"/>
                <w:b/>
                <w:sz w:val="16"/>
                <w:szCs w:val="16"/>
                <w:lang w:eastAsia="pt-BR"/>
              </w:rPr>
              <w:t>10</w:t>
            </w:r>
          </w:p>
        </w:tc>
        <w:tc>
          <w:tcPr>
            <w:tcW w:w="3502" w:type="pct"/>
            <w:tcBorders>
              <w:top w:val="single" w:sz="4" w:space="0" w:color="auto"/>
              <w:left w:val="nil"/>
              <w:bottom w:val="single" w:sz="4" w:space="0" w:color="auto"/>
              <w:right w:val="nil"/>
            </w:tcBorders>
            <w:shd w:val="clear" w:color="auto" w:fill="auto"/>
            <w:vAlign w:val="center"/>
            <w:hideMark/>
          </w:tcPr>
          <w:p w14:paraId="7E1DCB36" w14:textId="6D643636" w:rsidR="006F3767" w:rsidRPr="001E6E9D" w:rsidRDefault="006F3767" w:rsidP="00CE2727">
            <w:pPr>
              <w:spacing w:before="20" w:after="20"/>
              <w:rPr>
                <w:rFonts w:asciiTheme="minorHAnsi" w:eastAsia="Times New Roman" w:hAnsiTheme="minorHAnsi" w:cstheme="minorHAnsi"/>
                <w:sz w:val="16"/>
                <w:szCs w:val="16"/>
                <w:lang w:eastAsia="pt-BR"/>
              </w:rPr>
            </w:pPr>
            <w:r w:rsidRPr="001E6E9D">
              <w:rPr>
                <w:rFonts w:asciiTheme="minorHAnsi" w:hAnsiTheme="minorHAnsi" w:cstheme="minorHAnsi"/>
                <w:sz w:val="16"/>
                <w:szCs w:val="16"/>
              </w:rPr>
              <w:t>Data máxima para divulgação do Anúncio de Encerramento</w:t>
            </w:r>
          </w:p>
        </w:tc>
        <w:tc>
          <w:tcPr>
            <w:tcW w:w="1091" w:type="pct"/>
            <w:tcBorders>
              <w:top w:val="single" w:sz="4" w:space="0" w:color="auto"/>
              <w:left w:val="nil"/>
              <w:bottom w:val="single" w:sz="4" w:space="0" w:color="auto"/>
              <w:right w:val="nil"/>
            </w:tcBorders>
            <w:shd w:val="clear" w:color="auto" w:fill="auto"/>
            <w:vAlign w:val="center"/>
          </w:tcPr>
          <w:p w14:paraId="5809DD0A" w14:textId="5032F45F" w:rsidR="006F3767" w:rsidRPr="001E6E9D" w:rsidRDefault="00E255AE" w:rsidP="00CE2727">
            <w:pPr>
              <w:spacing w:before="20" w:after="20"/>
              <w:jc w:val="center"/>
              <w:rPr>
                <w:rFonts w:asciiTheme="minorHAnsi" w:eastAsia="Times New Roman" w:hAnsiTheme="minorHAnsi" w:cstheme="minorHAnsi"/>
                <w:sz w:val="16"/>
                <w:szCs w:val="16"/>
                <w:highlight w:val="yellow"/>
                <w:lang w:eastAsia="pt-BR"/>
              </w:rPr>
            </w:pPr>
            <w:r w:rsidRPr="00E255AE">
              <w:rPr>
                <w:rFonts w:asciiTheme="minorHAnsi" w:hAnsiTheme="minorHAnsi" w:cstheme="minorHAnsi"/>
                <w:sz w:val="16"/>
                <w:szCs w:val="16"/>
              </w:rPr>
              <w:t xml:space="preserve">Até </w:t>
            </w:r>
            <w:r w:rsidR="001449B9">
              <w:rPr>
                <w:rFonts w:asciiTheme="minorHAnsi" w:hAnsiTheme="minorHAnsi" w:cstheme="minorHAnsi"/>
                <w:sz w:val="16"/>
                <w:szCs w:val="16"/>
              </w:rPr>
              <w:t>04</w:t>
            </w:r>
            <w:r w:rsidRPr="00E255AE">
              <w:rPr>
                <w:rFonts w:asciiTheme="minorHAnsi" w:hAnsiTheme="minorHAnsi" w:cstheme="minorHAnsi"/>
                <w:sz w:val="16"/>
                <w:szCs w:val="16"/>
              </w:rPr>
              <w:t xml:space="preserve"> de agosto </w:t>
            </w:r>
            <w:r w:rsidR="006F3767" w:rsidRPr="001E6E9D">
              <w:rPr>
                <w:rFonts w:asciiTheme="minorHAnsi" w:hAnsiTheme="minorHAnsi" w:cstheme="minorHAnsi"/>
                <w:sz w:val="16"/>
                <w:szCs w:val="16"/>
              </w:rPr>
              <w:t>de 2025</w:t>
            </w:r>
            <w:r w:rsidR="006F3767" w:rsidRPr="001E6E9D">
              <w:rPr>
                <w:rFonts w:asciiTheme="minorHAnsi" w:hAnsiTheme="minorHAnsi" w:cstheme="minorHAnsi"/>
                <w:sz w:val="16"/>
                <w:szCs w:val="16"/>
                <w:vertAlign w:val="superscript"/>
              </w:rPr>
              <w:t>(5)</w:t>
            </w:r>
          </w:p>
        </w:tc>
      </w:tr>
    </w:tbl>
    <w:bookmarkEnd w:id="163"/>
    <w:bookmarkEnd w:id="164"/>
    <w:p w14:paraId="519B00E0" w14:textId="77777777" w:rsidR="006F3767" w:rsidRPr="001E6E9D" w:rsidRDefault="006F3767" w:rsidP="00DE41ED">
      <w:pPr>
        <w:spacing w:before="100" w:after="28"/>
        <w:ind w:left="396" w:hanging="396"/>
        <w:rPr>
          <w:rFonts w:asciiTheme="minorHAnsi" w:hAnsiTheme="minorHAnsi" w:cstheme="minorHAnsi"/>
        </w:rPr>
      </w:pPr>
      <w:r w:rsidRPr="001E6E9D">
        <w:rPr>
          <w:rFonts w:asciiTheme="minorHAnsi" w:hAnsiTheme="minorHAnsi" w:cstheme="minorHAnsi"/>
          <w:sz w:val="14"/>
          <w:vertAlign w:val="superscript"/>
        </w:rPr>
        <w:t>(1)</w:t>
      </w:r>
      <w:r w:rsidRPr="001E6E9D">
        <w:rPr>
          <w:rFonts w:asciiTheme="minorHAnsi" w:hAnsiTheme="minorHAnsi" w:cstheme="minorHAnsi"/>
          <w:sz w:val="14"/>
        </w:rPr>
        <w:tab/>
        <w:t>Todas as datas futuras previstas são meramente indicativas e estão sujeitas a alterações, suspensões, antecipações ou prorrogações a critério da Emissora e dos Coordenadores. Qualquer modificação no cronograma da distribuição deverá ser comunicada à CVM e poderá ser analisada como modificação da Oferta, seguindo o disposto no artigo 67 da Resolução CVM 160, hipótese na qual incidirão os efeitos descritos nos artigos 68 e 69, da Resolução CVM 160. Ainda, caso ocorram alterações das circunstâncias, revogação ou modificação da Oferta, tal cronograma poderá ser alterado.</w:t>
      </w:r>
    </w:p>
    <w:p w14:paraId="427D6FC9" w14:textId="1FB9C00E" w:rsidR="006F3767" w:rsidRPr="001E6E9D" w:rsidRDefault="006F3767" w:rsidP="006F3767">
      <w:pPr>
        <w:spacing w:after="28"/>
        <w:ind w:left="396" w:hanging="396"/>
        <w:rPr>
          <w:rFonts w:asciiTheme="minorHAnsi" w:hAnsiTheme="minorHAnsi" w:cstheme="minorHAnsi"/>
        </w:rPr>
      </w:pPr>
      <w:r w:rsidRPr="001E6E9D">
        <w:rPr>
          <w:rFonts w:asciiTheme="minorHAnsi" w:hAnsiTheme="minorHAnsi" w:cstheme="minorHAnsi"/>
          <w:sz w:val="14"/>
          <w:vertAlign w:val="superscript"/>
        </w:rPr>
        <w:t>(2)</w:t>
      </w:r>
      <w:r w:rsidRPr="001E6E9D">
        <w:rPr>
          <w:rFonts w:asciiTheme="minorHAnsi" w:hAnsiTheme="minorHAnsi" w:cstheme="minorHAnsi"/>
          <w:sz w:val="14"/>
        </w:rPr>
        <w:tab/>
        <w:t>Quaisquer comunicados ou anúncios relativos à Oferta serão disponibilizados na rede mundial de computadores da CVM, da B3, da Emissora e dos Coordenadores, nos termos previstos no artigo 13 da Resolução CVM 160.</w:t>
      </w:r>
    </w:p>
    <w:p w14:paraId="6136523A" w14:textId="06834CC4" w:rsidR="006F3767" w:rsidRPr="001E6E9D" w:rsidRDefault="006F3767" w:rsidP="006F3767">
      <w:pPr>
        <w:spacing w:after="28"/>
        <w:ind w:left="396" w:hanging="396"/>
        <w:rPr>
          <w:rFonts w:asciiTheme="minorHAnsi" w:hAnsiTheme="minorHAnsi" w:cstheme="minorHAnsi"/>
        </w:rPr>
      </w:pPr>
      <w:r w:rsidRPr="001E6E9D">
        <w:rPr>
          <w:rFonts w:asciiTheme="minorHAnsi" w:hAnsiTheme="minorHAnsi" w:cstheme="minorHAnsi"/>
          <w:sz w:val="14"/>
          <w:vertAlign w:val="superscript"/>
        </w:rPr>
        <w:t>(3)</w:t>
      </w:r>
      <w:r w:rsidRPr="001E6E9D">
        <w:rPr>
          <w:rFonts w:asciiTheme="minorHAnsi" w:hAnsiTheme="minorHAnsi" w:cstheme="minorHAnsi"/>
          <w:sz w:val="14"/>
        </w:rPr>
        <w:tab/>
        <w:t xml:space="preserve">Termos iniciados em letra maiúscula no cronograma acima e que não estiverem definidos neste Prospecto </w:t>
      </w:r>
      <w:r w:rsidR="00915B73">
        <w:rPr>
          <w:rFonts w:asciiTheme="minorHAnsi" w:hAnsiTheme="minorHAnsi" w:cstheme="minorHAnsi"/>
          <w:sz w:val="14"/>
        </w:rPr>
        <w:t>Definitivo</w:t>
      </w:r>
      <w:r w:rsidR="00915B73" w:rsidRPr="001E6E9D">
        <w:rPr>
          <w:rFonts w:asciiTheme="minorHAnsi" w:hAnsiTheme="minorHAnsi" w:cstheme="minorHAnsi"/>
          <w:sz w:val="14"/>
        </w:rPr>
        <w:t xml:space="preserve"> </w:t>
      </w:r>
      <w:r w:rsidRPr="001E6E9D">
        <w:rPr>
          <w:rFonts w:asciiTheme="minorHAnsi" w:hAnsiTheme="minorHAnsi" w:cstheme="minorHAnsi"/>
          <w:sz w:val="14"/>
        </w:rPr>
        <w:t>têm o significado que lhes foi atribuído na Escritura de Emissão.</w:t>
      </w:r>
    </w:p>
    <w:p w14:paraId="7BFD5D99" w14:textId="77777777" w:rsidR="006F3767" w:rsidRPr="001E6E9D" w:rsidRDefault="006F3767" w:rsidP="00615ECB">
      <w:pPr>
        <w:spacing w:after="28"/>
        <w:ind w:left="396" w:hanging="396"/>
        <w:rPr>
          <w:rFonts w:asciiTheme="minorHAnsi" w:hAnsiTheme="minorHAnsi" w:cstheme="minorHAnsi"/>
        </w:rPr>
      </w:pPr>
      <w:r w:rsidRPr="001E6E9D">
        <w:rPr>
          <w:rFonts w:asciiTheme="minorHAnsi" w:hAnsiTheme="minorHAnsi" w:cstheme="minorHAnsi"/>
          <w:sz w:val="14"/>
          <w:vertAlign w:val="superscript"/>
        </w:rPr>
        <w:t>(4)</w:t>
      </w:r>
      <w:r w:rsidRPr="001E6E9D">
        <w:rPr>
          <w:rFonts w:asciiTheme="minorHAnsi" w:hAnsiTheme="minorHAnsi" w:cstheme="minorHAnsi"/>
          <w:sz w:val="14"/>
        </w:rPr>
        <w:tab/>
        <w:t>Data de liquidação das Debêntures corresponde à Data da Primeira Integralização, podendo eventual saldo de Debêntures ser integralizado em data posterior, de acordo com o disposto na Escritura de Emissão.</w:t>
      </w:r>
    </w:p>
    <w:p w14:paraId="41FCB151" w14:textId="34099567" w:rsidR="006F3767" w:rsidRPr="001E6E9D" w:rsidRDefault="006F3767" w:rsidP="00615ECB">
      <w:pPr>
        <w:spacing w:after="28"/>
        <w:ind w:left="396" w:hanging="396"/>
        <w:rPr>
          <w:rFonts w:asciiTheme="minorHAnsi" w:hAnsiTheme="minorHAnsi" w:cstheme="minorHAnsi"/>
        </w:rPr>
      </w:pPr>
      <w:r w:rsidRPr="001E6E9D">
        <w:rPr>
          <w:rFonts w:asciiTheme="minorHAnsi" w:hAnsiTheme="minorHAnsi" w:cstheme="minorHAnsi"/>
          <w:sz w:val="14"/>
          <w:vertAlign w:val="superscript"/>
        </w:rPr>
        <w:t>(5)</w:t>
      </w:r>
      <w:r w:rsidRPr="001E6E9D">
        <w:rPr>
          <w:rFonts w:asciiTheme="minorHAnsi" w:hAnsiTheme="minorHAnsi" w:cstheme="minorHAnsi"/>
          <w:sz w:val="14"/>
        </w:rPr>
        <w:tab/>
        <w:t>Nos termos do artigo 76 da Resolução CVM 160, essa data deve ser antecipada para tão logo se verifique a distribuição da totalidade das Debêntures.</w:t>
      </w:r>
    </w:p>
    <w:p w14:paraId="347AA791" w14:textId="77777777" w:rsidR="003468A1" w:rsidRPr="001E6E9D" w:rsidRDefault="0053704D" w:rsidP="00DE41ED">
      <w:pPr>
        <w:pStyle w:val="Ttulo3"/>
        <w:widowControl/>
        <w:spacing w:before="200"/>
        <w:rPr>
          <w:rFonts w:asciiTheme="minorHAnsi" w:hAnsiTheme="minorHAnsi"/>
        </w:rPr>
      </w:pPr>
      <w:bookmarkStart w:id="169" w:name="_Ref158845005"/>
      <w:r w:rsidRPr="001E6E9D">
        <w:rPr>
          <w:rFonts w:asciiTheme="minorHAnsi" w:hAnsiTheme="minorHAnsi"/>
        </w:rPr>
        <w:t>b) os prazos, condições e forma para: (i) manifestações de aceitação dos investidores interessados e de revogação da aceitação; (ii) subscrição, integralização e entrega de respectivos certificados, conforme o caso; (iii) distribuição junto ao público investidor em geral; (iv) posterior alienação dos valores mobiliários adquiridos pelos coordenadores em decorrência da prestação de garantia; (v) devolução e reembolso aos investidores, se for o caso; e (vi) quaisquer outras datas relativas à oferta pública de interesse para os investidores ou ao mercado em geral</w:t>
      </w:r>
      <w:bookmarkEnd w:id="169"/>
    </w:p>
    <w:p w14:paraId="607B468E" w14:textId="5AB6232C"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do artigo 22 da Resolução CVM 160, na hipótese em que se verifique, enquanto a Oferta estiver em distribuição, qualquer imprecisão ou mudança relevante nas informações contidas no Prospecto Preliminar</w:t>
      </w:r>
      <w:r w:rsidR="00BA18AC">
        <w:rPr>
          <w:rFonts w:asciiTheme="minorHAnsi" w:eastAsia="Times New Roman" w:hAnsiTheme="minorHAnsi" w:cstheme="minorHAnsi"/>
          <w:szCs w:val="20"/>
          <w:lang w:eastAsia="pt-BR"/>
        </w:rPr>
        <w:t xml:space="preserve"> ou no Prospecto Definitivo</w:t>
      </w:r>
      <w:r w:rsidRPr="001E6E9D">
        <w:rPr>
          <w:rFonts w:asciiTheme="minorHAnsi" w:eastAsia="Times New Roman" w:hAnsiTheme="minorHAnsi" w:cstheme="minorHAnsi"/>
          <w:szCs w:val="20"/>
          <w:lang w:eastAsia="pt-BR"/>
        </w:rPr>
        <w:t xml:space="preserve">, notadamente decorrentes de deficiência informacional ou de qualquer fato novo ou anterior não considerado no Prospecto, de que se tome conhecimento e que seja relevante para a decisão de investimento, a Emissora e os Coordenadores suspenderão a Oferta imediatamente até que se proceda: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a devida divulgação ao público da modificação da Oferta;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a complementação do Prospecto; </w:t>
      </w:r>
      <w:r w:rsidRPr="001E6E9D">
        <w:rPr>
          <w:rFonts w:asciiTheme="minorHAnsi" w:eastAsia="Times New Roman" w:hAnsiTheme="minorHAnsi" w:cstheme="minorHAnsi"/>
          <w:b/>
          <w:bCs/>
          <w:szCs w:val="20"/>
          <w:lang w:eastAsia="pt-BR"/>
        </w:rPr>
        <w:t>(iii)</w:t>
      </w:r>
      <w:r w:rsidRPr="001E6E9D">
        <w:rPr>
          <w:rFonts w:asciiTheme="minorHAnsi" w:eastAsia="Times New Roman" w:hAnsiTheme="minorHAnsi" w:cstheme="minorHAnsi"/>
          <w:szCs w:val="20"/>
          <w:lang w:eastAsia="pt-BR"/>
        </w:rPr>
        <w:t xml:space="preserve"> a atualização da lâmina da Oferta; e </w:t>
      </w:r>
      <w:r w:rsidRPr="001E6E9D">
        <w:rPr>
          <w:rFonts w:asciiTheme="minorHAnsi" w:eastAsia="Times New Roman" w:hAnsiTheme="minorHAnsi" w:cstheme="minorHAnsi"/>
          <w:b/>
          <w:bCs/>
          <w:szCs w:val="20"/>
          <w:lang w:eastAsia="pt-BR"/>
        </w:rPr>
        <w:t>(iv)</w:t>
      </w:r>
      <w:r w:rsidRPr="001E6E9D">
        <w:rPr>
          <w:rFonts w:asciiTheme="minorHAnsi" w:eastAsia="Times New Roman" w:hAnsiTheme="minorHAnsi" w:cstheme="minorHAnsi"/>
          <w:szCs w:val="20"/>
          <w:lang w:eastAsia="pt-BR"/>
        </w:rPr>
        <w:t xml:space="preserve"> a atualização dos demais documentos da Oferta conforme aplicável.</w:t>
      </w:r>
    </w:p>
    <w:p w14:paraId="744EB077" w14:textId="3A7E6628"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do artigo 67 e seguintes da Resolução CVM 160, havendo, a juízo da CVM, alteração substancial, posterior e imprevisível nas circunstâncias de fato existentes quando do protocolo do requerimento de registro da Oferta, ou que o fundamentam, a Superintendência de Registro de Valores Mobiliários da CVM (</w:t>
      </w:r>
      <w:r w:rsidR="000D5E35" w:rsidRPr="001E6E9D">
        <w:rPr>
          <w:rFonts w:asciiTheme="minorHAnsi" w:eastAsia="Times New Roman" w:hAnsiTheme="minorHAnsi" w:cstheme="minorHAnsi"/>
          <w:szCs w:val="20"/>
          <w:lang w:eastAsia="pt-BR"/>
        </w:rPr>
        <w:t>“</w:t>
      </w:r>
      <w:r w:rsidRPr="001E6E9D">
        <w:rPr>
          <w:rFonts w:asciiTheme="minorHAnsi" w:eastAsia="Times New Roman" w:hAnsiTheme="minorHAnsi" w:cstheme="minorHAnsi"/>
          <w:b/>
          <w:bCs/>
          <w:szCs w:val="20"/>
          <w:lang w:eastAsia="pt-BR"/>
        </w:rPr>
        <w:t>SRE</w:t>
      </w:r>
      <w:r w:rsidRPr="001E6E9D">
        <w:rPr>
          <w:rFonts w:asciiTheme="minorHAnsi" w:eastAsia="Times New Roman" w:hAnsiTheme="minorHAnsi" w:cstheme="minorHAnsi"/>
          <w:szCs w:val="20"/>
          <w:lang w:eastAsia="pt-BR"/>
        </w:rPr>
        <w:t xml:space="preserve">”) poderá: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deferir o requerimento de modificação da Oferta, conforme aplicável;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reconhecer a ocorrência de modificação da Oferta e tomar as providências cabíveis; ou </w:t>
      </w:r>
      <w:r w:rsidRPr="001E6E9D">
        <w:rPr>
          <w:rFonts w:asciiTheme="minorHAnsi" w:eastAsia="Times New Roman" w:hAnsiTheme="minorHAnsi" w:cstheme="minorHAnsi"/>
          <w:b/>
          <w:bCs/>
          <w:szCs w:val="20"/>
          <w:lang w:eastAsia="pt-BR"/>
        </w:rPr>
        <w:t>(iii)</w:t>
      </w:r>
      <w:r w:rsidRPr="001E6E9D">
        <w:rPr>
          <w:rFonts w:asciiTheme="minorHAnsi" w:eastAsia="Times New Roman" w:hAnsiTheme="minorHAnsi" w:cstheme="minorHAnsi"/>
          <w:szCs w:val="20"/>
          <w:lang w:eastAsia="pt-BR"/>
        </w:rPr>
        <w:t> caso referida alteração acarrete aumento relevante dos riscos inerentes à própria Oferta, deferir o requerimento de revogação da Oferta.</w:t>
      </w:r>
    </w:p>
    <w:p w14:paraId="09D4C13E"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lastRenderedPageBreak/>
        <w:t>Nos termos do artigo 67, parágrafo 2º, da Resolução CVM 160, a modificação de Oferta não depende de aprovação prévia da SRE.</w:t>
      </w:r>
    </w:p>
    <w:p w14:paraId="42060C50"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Nos termos do artigo 67, parágrafo 4º, da Resolução CVM 160, o requerimento de revogação da Oferta deverá ser analisado pela SRE em 10 (dez) Dias Úteis contados da data do protocolo do pleito na CVM, acompanhado de todos os documentos e informações necessários à sua análise, sendo que, após esse período, o requerimento pode ser deferido, indeferido ou podem ser comunicadas exigências a serem atendidas.</w:t>
      </w:r>
    </w:p>
    <w:p w14:paraId="7D133A04"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A SRE deverá conceder igual prazo para atendimento a eventuais exigências formuladas no âmbito de requerimento de revogação da Oferta, devendo deferir ou indeferir o requerimento decorridos 10 (dez) Dias Úteis do protocolo da resposta às exigências comunicadas.</w:t>
      </w:r>
    </w:p>
    <w:p w14:paraId="65A5AD4D"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O requerimento de revogação da Oferta será automaticamente deferido, caso não haja manifestação da SRE nos prazos de que tratam os itens acima.</w:t>
      </w:r>
    </w:p>
    <w:p w14:paraId="1FF65AEF"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 xml:space="preserve">Nos termos do artigo 67, parágrafo 7º, da Resolução CVM 160, em caso de modificação da Oferta, a SRE poderá, por sua própria iniciativa ou a requerimento da Emissora, prorrogar o prazo da Oferta por até 90 (noventa) dias. </w:t>
      </w:r>
    </w:p>
    <w:p w14:paraId="490B553F"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Nos termos do artigo 67, parágrafo 8º, da Resolução CVM 160, é sempre permitida a modificação da Oferta para melhorá-la em favor dos Investidores ou para renúncia à condição da Oferta estabelecida pela Emissora, não sendo necessário requerer junto à SRE tal modificação, sem prejuízo dos dispostos no artigo 67, parágrafo 9º, e do artigo 69, parágrafo 2º, ambos da Resolução CVM 160.</w:t>
      </w:r>
    </w:p>
    <w:p w14:paraId="52D2243B"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 xml:space="preserve">Para fins do disposto acima, o juízo acerca da melhoria decorrente da modificação da Oferta deverá ser feito pelos Coordenadores em conjunto com a Emissora. </w:t>
      </w:r>
    </w:p>
    <w:p w14:paraId="62C4DD2C"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 xml:space="preserve">O não cumprimento de qualquer das Condições Precedentes do Contrato de Distribuição até o registro da Oferta, sem renúncia dos Coordenadores ou não sanado em tempo hábil à formalização do registro da Oferta, pode implicar na exclusão da Garantia Firme, e será tratado como modificação da Oferta. </w:t>
      </w:r>
    </w:p>
    <w:p w14:paraId="3565D6D9" w14:textId="0A72E9E1"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Nos termos do artigo 68 da Resolução CVM 160, a revogação torna ineficazes a Oferta e os atos de aceitação anteriores ou posteriores, devendo ser restituídos integralmente aos aceitantes os valores, bens ou direitos dados em contrapartida às Debêntures ofertadas, na forma e condições previstas nos termos e condições da</w:t>
      </w:r>
      <w:r w:rsidR="009A22ED" w:rsidRPr="001E6E9D">
        <w:rPr>
          <w:rFonts w:asciiTheme="minorHAnsi" w:eastAsia="Times New Roman" w:hAnsiTheme="minorHAnsi" w:cstheme="minorHAnsi"/>
          <w:spacing w:val="-2"/>
          <w:szCs w:val="20"/>
          <w:lang w:eastAsia="pt-BR"/>
        </w:rPr>
        <w:t xml:space="preserve"> </w:t>
      </w:r>
      <w:r w:rsidRPr="001E6E9D">
        <w:rPr>
          <w:rFonts w:asciiTheme="minorHAnsi" w:eastAsia="Times New Roman" w:hAnsiTheme="minorHAnsi" w:cstheme="minorHAnsi"/>
          <w:spacing w:val="-2"/>
          <w:szCs w:val="20"/>
          <w:lang w:eastAsia="pt-BR"/>
        </w:rPr>
        <w:t>Oferta.</w:t>
      </w:r>
    </w:p>
    <w:p w14:paraId="1EF011F5"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A modificação deverá ser divulgada imediatamente por meios ao menos iguais aos utilizados para a divulgação da Oferta e os Coordenadores deve se certificar de que os potenciais Investidores estejam cientes, no momento do recebimento do documento de aceitação da Oferta, de que a Oferta foi alterada e das suas novas condições.</w:t>
      </w:r>
    </w:p>
    <w:p w14:paraId="7AEDB6A6"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 xml:space="preserve">Nos termos do artigo 69, parágrafo 1º, da Resolução CVM 160, em caso de modificação da Oferta, os Investidores que já tiverem aderido à Oferta deverão ser imediatamente comunicados a respeito da modificação efetuada diretamente por correio eletrônico, correspondência física ou qualquer outra forma de comunicação passível de comprovação, para que informem, no prazo mínimo de 5 (cinco) Dias Úteis contados da comunicação, eventual decisão de desistir de sua adesão à Oferta, presumida a manutenção da adesão em caso de silêncio. </w:t>
      </w:r>
    </w:p>
    <w:p w14:paraId="0C84E58F"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Os Investidores Qualificados que revogarem a sua aceitação têm direito à restituição integral dos valores, bens ou direitos dados em contrapartida às Debêntures ofertadas, na forma e condições dos documentos da Oferta e do Prospecto, nos casos em que é exigida a divulgação destes.</w:t>
      </w:r>
    </w:p>
    <w:p w14:paraId="61675E1D" w14:textId="32DB7643"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 xml:space="preserve">Nos termos do artigo 70 da Resolução CVM 160, a SRE: </w:t>
      </w:r>
      <w:r w:rsidRPr="001E6E9D">
        <w:rPr>
          <w:rFonts w:asciiTheme="minorHAnsi" w:eastAsia="Times New Roman" w:hAnsiTheme="minorHAnsi" w:cstheme="minorHAnsi"/>
          <w:b/>
          <w:bCs/>
          <w:spacing w:val="-2"/>
          <w:szCs w:val="20"/>
          <w:lang w:eastAsia="pt-BR"/>
        </w:rPr>
        <w:t>(i)</w:t>
      </w:r>
      <w:r w:rsidRPr="001E6E9D">
        <w:rPr>
          <w:rFonts w:asciiTheme="minorHAnsi" w:eastAsia="Times New Roman" w:hAnsiTheme="minorHAnsi" w:cstheme="minorHAnsi"/>
          <w:spacing w:val="-2"/>
          <w:szCs w:val="20"/>
          <w:lang w:eastAsia="pt-BR"/>
        </w:rPr>
        <w:t xml:space="preserve"> poderá suspender ou cancelar, a qualquer tempo, a Oferta se: </w:t>
      </w:r>
      <w:r w:rsidRPr="001E6E9D">
        <w:rPr>
          <w:rFonts w:asciiTheme="minorHAnsi" w:eastAsia="Times New Roman" w:hAnsiTheme="minorHAnsi" w:cstheme="minorHAnsi"/>
          <w:b/>
          <w:bCs/>
          <w:spacing w:val="-2"/>
          <w:szCs w:val="20"/>
          <w:lang w:eastAsia="pt-BR"/>
        </w:rPr>
        <w:t>(a)</w:t>
      </w:r>
      <w:r w:rsidRPr="001E6E9D">
        <w:rPr>
          <w:rFonts w:asciiTheme="minorHAnsi" w:eastAsia="Times New Roman" w:hAnsiTheme="minorHAnsi" w:cstheme="minorHAnsi"/>
          <w:spacing w:val="-2"/>
          <w:szCs w:val="20"/>
          <w:lang w:eastAsia="pt-BR"/>
        </w:rPr>
        <w:t xml:space="preserve"> estiver se processando em condições diversas das constantes da Resolução CVM 160 ou do registro da Oferta; </w:t>
      </w:r>
      <w:r w:rsidRPr="001E6E9D">
        <w:rPr>
          <w:rFonts w:asciiTheme="minorHAnsi" w:eastAsia="Times New Roman" w:hAnsiTheme="minorHAnsi" w:cstheme="minorHAnsi"/>
          <w:b/>
          <w:bCs/>
          <w:spacing w:val="-2"/>
          <w:szCs w:val="20"/>
          <w:lang w:eastAsia="pt-BR"/>
        </w:rPr>
        <w:t>(b)</w:t>
      </w:r>
      <w:r w:rsidRPr="001E6E9D">
        <w:rPr>
          <w:rFonts w:asciiTheme="minorHAnsi" w:eastAsia="Times New Roman" w:hAnsiTheme="minorHAnsi" w:cstheme="minorHAnsi"/>
          <w:spacing w:val="-2"/>
          <w:szCs w:val="20"/>
          <w:lang w:eastAsia="pt-BR"/>
        </w:rPr>
        <w:t xml:space="preserve"> esteja sendo intermediada por coordenador que esteja com registro suspenso ou cancelado, conforme a regulamentação que dispõe sobre coordenadores de ofertas públicas de distribuição de valores mobiliários, em especial a Resolução da CVM </w:t>
      </w:r>
      <w:r w:rsidR="000D5E35" w:rsidRPr="001E6E9D">
        <w:rPr>
          <w:rFonts w:asciiTheme="minorHAnsi" w:eastAsia="Times New Roman" w:hAnsiTheme="minorHAnsi" w:cstheme="minorHAnsi"/>
          <w:spacing w:val="-2"/>
          <w:szCs w:val="20"/>
          <w:lang w:eastAsia="pt-BR"/>
        </w:rPr>
        <w:t>nº</w:t>
      </w:r>
      <w:r w:rsidRPr="001E6E9D">
        <w:rPr>
          <w:rFonts w:asciiTheme="minorHAnsi" w:eastAsia="Times New Roman" w:hAnsiTheme="minorHAnsi" w:cstheme="minorHAnsi"/>
          <w:spacing w:val="-2"/>
          <w:szCs w:val="20"/>
          <w:lang w:eastAsia="pt-BR"/>
        </w:rPr>
        <w:t xml:space="preserve"> 161</w:t>
      </w:r>
      <w:r w:rsidR="00DD4B42" w:rsidRPr="001E6E9D">
        <w:rPr>
          <w:rFonts w:asciiTheme="minorHAnsi" w:eastAsia="Times New Roman" w:hAnsiTheme="minorHAnsi" w:cstheme="minorHAnsi"/>
          <w:spacing w:val="-2"/>
          <w:szCs w:val="20"/>
          <w:lang w:eastAsia="pt-BR"/>
        </w:rPr>
        <w:t>,</w:t>
      </w:r>
      <w:r w:rsidRPr="001E6E9D">
        <w:rPr>
          <w:rFonts w:asciiTheme="minorHAnsi" w:eastAsia="Times New Roman" w:hAnsiTheme="minorHAnsi" w:cstheme="minorHAnsi"/>
          <w:spacing w:val="-2"/>
          <w:szCs w:val="20"/>
          <w:lang w:eastAsia="pt-BR"/>
        </w:rPr>
        <w:t xml:space="preserve"> de 13 de julho de 2022, conforme em vigor</w:t>
      </w:r>
      <w:r w:rsidR="00DD4B42" w:rsidRPr="001E6E9D">
        <w:rPr>
          <w:rFonts w:asciiTheme="minorHAnsi" w:eastAsia="Times New Roman" w:hAnsiTheme="minorHAnsi" w:cstheme="minorHAnsi"/>
          <w:spacing w:val="-2"/>
          <w:szCs w:val="20"/>
          <w:lang w:eastAsia="pt-BR"/>
        </w:rPr>
        <w:t xml:space="preserve"> (</w:t>
      </w:r>
      <w:r w:rsidR="000D5E35" w:rsidRPr="001E6E9D">
        <w:rPr>
          <w:rFonts w:asciiTheme="minorHAnsi" w:eastAsia="Times New Roman" w:hAnsiTheme="minorHAnsi" w:cstheme="minorHAnsi"/>
          <w:spacing w:val="-2"/>
          <w:szCs w:val="20"/>
          <w:lang w:eastAsia="pt-BR"/>
        </w:rPr>
        <w:t>“</w:t>
      </w:r>
      <w:r w:rsidR="00DD4B42" w:rsidRPr="001E6E9D">
        <w:rPr>
          <w:rFonts w:asciiTheme="minorHAnsi" w:eastAsia="Times New Roman" w:hAnsiTheme="minorHAnsi" w:cstheme="minorHAnsi"/>
          <w:b/>
          <w:bCs/>
          <w:spacing w:val="-2"/>
          <w:szCs w:val="20"/>
          <w:lang w:eastAsia="pt-BR"/>
        </w:rPr>
        <w:t>Resolução CVM 161</w:t>
      </w:r>
      <w:r w:rsidR="00DD4B42" w:rsidRPr="001E6E9D">
        <w:rPr>
          <w:rFonts w:asciiTheme="minorHAnsi" w:eastAsia="Times New Roman" w:hAnsiTheme="minorHAnsi" w:cstheme="minorHAnsi"/>
          <w:spacing w:val="-2"/>
          <w:szCs w:val="20"/>
          <w:lang w:eastAsia="pt-BR"/>
        </w:rPr>
        <w:t>”)</w:t>
      </w:r>
      <w:r w:rsidRPr="001E6E9D">
        <w:rPr>
          <w:rFonts w:asciiTheme="minorHAnsi" w:eastAsia="Times New Roman" w:hAnsiTheme="minorHAnsi" w:cstheme="minorHAnsi"/>
          <w:spacing w:val="-2"/>
          <w:szCs w:val="20"/>
          <w:lang w:eastAsia="pt-BR"/>
        </w:rPr>
        <w:t xml:space="preserve">; ou </w:t>
      </w:r>
      <w:r w:rsidRPr="001E6E9D">
        <w:rPr>
          <w:rFonts w:asciiTheme="minorHAnsi" w:eastAsia="Times New Roman" w:hAnsiTheme="minorHAnsi" w:cstheme="minorHAnsi"/>
          <w:b/>
          <w:bCs/>
          <w:spacing w:val="-2"/>
          <w:szCs w:val="20"/>
          <w:lang w:eastAsia="pt-BR"/>
        </w:rPr>
        <w:t>(c)</w:t>
      </w:r>
      <w:r w:rsidR="00AB5AE2">
        <w:rPr>
          <w:rFonts w:asciiTheme="minorHAnsi" w:eastAsia="Times New Roman" w:hAnsiTheme="minorHAnsi" w:cstheme="minorHAnsi"/>
          <w:spacing w:val="-2"/>
          <w:szCs w:val="20"/>
          <w:lang w:eastAsia="pt-BR"/>
        </w:rPr>
        <w:t> </w:t>
      </w:r>
      <w:r w:rsidRPr="001E6E9D">
        <w:rPr>
          <w:rFonts w:asciiTheme="minorHAnsi" w:eastAsia="Times New Roman" w:hAnsiTheme="minorHAnsi" w:cstheme="minorHAnsi"/>
          <w:spacing w:val="-2"/>
          <w:szCs w:val="20"/>
          <w:lang w:eastAsia="pt-BR"/>
        </w:rPr>
        <w:t xml:space="preserve">tenha sido havida por ilegal, contrária à regulamentação da CVM ou fraudulenta, ainda que após obtido o respectivo registro; e </w:t>
      </w:r>
      <w:r w:rsidRPr="001E6E9D">
        <w:rPr>
          <w:rFonts w:asciiTheme="minorHAnsi" w:eastAsia="Times New Roman" w:hAnsiTheme="minorHAnsi" w:cstheme="minorHAnsi"/>
          <w:b/>
          <w:bCs/>
          <w:spacing w:val="-2"/>
          <w:szCs w:val="20"/>
          <w:lang w:eastAsia="pt-BR"/>
        </w:rPr>
        <w:t>(ii)</w:t>
      </w:r>
      <w:r w:rsidRPr="001E6E9D">
        <w:rPr>
          <w:rFonts w:asciiTheme="minorHAnsi" w:eastAsia="Times New Roman" w:hAnsiTheme="minorHAnsi" w:cstheme="minorHAnsi"/>
          <w:spacing w:val="-2"/>
          <w:szCs w:val="20"/>
          <w:lang w:eastAsia="pt-BR"/>
        </w:rPr>
        <w:t xml:space="preserve"> deverá suspender a Oferta quando verificar ilegalidade ou violação de regulamento sanáveis. O prazo de suspensão da Oferta não poderá ser superior a 30 (trinta) dias, durante o qual a irregularidade apontada deverá ser sanada. Findo tal prazo sem que tenham sido sanados os vícios que determinaram a suspensão, a SRE deverá ordenar a retirada da Oferta e cancelar o respectivo registro ou indeferir o requerimento de registro caso este ainda não tenha sido</w:t>
      </w:r>
      <w:r w:rsidR="0021324D" w:rsidRPr="001E6E9D">
        <w:rPr>
          <w:rFonts w:asciiTheme="minorHAnsi" w:eastAsia="Times New Roman" w:hAnsiTheme="minorHAnsi" w:cstheme="minorHAnsi"/>
          <w:spacing w:val="-2"/>
          <w:szCs w:val="20"/>
          <w:lang w:eastAsia="pt-BR"/>
        </w:rPr>
        <w:t xml:space="preserve"> </w:t>
      </w:r>
      <w:r w:rsidRPr="001E6E9D">
        <w:rPr>
          <w:rFonts w:asciiTheme="minorHAnsi" w:eastAsia="Times New Roman" w:hAnsiTheme="minorHAnsi" w:cstheme="minorHAnsi"/>
          <w:spacing w:val="-2"/>
          <w:szCs w:val="20"/>
          <w:lang w:eastAsia="pt-BR"/>
        </w:rPr>
        <w:t>concedido.</w:t>
      </w:r>
    </w:p>
    <w:p w14:paraId="55925D18" w14:textId="77777777" w:rsidR="003468A1" w:rsidRPr="001E6E9D" w:rsidRDefault="0053704D" w:rsidP="001F7A69">
      <w:pPr>
        <w:tabs>
          <w:tab w:val="left" w:pos="851"/>
        </w:tabs>
        <w:autoSpaceDE w:val="0"/>
        <w:autoSpaceDN w:val="0"/>
        <w:spacing w:after="140"/>
        <w:rPr>
          <w:rFonts w:asciiTheme="minorHAnsi" w:eastAsia="Times New Roman" w:hAnsiTheme="minorHAnsi" w:cstheme="minorHAnsi"/>
          <w:spacing w:val="-2"/>
          <w:szCs w:val="20"/>
          <w:lang w:eastAsia="pt-BR"/>
        </w:rPr>
      </w:pPr>
      <w:r w:rsidRPr="001E6E9D">
        <w:rPr>
          <w:rFonts w:asciiTheme="minorHAnsi" w:eastAsia="Times New Roman" w:hAnsiTheme="minorHAnsi" w:cstheme="minorHAnsi"/>
          <w:spacing w:val="-2"/>
          <w:szCs w:val="20"/>
          <w:lang w:eastAsia="pt-BR"/>
        </w:rPr>
        <w:t>Nos termos do artigo 71 da Resolução CVM 160, a Emissora deve divulgar imediatamente, por meios ao menos iguais aos utilizados para a divulgação da Oferta, comunicado ao mercado informando sobre a suspensão ou o cancelamento, bem como dar conhecimento de tais eventos aos Investidores que já tenham aceitado a Oferta diretamente por correio eletrônico, correspondência física ou qualquer outra forma de comunicação passível de comprovação, para que, na hipótese de suspensão, informem, no prazo mínimo de 5 (cinco) Dias Úteis contados da comunicação, eventual decisão de desistir da Oferta.</w:t>
      </w:r>
    </w:p>
    <w:p w14:paraId="6B0A4466" w14:textId="77777777" w:rsidR="003468A1" w:rsidRPr="001E6E9D" w:rsidRDefault="0053704D" w:rsidP="00DC7081">
      <w:pPr>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lastRenderedPageBreak/>
        <w:t xml:space="preserve">Em caso de: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cancelamento ou revogação da Oferta; ou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caso o Investidor revogue sua aceitação, na hipótese de suspensão; e, em ambos os casos, se o Investidor já tiver efetuado o pagamento do Preço de Integralização, referido Preço de Integralização será restituído integralmente, sem juros ou correção monetária, sem reembolso e com dedução dos valores relativos aos tributos e encargos incidentes, se existentes, no prazo de 5 (cinco) Dias Úteis contados da data do cancelamento revogação da Oferta, conforme o caso.</w:t>
      </w:r>
    </w:p>
    <w:p w14:paraId="03EEDF5D" w14:textId="7D3B531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Na hipótese de suspensão, cancelamento, modificação ou revogação da Oferta, o cronograma poderá ser alterado, para mais informações sobre manifestação de aceitação à Oferta, manifestação de revogação da aceitação à Oferta, modificação da Oferta, suspensão da Oferta e cancelamento ou revogação da Oferta, e a respeito de prazo, termos, condições e forma para devolução e reembolso de valores dados em contrapartida das Debêntures, vide </w:t>
      </w:r>
      <w:r w:rsidRPr="001E6E9D">
        <w:rPr>
          <w:rFonts w:asciiTheme="minorHAnsi" w:eastAsia="Times New Roman" w:hAnsiTheme="minorHAnsi" w:cstheme="minorHAnsi"/>
          <w:szCs w:val="20"/>
          <w:u w:val="single"/>
          <w:lang w:eastAsia="pt-BR"/>
        </w:rPr>
        <w:t>seção 6</w:t>
      </w:r>
      <w:r w:rsidRPr="001E6E9D">
        <w:rPr>
          <w:rFonts w:asciiTheme="minorHAnsi" w:eastAsia="Times New Roman" w:hAnsiTheme="minorHAnsi" w:cstheme="minorHAnsi"/>
          <w:szCs w:val="20"/>
          <w:lang w:eastAsia="pt-BR"/>
        </w:rPr>
        <w:t xml:space="preserve"> deste Prospecto, nas páginas </w:t>
      </w:r>
      <w:r w:rsidR="00CB28AC" w:rsidRPr="001E6E9D">
        <w:rPr>
          <w:rFonts w:asciiTheme="minorHAnsi" w:eastAsiaTheme="majorEastAsia" w:hAnsiTheme="minorHAnsi" w:cstheme="minorHAnsi"/>
          <w:bCs/>
          <w:iCs/>
          <w:szCs w:val="20"/>
          <w:lang w:eastAsia="pt-BR"/>
        </w:rPr>
        <w:fldChar w:fldCharType="begin"/>
      </w:r>
      <w:r w:rsidR="00CB28AC" w:rsidRPr="001E6E9D">
        <w:rPr>
          <w:rFonts w:asciiTheme="minorHAnsi" w:eastAsia="Times New Roman" w:hAnsiTheme="minorHAnsi" w:cstheme="minorHAnsi"/>
          <w:szCs w:val="20"/>
          <w:lang w:eastAsia="pt-BR"/>
        </w:rPr>
        <w:instrText xml:space="preserve"> PAGEREF _Ref158845006 \h </w:instrText>
      </w:r>
      <w:r w:rsidR="00CB28AC" w:rsidRPr="001E6E9D">
        <w:rPr>
          <w:rFonts w:asciiTheme="minorHAnsi" w:eastAsiaTheme="majorEastAsia" w:hAnsiTheme="minorHAnsi" w:cstheme="minorHAnsi"/>
          <w:bCs/>
          <w:iCs/>
          <w:szCs w:val="20"/>
          <w:lang w:eastAsia="pt-BR"/>
        </w:rPr>
      </w:r>
      <w:r w:rsidR="00CB28AC" w:rsidRPr="001E6E9D">
        <w:rPr>
          <w:rFonts w:asciiTheme="minorHAnsi" w:eastAsiaTheme="majorEastAsia" w:hAnsiTheme="minorHAnsi" w:cstheme="minorHAnsi"/>
          <w:bCs/>
          <w:iCs/>
          <w:szCs w:val="20"/>
          <w:lang w:eastAsia="pt-BR"/>
        </w:rPr>
        <w:fldChar w:fldCharType="separate"/>
      </w:r>
      <w:r w:rsidR="00720666">
        <w:rPr>
          <w:rFonts w:asciiTheme="minorHAnsi" w:eastAsia="Times New Roman" w:hAnsiTheme="minorHAnsi" w:cstheme="minorHAnsi"/>
          <w:noProof/>
          <w:szCs w:val="20"/>
          <w:lang w:eastAsia="pt-BR"/>
        </w:rPr>
        <w:t>61</w:t>
      </w:r>
      <w:r w:rsidR="00CB28AC" w:rsidRPr="001E6E9D">
        <w:rPr>
          <w:rFonts w:asciiTheme="minorHAnsi" w:eastAsiaTheme="majorEastAsia" w:hAnsiTheme="minorHAnsi" w:cstheme="minorHAnsi"/>
          <w:bCs/>
          <w:iCs/>
          <w:szCs w:val="20"/>
          <w:lang w:eastAsia="pt-BR"/>
        </w:rPr>
        <w:fldChar w:fldCharType="end"/>
      </w:r>
      <w:r w:rsidRPr="001E6E9D" w:rsidDel="00492D13">
        <w:rPr>
          <w:rFonts w:asciiTheme="minorHAnsi" w:eastAsia="Times New Roman" w:hAnsiTheme="minorHAnsi" w:cstheme="minorHAnsi"/>
          <w:szCs w:val="20"/>
          <w:lang w:eastAsia="pt-BR"/>
        </w:rPr>
        <w:t xml:space="preserve"> </w:t>
      </w:r>
      <w:r w:rsidRPr="001E6E9D">
        <w:rPr>
          <w:rFonts w:asciiTheme="minorHAnsi" w:eastAsia="Times New Roman" w:hAnsiTheme="minorHAnsi" w:cstheme="minorHAnsi"/>
          <w:szCs w:val="20"/>
          <w:lang w:eastAsia="pt-BR"/>
        </w:rPr>
        <w:t xml:space="preserve">e </w:t>
      </w:r>
      <w:r w:rsidR="00CB28AC" w:rsidRPr="001E6E9D">
        <w:rPr>
          <w:rFonts w:asciiTheme="minorHAnsi" w:eastAsiaTheme="majorEastAsia" w:hAnsiTheme="minorHAnsi" w:cstheme="minorHAnsi"/>
          <w:bCs/>
          <w:iCs/>
          <w:szCs w:val="20"/>
          <w:lang w:eastAsia="pt-BR"/>
        </w:rPr>
        <w:fldChar w:fldCharType="begin"/>
      </w:r>
      <w:r w:rsidR="00CB28AC" w:rsidRPr="001E6E9D">
        <w:rPr>
          <w:rFonts w:asciiTheme="minorHAnsi" w:eastAsia="Times New Roman" w:hAnsiTheme="minorHAnsi" w:cstheme="minorHAnsi"/>
          <w:szCs w:val="20"/>
          <w:lang w:eastAsia="pt-BR"/>
        </w:rPr>
        <w:instrText xml:space="preserve"> PAGEREF _Ref182358723 \h </w:instrText>
      </w:r>
      <w:r w:rsidR="00CB28AC" w:rsidRPr="001E6E9D">
        <w:rPr>
          <w:rFonts w:asciiTheme="minorHAnsi" w:eastAsiaTheme="majorEastAsia" w:hAnsiTheme="minorHAnsi" w:cstheme="minorHAnsi"/>
          <w:bCs/>
          <w:iCs/>
          <w:szCs w:val="20"/>
          <w:lang w:eastAsia="pt-BR"/>
        </w:rPr>
      </w:r>
      <w:r w:rsidR="00CB28AC" w:rsidRPr="001E6E9D">
        <w:rPr>
          <w:rFonts w:asciiTheme="minorHAnsi" w:eastAsiaTheme="majorEastAsia" w:hAnsiTheme="minorHAnsi" w:cstheme="minorHAnsi"/>
          <w:bCs/>
          <w:iCs/>
          <w:szCs w:val="20"/>
          <w:lang w:eastAsia="pt-BR"/>
        </w:rPr>
        <w:fldChar w:fldCharType="separate"/>
      </w:r>
      <w:r w:rsidR="00720666">
        <w:rPr>
          <w:rFonts w:asciiTheme="minorHAnsi" w:eastAsia="Times New Roman" w:hAnsiTheme="minorHAnsi" w:cstheme="minorHAnsi"/>
          <w:noProof/>
          <w:szCs w:val="20"/>
          <w:lang w:eastAsia="pt-BR"/>
        </w:rPr>
        <w:t>62</w:t>
      </w:r>
      <w:r w:rsidR="00CB28AC" w:rsidRPr="001E6E9D">
        <w:rPr>
          <w:rFonts w:asciiTheme="minorHAnsi" w:eastAsiaTheme="majorEastAsia" w:hAnsiTheme="minorHAnsi" w:cstheme="minorHAnsi"/>
          <w:bCs/>
          <w:iCs/>
          <w:szCs w:val="20"/>
          <w:lang w:eastAsia="pt-BR"/>
        </w:rPr>
        <w:fldChar w:fldCharType="end"/>
      </w:r>
      <w:r w:rsidRPr="001E6E9D">
        <w:rPr>
          <w:rFonts w:asciiTheme="minorHAnsi" w:eastAsia="Times New Roman" w:hAnsiTheme="minorHAnsi" w:cstheme="minorHAnsi"/>
          <w:szCs w:val="20"/>
          <w:lang w:eastAsia="pt-BR"/>
        </w:rPr>
        <w:t>.</w:t>
      </w:r>
    </w:p>
    <w:p w14:paraId="7DFBB23F"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Na hipótese de alteração das circunstâncias, modificação ou revogação da Oferta, o cronograma acima será alterado. Quaisquer comunicados ao mercado relativos a tais eventos relacionados à Oferta serão publicados e divulgados nos termos do artigo 13 da Resolução CVM 160, nas páginas da rede mundial de computadores da Emissora, dos Coordenadores, da CVM e da B3, nos endereços abaixo indicados: </w:t>
      </w:r>
    </w:p>
    <w:p w14:paraId="6C1B9D54" w14:textId="150BD454" w:rsidR="0044460A" w:rsidRPr="001E6E9D" w:rsidRDefault="0044460A" w:rsidP="00DC7081">
      <w:pPr>
        <w:rPr>
          <w:rFonts w:asciiTheme="minorHAnsi" w:eastAsia="Times New Roman" w:hAnsiTheme="minorHAnsi" w:cstheme="minorHAnsi"/>
          <w:b/>
          <w:noProof/>
          <w:szCs w:val="20"/>
        </w:rPr>
      </w:pPr>
      <w:r w:rsidRPr="001E6E9D">
        <w:rPr>
          <w:rFonts w:asciiTheme="minorHAnsi" w:eastAsia="Times New Roman" w:hAnsiTheme="minorHAnsi" w:cstheme="minorHAnsi"/>
          <w:b/>
          <w:noProof/>
          <w:szCs w:val="20"/>
        </w:rPr>
        <w:t>Emissora:</w:t>
      </w:r>
    </w:p>
    <w:p w14:paraId="7A6F95AD" w14:textId="4D118C7B" w:rsidR="0044460A" w:rsidRPr="001E6E9D" w:rsidRDefault="003E4134" w:rsidP="00DC7081">
      <w:pPr>
        <w:rPr>
          <w:rFonts w:asciiTheme="minorHAnsi" w:eastAsia="Times New Roman" w:hAnsiTheme="minorHAnsi" w:cstheme="minorHAnsi"/>
          <w:noProof/>
          <w:szCs w:val="20"/>
        </w:rPr>
      </w:pPr>
      <w:r w:rsidRPr="001E6E9D">
        <w:rPr>
          <w:rFonts w:asciiTheme="minorHAnsi" w:eastAsia="Times New Roman" w:hAnsiTheme="minorHAnsi" w:cstheme="minorHAnsi"/>
          <w:noProof/>
          <w:szCs w:val="20"/>
        </w:rPr>
        <w:t xml:space="preserve">https://www. faroenergy.com/debentureincentivada (neste </w:t>
      </w:r>
      <w:r w:rsidRPr="001E6E9D">
        <w:rPr>
          <w:rFonts w:asciiTheme="minorHAnsi" w:eastAsia="Times New Roman" w:hAnsiTheme="minorHAnsi" w:cstheme="minorHAnsi"/>
          <w:i/>
          <w:iCs/>
          <w:noProof/>
          <w:szCs w:val="20"/>
        </w:rPr>
        <w:t>website</w:t>
      </w:r>
      <w:r w:rsidRPr="001E6E9D">
        <w:rPr>
          <w:rFonts w:asciiTheme="minorHAnsi" w:eastAsia="Times New Roman" w:hAnsiTheme="minorHAnsi" w:cstheme="minorHAnsi"/>
          <w:noProof/>
          <w:szCs w:val="20"/>
        </w:rPr>
        <w:t xml:space="preserve">, localizar o documento desejado). </w:t>
      </w:r>
    </w:p>
    <w:p w14:paraId="25CDF8EC" w14:textId="45BF0C95" w:rsidR="0044460A" w:rsidRPr="001E6E9D" w:rsidRDefault="0044460A" w:rsidP="00DC7081">
      <w:pPr>
        <w:rPr>
          <w:rFonts w:asciiTheme="minorHAnsi" w:eastAsia="Times New Roman" w:hAnsiTheme="minorHAnsi" w:cstheme="minorHAnsi"/>
          <w:b/>
          <w:noProof/>
          <w:szCs w:val="20"/>
        </w:rPr>
      </w:pPr>
      <w:bookmarkStart w:id="170" w:name="_Hlk134519778"/>
      <w:r w:rsidRPr="001E6E9D">
        <w:rPr>
          <w:rFonts w:asciiTheme="minorHAnsi" w:eastAsia="Times New Roman" w:hAnsiTheme="minorHAnsi" w:cstheme="minorHAnsi"/>
          <w:b/>
          <w:noProof/>
          <w:szCs w:val="20"/>
        </w:rPr>
        <w:t>Coordenador Líder:</w:t>
      </w:r>
    </w:p>
    <w:p w14:paraId="69D33EF0" w14:textId="741D4EE3" w:rsidR="0044460A" w:rsidRPr="001E6E9D" w:rsidRDefault="00D83F18" w:rsidP="00DC7081">
      <w:pPr>
        <w:rPr>
          <w:rFonts w:asciiTheme="minorHAnsi" w:eastAsia="Times New Roman" w:hAnsiTheme="minorHAnsi" w:cstheme="minorHAnsi"/>
          <w:noProof/>
          <w:szCs w:val="20"/>
        </w:rPr>
      </w:pPr>
      <w:bookmarkStart w:id="171" w:name="OLE_LINK1"/>
      <w:r w:rsidRPr="001E6E9D">
        <w:rPr>
          <w:rFonts w:asciiTheme="minorHAnsi" w:eastAsia="Times New Roman" w:hAnsiTheme="minorHAnsi" w:cstheme="minorHAnsi"/>
          <w:noProof/>
          <w:szCs w:val="20"/>
        </w:rPr>
        <w:t>https://www.itau.com.br/itaubba-pt/nossos-negocios/ofertas-publicas/ (neste website, clicar em ver mais, e então localizar “Faro Energy Projetos Solares Holding IV S.A.”, e então, na seção “2024” e “Debêntures Faro”, clicar no documento desejado).</w:t>
      </w:r>
      <w:bookmarkEnd w:id="171"/>
    </w:p>
    <w:p w14:paraId="4627BF76" w14:textId="486F203E" w:rsidR="0044460A" w:rsidRPr="001E6E9D" w:rsidRDefault="0044460A" w:rsidP="00DC7081">
      <w:pPr>
        <w:rPr>
          <w:rFonts w:asciiTheme="minorHAnsi" w:eastAsia="Times New Roman" w:hAnsiTheme="minorHAnsi" w:cstheme="minorHAnsi"/>
          <w:b/>
          <w:noProof/>
          <w:szCs w:val="20"/>
        </w:rPr>
      </w:pPr>
      <w:r w:rsidRPr="001E6E9D">
        <w:rPr>
          <w:rFonts w:asciiTheme="minorHAnsi" w:eastAsia="Times New Roman" w:hAnsiTheme="minorHAnsi" w:cstheme="minorHAnsi"/>
          <w:b/>
          <w:noProof/>
          <w:szCs w:val="20"/>
        </w:rPr>
        <w:t>BTG Pactual:</w:t>
      </w:r>
    </w:p>
    <w:p w14:paraId="1B0524F9" w14:textId="2D2C7440" w:rsidR="0044460A" w:rsidRPr="001E6E9D" w:rsidRDefault="00D83F18" w:rsidP="00DC7081">
      <w:pPr>
        <w:rPr>
          <w:rFonts w:asciiTheme="minorHAnsi" w:eastAsia="Times New Roman" w:hAnsiTheme="minorHAnsi" w:cstheme="minorHAnsi"/>
          <w:noProof/>
          <w:szCs w:val="20"/>
        </w:rPr>
      </w:pPr>
      <w:r w:rsidRPr="001E6E9D">
        <w:rPr>
          <w:rFonts w:asciiTheme="minorHAnsi" w:eastAsia="Times New Roman" w:hAnsiTheme="minorHAnsi" w:cstheme="minorHAnsi"/>
          <w:noProof/>
          <w:szCs w:val="20"/>
        </w:rPr>
        <w:t>https://www.btgpactual.com/investment-banking (neste website, clicar em “Mercado de Capitais - Download”, depois clicar em “2024”, procurar por “Debêntures - Faro Energy Projetos Solares Holding IV S.A.” e localizar o documento desejado).</w:t>
      </w:r>
    </w:p>
    <w:p w14:paraId="682268C8" w14:textId="77777777" w:rsidR="0044460A" w:rsidRPr="001E6E9D" w:rsidRDefault="0044460A" w:rsidP="00DC7081">
      <w:pPr>
        <w:rPr>
          <w:rFonts w:asciiTheme="minorHAnsi" w:eastAsia="Times New Roman" w:hAnsiTheme="minorHAnsi" w:cstheme="minorHAnsi"/>
          <w:b/>
          <w:noProof/>
          <w:szCs w:val="20"/>
        </w:rPr>
      </w:pPr>
      <w:r w:rsidRPr="001E6E9D">
        <w:rPr>
          <w:rFonts w:asciiTheme="minorHAnsi" w:eastAsia="Times New Roman" w:hAnsiTheme="minorHAnsi" w:cstheme="minorHAnsi"/>
          <w:b/>
          <w:noProof/>
          <w:szCs w:val="20"/>
        </w:rPr>
        <w:t xml:space="preserve">CVM: </w:t>
      </w:r>
    </w:p>
    <w:p w14:paraId="0B1ABA91" w14:textId="6087C90C" w:rsidR="0044460A" w:rsidRPr="001E6E9D" w:rsidRDefault="0044460A" w:rsidP="00DC7081">
      <w:pPr>
        <w:rPr>
          <w:rFonts w:asciiTheme="minorHAnsi" w:eastAsia="Times New Roman" w:hAnsiTheme="minorHAnsi" w:cstheme="minorHAnsi"/>
          <w:noProof/>
          <w:szCs w:val="20"/>
        </w:rPr>
      </w:pPr>
      <w:hyperlink r:id="rId22" w:history="1">
        <w:r w:rsidRPr="001E6E9D">
          <w:rPr>
            <w:rFonts w:asciiTheme="minorHAnsi" w:eastAsia="Times New Roman" w:hAnsiTheme="minorHAnsi" w:cstheme="minorHAnsi"/>
            <w:noProof/>
            <w:szCs w:val="20"/>
          </w:rPr>
          <w:t>https://www.gov.br/cvm/pt-br</w:t>
        </w:r>
      </w:hyperlink>
      <w:r w:rsidRPr="001E6E9D">
        <w:rPr>
          <w:rFonts w:asciiTheme="minorHAnsi" w:eastAsia="Times New Roman" w:hAnsiTheme="minorHAnsi" w:cstheme="minorHAnsi"/>
          <w:noProof/>
          <w:szCs w:val="20"/>
        </w:rPr>
        <w:t xml:space="preserve"> (em tal página, no campo </w:t>
      </w:r>
      <w:r w:rsidR="000D5E35" w:rsidRPr="001E6E9D">
        <w:rPr>
          <w:rFonts w:asciiTheme="minorHAnsi" w:eastAsia="Times New Roman" w:hAnsiTheme="minorHAnsi" w:cstheme="minorHAnsi"/>
          <w:noProof/>
          <w:szCs w:val="20"/>
        </w:rPr>
        <w:t>“</w:t>
      </w:r>
      <w:r w:rsidRPr="001E6E9D">
        <w:rPr>
          <w:rFonts w:asciiTheme="minorHAnsi" w:eastAsia="Times New Roman" w:hAnsiTheme="minorHAnsi" w:cstheme="minorHAnsi"/>
          <w:noProof/>
          <w:szCs w:val="20"/>
        </w:rPr>
        <w:t xml:space="preserve">Principais Consultas”, acessar </w:t>
      </w:r>
      <w:r w:rsidR="000D5E35" w:rsidRPr="001E6E9D">
        <w:rPr>
          <w:rFonts w:asciiTheme="minorHAnsi" w:eastAsia="Times New Roman" w:hAnsiTheme="minorHAnsi" w:cstheme="minorHAnsi"/>
          <w:noProof/>
          <w:szCs w:val="20"/>
        </w:rPr>
        <w:t>“</w:t>
      </w:r>
      <w:r w:rsidRPr="001E6E9D">
        <w:rPr>
          <w:rFonts w:asciiTheme="minorHAnsi" w:eastAsia="Times New Roman" w:hAnsiTheme="minorHAnsi" w:cstheme="minorHAnsi"/>
          <w:noProof/>
          <w:szCs w:val="20"/>
        </w:rPr>
        <w:t xml:space="preserve">Ofertas Públicas”, em seguida, acessar </w:t>
      </w:r>
      <w:r w:rsidR="000D5E35" w:rsidRPr="001E6E9D">
        <w:rPr>
          <w:rFonts w:asciiTheme="minorHAnsi" w:eastAsia="Times New Roman" w:hAnsiTheme="minorHAnsi" w:cstheme="minorHAnsi"/>
          <w:noProof/>
          <w:szCs w:val="20"/>
        </w:rPr>
        <w:t>“</w:t>
      </w:r>
      <w:r w:rsidRPr="001E6E9D">
        <w:rPr>
          <w:rFonts w:asciiTheme="minorHAnsi" w:eastAsia="Times New Roman" w:hAnsiTheme="minorHAnsi" w:cstheme="minorHAnsi"/>
          <w:noProof/>
          <w:szCs w:val="20"/>
        </w:rPr>
        <w:t xml:space="preserve">Ofertas Públicas de Distribuição”, então, clicar em </w:t>
      </w:r>
      <w:r w:rsidR="000D5E35" w:rsidRPr="001E6E9D">
        <w:rPr>
          <w:rFonts w:asciiTheme="minorHAnsi" w:eastAsia="Times New Roman" w:hAnsiTheme="minorHAnsi" w:cstheme="minorHAnsi"/>
          <w:noProof/>
          <w:szCs w:val="20"/>
        </w:rPr>
        <w:t>“</w:t>
      </w:r>
      <w:r w:rsidRPr="001E6E9D">
        <w:rPr>
          <w:rFonts w:asciiTheme="minorHAnsi" w:eastAsia="Times New Roman" w:hAnsiTheme="minorHAnsi" w:cstheme="minorHAnsi"/>
          <w:noProof/>
          <w:szCs w:val="20"/>
        </w:rPr>
        <w:t xml:space="preserve">Ofertas Registradas”, selecionar o ano </w:t>
      </w:r>
      <w:r w:rsidR="000D5E35" w:rsidRPr="001E6E9D">
        <w:rPr>
          <w:rFonts w:asciiTheme="minorHAnsi" w:eastAsia="Times New Roman" w:hAnsiTheme="minorHAnsi" w:cstheme="minorHAnsi"/>
          <w:noProof/>
          <w:szCs w:val="20"/>
        </w:rPr>
        <w:t>“</w:t>
      </w:r>
      <w:r w:rsidRPr="001E6E9D">
        <w:rPr>
          <w:rFonts w:asciiTheme="minorHAnsi" w:eastAsia="Times New Roman" w:hAnsiTheme="minorHAnsi" w:cstheme="minorHAnsi"/>
          <w:noProof/>
          <w:szCs w:val="20"/>
        </w:rPr>
        <w:t xml:space="preserve">2024”, clicar na linha </w:t>
      </w:r>
      <w:r w:rsidR="000D5E35" w:rsidRPr="001E6E9D">
        <w:rPr>
          <w:rFonts w:asciiTheme="minorHAnsi" w:eastAsia="Times New Roman" w:hAnsiTheme="minorHAnsi" w:cstheme="minorHAnsi"/>
          <w:noProof/>
          <w:szCs w:val="20"/>
        </w:rPr>
        <w:t>“</w:t>
      </w:r>
      <w:r w:rsidRPr="001E6E9D">
        <w:rPr>
          <w:rFonts w:asciiTheme="minorHAnsi" w:eastAsia="Times New Roman" w:hAnsiTheme="minorHAnsi" w:cstheme="minorHAnsi"/>
          <w:noProof/>
          <w:szCs w:val="20"/>
        </w:rPr>
        <w:t xml:space="preserve">Debêntures” e </w:t>
      </w:r>
      <w:r w:rsidR="000D5E35" w:rsidRPr="001E6E9D">
        <w:rPr>
          <w:rFonts w:asciiTheme="minorHAnsi" w:eastAsia="Times New Roman" w:hAnsiTheme="minorHAnsi" w:cstheme="minorHAnsi"/>
          <w:noProof/>
          <w:szCs w:val="20"/>
        </w:rPr>
        <w:t>“</w:t>
      </w:r>
      <w:r w:rsidR="00F44800" w:rsidRPr="001E6E9D">
        <w:rPr>
          <w:rFonts w:asciiTheme="minorHAnsi" w:eastAsia="Times New Roman" w:hAnsiTheme="minorHAnsi" w:cstheme="minorHAnsi"/>
          <w:noProof/>
          <w:szCs w:val="20"/>
        </w:rPr>
        <w:t>Faro Energy Projetos Solares Holding IV S.A.</w:t>
      </w:r>
      <w:r w:rsidRPr="001E6E9D">
        <w:rPr>
          <w:rFonts w:asciiTheme="minorHAnsi" w:eastAsia="Times New Roman" w:hAnsiTheme="minorHAnsi" w:cstheme="minorHAnsi"/>
          <w:noProof/>
          <w:szCs w:val="20"/>
        </w:rPr>
        <w:t xml:space="preserve">” e, então, localizar o documento desejado). </w:t>
      </w:r>
    </w:p>
    <w:p w14:paraId="1B741476" w14:textId="77777777" w:rsidR="0044460A" w:rsidRPr="001E6E9D" w:rsidRDefault="0044460A" w:rsidP="00DC7081">
      <w:pPr>
        <w:rPr>
          <w:rFonts w:asciiTheme="minorHAnsi" w:eastAsia="Times New Roman" w:hAnsiTheme="minorHAnsi" w:cstheme="minorHAnsi"/>
          <w:b/>
          <w:noProof/>
          <w:szCs w:val="20"/>
        </w:rPr>
      </w:pPr>
      <w:r w:rsidRPr="001E6E9D">
        <w:rPr>
          <w:rFonts w:asciiTheme="minorHAnsi" w:eastAsia="Times New Roman" w:hAnsiTheme="minorHAnsi" w:cstheme="minorHAnsi"/>
          <w:b/>
          <w:noProof/>
          <w:szCs w:val="20"/>
        </w:rPr>
        <w:t>B3:</w:t>
      </w:r>
    </w:p>
    <w:p w14:paraId="4F41A6CB" w14:textId="5438C56C" w:rsidR="0044460A" w:rsidRPr="001E6E9D" w:rsidRDefault="00F44800" w:rsidP="00DC7081">
      <w:pPr>
        <w:rPr>
          <w:rFonts w:asciiTheme="minorHAnsi" w:eastAsia="Times New Roman" w:hAnsiTheme="minorHAnsi" w:cstheme="minorHAnsi"/>
          <w:noProof/>
          <w:color w:val="000000" w:themeColor="text1"/>
          <w:szCs w:val="20"/>
        </w:rPr>
      </w:pPr>
      <w:hyperlink r:id="rId23" w:history="1">
        <w:r w:rsidRPr="001E6E9D">
          <w:rPr>
            <w:rFonts w:asciiTheme="minorHAnsi" w:hAnsiTheme="minorHAnsi" w:cstheme="minorHAnsi"/>
            <w:color w:val="000000" w:themeColor="text1"/>
          </w:rPr>
          <w:t>https://www.b3.com.br/pt_br/produtos-e-servicos/solucoes-para-emissores/ofertas-publicas/ofertas-em-andamento/</w:t>
        </w:r>
      </w:hyperlink>
      <w:r w:rsidR="0044460A" w:rsidRPr="001E6E9D">
        <w:rPr>
          <w:rFonts w:asciiTheme="minorHAnsi" w:eastAsia="Times New Roman" w:hAnsiTheme="minorHAnsi" w:cstheme="minorHAnsi"/>
          <w:noProof/>
          <w:color w:val="000000" w:themeColor="text1"/>
          <w:szCs w:val="20"/>
        </w:rPr>
        <w:t xml:space="preserve"> (em tal página, acessar </w:t>
      </w:r>
      <w:r w:rsidR="000D5E35" w:rsidRPr="001E6E9D">
        <w:rPr>
          <w:rFonts w:asciiTheme="minorHAnsi" w:eastAsia="Times New Roman" w:hAnsiTheme="minorHAnsi" w:cstheme="minorHAnsi"/>
          <w:noProof/>
          <w:color w:val="000000" w:themeColor="text1"/>
          <w:szCs w:val="20"/>
        </w:rPr>
        <w:t>“</w:t>
      </w:r>
      <w:r w:rsidR="0044460A" w:rsidRPr="001E6E9D">
        <w:rPr>
          <w:rFonts w:asciiTheme="minorHAnsi" w:eastAsia="Times New Roman" w:hAnsiTheme="minorHAnsi" w:cstheme="minorHAnsi"/>
          <w:noProof/>
          <w:color w:val="000000" w:themeColor="text1"/>
          <w:szCs w:val="20"/>
        </w:rPr>
        <w:t xml:space="preserve">Ofertas em andamento”, depois clicar </w:t>
      </w:r>
      <w:r w:rsidR="000D5E35" w:rsidRPr="001E6E9D">
        <w:rPr>
          <w:rFonts w:asciiTheme="minorHAnsi" w:eastAsia="Times New Roman" w:hAnsiTheme="minorHAnsi" w:cstheme="minorHAnsi"/>
          <w:noProof/>
          <w:color w:val="000000" w:themeColor="text1"/>
          <w:szCs w:val="20"/>
        </w:rPr>
        <w:t>“</w:t>
      </w:r>
      <w:r w:rsidR="0044460A" w:rsidRPr="001E6E9D">
        <w:rPr>
          <w:rFonts w:asciiTheme="minorHAnsi" w:eastAsia="Times New Roman" w:hAnsiTheme="minorHAnsi" w:cstheme="minorHAnsi"/>
          <w:noProof/>
          <w:color w:val="000000" w:themeColor="text1"/>
          <w:szCs w:val="20"/>
        </w:rPr>
        <w:t xml:space="preserve">Empresas” e </w:t>
      </w:r>
      <w:r w:rsidR="000D5E35" w:rsidRPr="001E6E9D">
        <w:rPr>
          <w:rFonts w:asciiTheme="minorHAnsi" w:eastAsia="Times New Roman" w:hAnsiTheme="minorHAnsi" w:cstheme="minorHAnsi"/>
          <w:noProof/>
          <w:color w:val="000000" w:themeColor="text1"/>
          <w:szCs w:val="20"/>
        </w:rPr>
        <w:t>“</w:t>
      </w:r>
      <w:r w:rsidRPr="001E6E9D">
        <w:rPr>
          <w:rFonts w:asciiTheme="minorHAnsi" w:eastAsia="Times New Roman" w:hAnsiTheme="minorHAnsi" w:cstheme="minorHAnsi"/>
          <w:noProof/>
          <w:color w:val="000000" w:themeColor="text1"/>
          <w:szCs w:val="20"/>
        </w:rPr>
        <w:t>Faro Energy Projetos Solares Holding IV S.A.</w:t>
      </w:r>
      <w:r w:rsidR="0044460A" w:rsidRPr="001E6E9D">
        <w:rPr>
          <w:rFonts w:asciiTheme="minorHAnsi" w:eastAsia="Times New Roman" w:hAnsiTheme="minorHAnsi" w:cstheme="minorHAnsi"/>
          <w:noProof/>
          <w:color w:val="000000" w:themeColor="text1"/>
          <w:szCs w:val="20"/>
        </w:rPr>
        <w:t>” e, então, localizar o documento desejado).</w:t>
      </w:r>
      <w:bookmarkEnd w:id="170"/>
    </w:p>
    <w:p w14:paraId="77A8E8A3" w14:textId="77777777" w:rsidR="003468A1" w:rsidRPr="001E6E9D" w:rsidRDefault="0053704D" w:rsidP="00DC7081">
      <w:pPr>
        <w:pStyle w:val="Ttulo1"/>
        <w:rPr>
          <w:lang w:eastAsia="pt-BR"/>
        </w:rPr>
      </w:pPr>
      <w:bookmarkStart w:id="172" w:name="_Ref158845006"/>
      <w:bookmarkStart w:id="173" w:name="_Ref158845331"/>
      <w:bookmarkStart w:id="174" w:name="_Toc159073481"/>
      <w:bookmarkStart w:id="175" w:name="_Toc184129223"/>
      <w:r w:rsidRPr="001E6E9D">
        <w:rPr>
          <w:lang w:eastAsia="pt-BR"/>
        </w:rPr>
        <w:lastRenderedPageBreak/>
        <w:t>6.</w:t>
      </w:r>
      <w:r w:rsidR="00FE0AC9" w:rsidRPr="001E6E9D">
        <w:rPr>
          <w:lang w:eastAsia="pt-BR"/>
        </w:rPr>
        <w:t xml:space="preserve"> </w:t>
      </w:r>
      <w:r w:rsidRPr="001E6E9D">
        <w:rPr>
          <w:lang w:eastAsia="pt-BR"/>
        </w:rPr>
        <w:t>RESTRIÇÕES A DIREITOS DE INVESTIDORES NO CONTEXTO DA OFERTA</w:t>
      </w:r>
      <w:bookmarkEnd w:id="172"/>
      <w:bookmarkEnd w:id="173"/>
      <w:bookmarkEnd w:id="174"/>
      <w:bookmarkEnd w:id="175"/>
    </w:p>
    <w:p w14:paraId="25F1BC3D" w14:textId="77777777" w:rsidR="003468A1" w:rsidRPr="001E6E9D" w:rsidRDefault="0053704D" w:rsidP="00DC7081">
      <w:pPr>
        <w:pStyle w:val="Ttulo2"/>
      </w:pPr>
      <w:bookmarkStart w:id="176" w:name="_Ref158845007"/>
      <w:bookmarkStart w:id="177" w:name="_Ref158845112"/>
      <w:bookmarkStart w:id="178" w:name="_Toc159073482"/>
      <w:bookmarkStart w:id="179" w:name="_Toc184129224"/>
      <w:r w:rsidRPr="001E6E9D">
        <w:t>6.1.</w:t>
      </w:r>
      <w:r w:rsidR="00FE0AC9" w:rsidRPr="001E6E9D">
        <w:t xml:space="preserve"> </w:t>
      </w:r>
      <w:r w:rsidRPr="001E6E9D">
        <w:t>Eventuais restrições à transferência das Debêntures</w:t>
      </w:r>
      <w:bookmarkEnd w:id="176"/>
      <w:bookmarkEnd w:id="177"/>
      <w:bookmarkEnd w:id="178"/>
      <w:bookmarkEnd w:id="179"/>
      <w:r w:rsidRPr="001E6E9D" w:rsidDel="001A0D3B">
        <w:t xml:space="preserve"> </w:t>
      </w:r>
    </w:p>
    <w:p w14:paraId="45CF2FED"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do artigo 86, inciso IV, da Resolução CVM 160, as Debêntures somente poderão ser negociadas nos mercados regulamentados de valores mobiliários entre Investidores Qualificados, sendo requerido adicionalmente que a Emissora cumpra as obrigações previstas no artigo 89, da Resolução CVM 160. Nos termos do artigo 88 da Resolução CVM 160, as Debêntures poderão ser negociadas nos mercados de balcão organizado e não organizado, mas não em bolsa, sem que a Emissora possua o registro de que trata o artigo 21 da Lei do Mercado de Valores Mobiliários.</w:t>
      </w:r>
      <w:bookmarkStart w:id="180" w:name="_Ref124160288"/>
      <w:bookmarkStart w:id="181" w:name="_Toc124178543"/>
    </w:p>
    <w:p w14:paraId="386E60AE" w14:textId="77777777" w:rsidR="003468A1" w:rsidRPr="001E6E9D" w:rsidRDefault="0053704D" w:rsidP="00DC7081">
      <w:pPr>
        <w:pStyle w:val="Ttulo2"/>
      </w:pPr>
      <w:bookmarkStart w:id="182" w:name="_Ref158845008"/>
      <w:bookmarkStart w:id="183" w:name="_Toc159073483"/>
      <w:bookmarkStart w:id="184" w:name="_Toc184129225"/>
      <w:r w:rsidRPr="001E6E9D">
        <w:t>6.2.</w:t>
      </w:r>
      <w:r w:rsidR="00FE0AC9" w:rsidRPr="001E6E9D">
        <w:t xml:space="preserve"> </w:t>
      </w:r>
      <w:r w:rsidRPr="001E6E9D">
        <w:t xml:space="preserve">Inadequação de </w:t>
      </w:r>
      <w:bookmarkEnd w:id="180"/>
      <w:bookmarkEnd w:id="181"/>
      <w:r w:rsidRPr="001E6E9D">
        <w:t>investimento</w:t>
      </w:r>
      <w:bookmarkEnd w:id="182"/>
      <w:bookmarkEnd w:id="183"/>
      <w:bookmarkEnd w:id="184"/>
    </w:p>
    <w:p w14:paraId="7D7FB4EB" w14:textId="4FBE7F3D" w:rsidR="003468A1" w:rsidRPr="001E6E9D" w:rsidRDefault="0053704D" w:rsidP="00DC7081">
      <w:pPr>
        <w:rPr>
          <w:rFonts w:asciiTheme="minorHAnsi" w:eastAsia="Times New Roman" w:hAnsiTheme="minorHAnsi" w:cstheme="minorHAnsi"/>
          <w:b/>
          <w:bCs/>
          <w:szCs w:val="20"/>
          <w:lang w:eastAsia="pt-BR"/>
        </w:rPr>
      </w:pPr>
      <w:r w:rsidRPr="001E6E9D">
        <w:rPr>
          <w:rFonts w:asciiTheme="minorHAnsi" w:eastAsia="Times New Roman" w:hAnsiTheme="minorHAnsi" w:cstheme="minorHAnsi"/>
          <w:szCs w:val="20"/>
          <w:lang w:eastAsia="pt-BR"/>
        </w:rPr>
        <w:t xml:space="preserve">O investimento nas Debêntures não é adequado a investidores que: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não tenham profundo conhecimento dos riscos envolvidos na operação ou que não tenham acesso a consultoria especializada;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necessitem de liquidez com relação às Debêntures a serem adquiridas, tendo em vista a possibilidade de serem pequenas ou inexistentes as negociações das Debêntures no mercado secundário; e/ou </w:t>
      </w:r>
      <w:r w:rsidRPr="001E6E9D">
        <w:rPr>
          <w:rFonts w:asciiTheme="minorHAnsi" w:eastAsia="Times New Roman" w:hAnsiTheme="minorHAnsi" w:cstheme="minorHAnsi"/>
          <w:b/>
          <w:bCs/>
          <w:szCs w:val="20"/>
          <w:lang w:eastAsia="pt-BR"/>
        </w:rPr>
        <w:t>(iii)</w:t>
      </w:r>
      <w:r w:rsidRPr="001E6E9D">
        <w:rPr>
          <w:rFonts w:asciiTheme="minorHAnsi" w:eastAsia="Times New Roman" w:hAnsiTheme="minorHAnsi" w:cstheme="minorHAnsi"/>
          <w:szCs w:val="20"/>
          <w:lang w:eastAsia="pt-BR"/>
        </w:rPr>
        <w:t xml:space="preserve"> não estejam dispostos a correr o risco de crédito de empresa do setor privado e/ou dos setores em que a Emissora atua. </w:t>
      </w:r>
      <w:r w:rsidRPr="001E6E9D">
        <w:rPr>
          <w:rFonts w:asciiTheme="minorHAnsi" w:eastAsia="Times New Roman" w:hAnsiTheme="minorHAnsi" w:cstheme="minorHAnsi"/>
          <w:b/>
          <w:bCs/>
          <w:szCs w:val="20"/>
          <w:lang w:eastAsia="pt-BR"/>
        </w:rPr>
        <w:t xml:space="preserve">Para uma avaliação adequada dos riscos associados ao investimento nas Debêntures, os investidores deverão ler a </w:t>
      </w:r>
      <w:r w:rsidRPr="001E6E9D">
        <w:rPr>
          <w:rFonts w:asciiTheme="minorHAnsi" w:eastAsia="Times New Roman" w:hAnsiTheme="minorHAnsi" w:cstheme="minorHAnsi"/>
          <w:b/>
          <w:bCs/>
          <w:szCs w:val="20"/>
          <w:u w:val="single"/>
          <w:lang w:eastAsia="pt-BR"/>
        </w:rPr>
        <w:t>seção 4</w:t>
      </w:r>
      <w:r w:rsidRPr="001E6E9D">
        <w:rPr>
          <w:rFonts w:asciiTheme="minorHAnsi" w:eastAsia="Times New Roman" w:hAnsiTheme="minorHAnsi" w:cstheme="minorHAnsi"/>
          <w:b/>
          <w:bCs/>
          <w:szCs w:val="20"/>
          <w:lang w:eastAsia="pt-BR"/>
        </w:rPr>
        <w:t xml:space="preserve"> deste Prospecto, nas páginas </w:t>
      </w:r>
      <w:r w:rsidR="00CB28AC" w:rsidRPr="001E6E9D">
        <w:rPr>
          <w:rFonts w:asciiTheme="minorHAnsi" w:eastAsia="Times New Roman" w:hAnsiTheme="minorHAnsi" w:cstheme="minorHAnsi"/>
          <w:b/>
          <w:bCs/>
          <w:szCs w:val="20"/>
          <w:lang w:eastAsia="pt-BR"/>
        </w:rPr>
        <w:fldChar w:fldCharType="begin"/>
      </w:r>
      <w:r w:rsidR="00CB28AC" w:rsidRPr="001E6E9D">
        <w:rPr>
          <w:rFonts w:asciiTheme="minorHAnsi" w:eastAsia="Times New Roman" w:hAnsiTheme="minorHAnsi" w:cstheme="minorHAnsi"/>
          <w:b/>
          <w:bCs/>
          <w:szCs w:val="20"/>
          <w:lang w:eastAsia="pt-BR"/>
        </w:rPr>
        <w:instrText xml:space="preserve"> PAGEREF _Ref158844927 \h </w:instrText>
      </w:r>
      <w:r w:rsidR="00CB28AC" w:rsidRPr="001E6E9D">
        <w:rPr>
          <w:rFonts w:asciiTheme="minorHAnsi" w:eastAsia="Times New Roman" w:hAnsiTheme="minorHAnsi" w:cstheme="minorHAnsi"/>
          <w:b/>
          <w:bCs/>
          <w:szCs w:val="20"/>
          <w:lang w:eastAsia="pt-BR"/>
        </w:rPr>
      </w:r>
      <w:r w:rsidR="00CB28AC" w:rsidRPr="001E6E9D">
        <w:rPr>
          <w:rFonts w:asciiTheme="minorHAnsi" w:eastAsia="Times New Roman" w:hAnsiTheme="minorHAnsi" w:cstheme="minorHAnsi"/>
          <w:b/>
          <w:bCs/>
          <w:szCs w:val="20"/>
          <w:lang w:eastAsia="pt-BR"/>
        </w:rPr>
        <w:fldChar w:fldCharType="separate"/>
      </w:r>
      <w:r w:rsidR="00720666">
        <w:rPr>
          <w:rFonts w:asciiTheme="minorHAnsi" w:eastAsia="Times New Roman" w:hAnsiTheme="minorHAnsi" w:cstheme="minorHAnsi"/>
          <w:b/>
          <w:bCs/>
          <w:noProof/>
          <w:szCs w:val="20"/>
          <w:lang w:eastAsia="pt-BR"/>
        </w:rPr>
        <w:t>45</w:t>
      </w:r>
      <w:r w:rsidR="00CB28AC" w:rsidRPr="001E6E9D">
        <w:rPr>
          <w:rFonts w:asciiTheme="minorHAnsi" w:eastAsia="Times New Roman" w:hAnsiTheme="minorHAnsi" w:cstheme="minorHAnsi"/>
          <w:b/>
          <w:bCs/>
          <w:szCs w:val="20"/>
          <w:lang w:eastAsia="pt-BR"/>
        </w:rPr>
        <w:fldChar w:fldCharType="end"/>
      </w:r>
      <w:r w:rsidRPr="001E6E9D">
        <w:rPr>
          <w:rFonts w:asciiTheme="minorHAnsi" w:eastAsia="Times New Roman" w:hAnsiTheme="minorHAnsi" w:cstheme="minorHAnsi"/>
          <w:b/>
          <w:bCs/>
          <w:szCs w:val="20"/>
          <w:lang w:eastAsia="pt-BR"/>
        </w:rPr>
        <w:t xml:space="preserve"> a </w:t>
      </w:r>
      <w:r w:rsidR="00C620BA" w:rsidRPr="001E6E9D">
        <w:rPr>
          <w:rFonts w:asciiTheme="minorHAnsi" w:eastAsia="Times New Roman" w:hAnsiTheme="minorHAnsi" w:cstheme="minorHAnsi"/>
          <w:b/>
          <w:bCs/>
          <w:szCs w:val="20"/>
          <w:lang w:eastAsia="pt-BR"/>
        </w:rPr>
        <w:fldChar w:fldCharType="begin"/>
      </w:r>
      <w:r w:rsidR="00C620BA" w:rsidRPr="001E6E9D">
        <w:rPr>
          <w:rFonts w:asciiTheme="minorHAnsi" w:eastAsia="Times New Roman" w:hAnsiTheme="minorHAnsi" w:cstheme="minorHAnsi"/>
          <w:b/>
          <w:bCs/>
          <w:szCs w:val="20"/>
          <w:lang w:eastAsia="pt-BR"/>
        </w:rPr>
        <w:instrText xml:space="preserve"> PAGEREF _Ref184134231 \h </w:instrText>
      </w:r>
      <w:r w:rsidR="00C620BA" w:rsidRPr="001E6E9D">
        <w:rPr>
          <w:rFonts w:asciiTheme="minorHAnsi" w:eastAsia="Times New Roman" w:hAnsiTheme="minorHAnsi" w:cstheme="minorHAnsi"/>
          <w:b/>
          <w:bCs/>
          <w:szCs w:val="20"/>
          <w:lang w:eastAsia="pt-BR"/>
        </w:rPr>
      </w:r>
      <w:r w:rsidR="00C620BA" w:rsidRPr="001E6E9D">
        <w:rPr>
          <w:rFonts w:asciiTheme="minorHAnsi" w:eastAsia="Times New Roman" w:hAnsiTheme="minorHAnsi" w:cstheme="minorHAnsi"/>
          <w:b/>
          <w:bCs/>
          <w:szCs w:val="20"/>
          <w:lang w:eastAsia="pt-BR"/>
        </w:rPr>
        <w:fldChar w:fldCharType="separate"/>
      </w:r>
      <w:r w:rsidR="00720666">
        <w:rPr>
          <w:rFonts w:asciiTheme="minorHAnsi" w:eastAsia="Times New Roman" w:hAnsiTheme="minorHAnsi" w:cstheme="minorHAnsi"/>
          <w:b/>
          <w:bCs/>
          <w:noProof/>
          <w:szCs w:val="20"/>
          <w:lang w:eastAsia="pt-BR"/>
        </w:rPr>
        <w:t>57</w:t>
      </w:r>
      <w:r w:rsidR="00C620BA" w:rsidRPr="001E6E9D">
        <w:rPr>
          <w:rFonts w:asciiTheme="minorHAnsi" w:eastAsia="Times New Roman" w:hAnsiTheme="minorHAnsi" w:cstheme="minorHAnsi"/>
          <w:b/>
          <w:bCs/>
          <w:szCs w:val="20"/>
          <w:lang w:eastAsia="pt-BR"/>
        </w:rPr>
        <w:fldChar w:fldCharType="end"/>
      </w:r>
      <w:r w:rsidRPr="001E6E9D">
        <w:rPr>
          <w:rFonts w:asciiTheme="minorHAnsi" w:eastAsia="Times New Roman" w:hAnsiTheme="minorHAnsi" w:cstheme="minorHAnsi"/>
          <w:b/>
          <w:bCs/>
          <w:szCs w:val="20"/>
          <w:lang w:eastAsia="pt-BR"/>
        </w:rPr>
        <w:t xml:space="preserve">, e a seção </w:t>
      </w:r>
      <w:r w:rsidR="000D5E35" w:rsidRPr="001E6E9D">
        <w:rPr>
          <w:rFonts w:asciiTheme="minorHAnsi" w:eastAsia="Times New Roman" w:hAnsiTheme="minorHAnsi" w:cstheme="minorHAnsi"/>
          <w:b/>
          <w:bCs/>
          <w:szCs w:val="20"/>
          <w:lang w:eastAsia="pt-BR"/>
        </w:rPr>
        <w:t>“</w:t>
      </w:r>
      <w:r w:rsidRPr="001E6E9D">
        <w:rPr>
          <w:rFonts w:asciiTheme="minorHAnsi" w:eastAsia="Times New Roman" w:hAnsiTheme="minorHAnsi" w:cstheme="minorHAnsi"/>
          <w:b/>
          <w:bCs/>
          <w:szCs w:val="20"/>
          <w:lang w:eastAsia="pt-BR"/>
        </w:rPr>
        <w:t>4. Fatores de risco” do Formulário de Referência da Emissora.</w:t>
      </w:r>
    </w:p>
    <w:p w14:paraId="274CA70A" w14:textId="77777777" w:rsidR="003468A1" w:rsidRPr="001E6E9D" w:rsidRDefault="0053704D" w:rsidP="00DC7081">
      <w:pPr>
        <w:pStyle w:val="Ttulo2"/>
      </w:pPr>
      <w:bookmarkStart w:id="185" w:name="_Ref158845009"/>
      <w:bookmarkStart w:id="186" w:name="_Ref158845339"/>
      <w:bookmarkStart w:id="187" w:name="_Toc159073484"/>
      <w:bookmarkStart w:id="188" w:name="_Toc184129226"/>
      <w:r w:rsidRPr="001E6E9D">
        <w:rPr>
          <w:iCs/>
          <w:color w:val="000000"/>
          <w:szCs w:val="18"/>
        </w:rPr>
        <w:t>6.3.</w:t>
      </w:r>
      <w:r w:rsidR="00FE0AC9" w:rsidRPr="001E6E9D">
        <w:rPr>
          <w:iCs/>
          <w:color w:val="000000"/>
          <w:szCs w:val="18"/>
        </w:rPr>
        <w:t xml:space="preserve"> </w:t>
      </w:r>
      <w:r w:rsidRPr="001E6E9D">
        <w:t>Eventual modificação da Oferta</w:t>
      </w:r>
      <w:bookmarkEnd w:id="185"/>
      <w:bookmarkEnd w:id="186"/>
      <w:bookmarkEnd w:id="187"/>
      <w:bookmarkEnd w:id="188"/>
    </w:p>
    <w:p w14:paraId="42B0F44A"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Os Coordenadores poderão requerer à CVM que os autorize a modificar ou revogar a Oferta, caso ocorram alterações substanciais, posteriores e imprevisíveis nas circunstâncias de fato existentes quando da apresentação do protocolo do requerimento do pedido de registro de oferta pública de distribuição, ou que o fundamentem nos termos do artigo 67, </w:t>
      </w:r>
      <w:r w:rsidRPr="001E6E9D">
        <w:rPr>
          <w:rFonts w:asciiTheme="minorHAnsi" w:eastAsia="Times New Roman" w:hAnsiTheme="minorHAnsi" w:cstheme="minorHAnsi"/>
          <w:i/>
          <w:iCs/>
          <w:szCs w:val="20"/>
          <w:lang w:eastAsia="pt-BR"/>
        </w:rPr>
        <w:t>caput</w:t>
      </w:r>
      <w:r w:rsidRPr="001E6E9D">
        <w:rPr>
          <w:rFonts w:asciiTheme="minorHAnsi" w:eastAsia="Times New Roman" w:hAnsiTheme="minorHAnsi" w:cstheme="minorHAnsi"/>
          <w:szCs w:val="20"/>
          <w:lang w:eastAsia="pt-BR"/>
        </w:rPr>
        <w:t>, da Resolução CVM 160.</w:t>
      </w:r>
    </w:p>
    <w:p w14:paraId="19988391"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Ainda, nos termos do artigo 67 e seguintes da Resolução CVM 160, havendo, a juízo da CVM, alteração substancial, posterior e imprevisível nas circunstâncias de fato existentes quando do protocolo do requerimento de registro da Oferta, ou que o fundamentam, a SRE poderá: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deferir o requerimento de modificação da Oferta, conforme aplicável;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reconhecer a ocorrência de modificação da Oferta e tomar as providências cabíveis; ou </w:t>
      </w:r>
      <w:r w:rsidRPr="001E6E9D">
        <w:rPr>
          <w:rFonts w:asciiTheme="minorHAnsi" w:eastAsia="Times New Roman" w:hAnsiTheme="minorHAnsi" w:cstheme="minorHAnsi"/>
          <w:b/>
          <w:bCs/>
          <w:szCs w:val="20"/>
          <w:lang w:eastAsia="pt-BR"/>
        </w:rPr>
        <w:t>(iii)</w:t>
      </w:r>
      <w:r w:rsidRPr="001E6E9D">
        <w:rPr>
          <w:rFonts w:asciiTheme="minorHAnsi" w:eastAsia="Times New Roman" w:hAnsiTheme="minorHAnsi" w:cstheme="minorHAnsi"/>
          <w:szCs w:val="20"/>
          <w:lang w:eastAsia="pt-BR"/>
        </w:rPr>
        <w:t> caso referida alteração acarrete aumento relevante dos riscos inerentes à própria Oferta, deferir o requerimento de revogação da Oferta.</w:t>
      </w:r>
    </w:p>
    <w:p w14:paraId="0AFC0C80"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do artigo 67, parágrafo 2º, da Resolução CVM 160, a modificação de Oferta não depende de aprovação prévia da SRE.</w:t>
      </w:r>
    </w:p>
    <w:p w14:paraId="02782E2C"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do artigo 67, parágrafo 4º, da Resolução CVM 160, o requerimento de revogação da Oferta deverá ser analisado pela SRE em 10 (dez) Dias Úteis contados da data do protocolo do pleito na CVM, acompanhado de todos os documentos e informações necessários à sua análise, sendo que, após esse período, o requerimento pode ser deferido, indeferido ou podem ser comunicadas exigências a serem atendidas.</w:t>
      </w:r>
    </w:p>
    <w:p w14:paraId="578FECC7"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 SRE deverá conceder igual prazo para atendimento a eventuais exigências formuladas no âmbito de requerimento de revogação da Oferta, devendo deferir ou indeferir o requerimento decorridos 10 (dez) Dias Úteis do protocolo da resposta às exigências comunicadas.</w:t>
      </w:r>
    </w:p>
    <w:p w14:paraId="477B813C"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O requerimento de revogação da Oferta será automaticamente deferido, caso não haja manifestação da SRE nos prazos de que tratam os itens acima.</w:t>
      </w:r>
    </w:p>
    <w:p w14:paraId="6819BDB3"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Nos termos do artigo 67, parágrafo 7º, da Resolução CVM 160, em caso de modificação da Oferta, a SRE poderá, por sua própria iniciativa ou a requerimento da Emissora, prorrogar o prazo da Oferta por até 90 (noventa) dias. </w:t>
      </w:r>
    </w:p>
    <w:p w14:paraId="3E8F733D"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do artigo 67, parágrafo 8º, da Resolução CVM 160, é sempre permitida a modificação da Oferta para melhorá-la em favor dos Investidores ou para renúncia à condição da Oferta estabelecida pela Emissora, não sendo necessário requerer junto à SRE tal modificação, sem prejuízo dos dispostos no artigo 67, parágrafo 9º, e do artigo 69, parágrafo 2º, ambos da Resolução CVM 160.</w:t>
      </w:r>
    </w:p>
    <w:p w14:paraId="2044C4A0"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Para fins do disposto acima, o juízo acerca da melhoria decorrente da modificação da Oferta deverá ser feito pelos Coordenadores em conjunto com a Emissora. </w:t>
      </w:r>
    </w:p>
    <w:p w14:paraId="09380352" w14:textId="77777777" w:rsidR="003468A1" w:rsidRPr="001E6E9D" w:rsidRDefault="0053704D" w:rsidP="00C620BA">
      <w:pPr>
        <w:pageBreakBefore/>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lastRenderedPageBreak/>
        <w:t xml:space="preserve">O não cumprimento de qualquer das Condições Precedentes do Contrato de Distribuição até o registro da Oferta, sem renúncia dos Coordenadores ou não sanado em tempo hábil à formalização do registro da Oferta, pode implicar na exclusão da Garantia Firme, e será tratado como modificação da Oferta. </w:t>
      </w:r>
    </w:p>
    <w:p w14:paraId="44E4286C" w14:textId="2265247E"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do artigo 68 da Resolução CVM 160, a revogação torna ineficazes a Oferta e os atos de aceitação anteriores ou posteriores, devendo ser restituídos integralmente aos aceitantes os valores, bens ou direitos dados em contrapartida às Debêntures ofertadas, na forma e condições previstas nos termos e condições da</w:t>
      </w:r>
      <w:r w:rsidR="00065DBC" w:rsidRPr="001E6E9D">
        <w:rPr>
          <w:rFonts w:asciiTheme="minorHAnsi" w:eastAsia="Times New Roman" w:hAnsiTheme="minorHAnsi" w:cstheme="minorHAnsi"/>
          <w:szCs w:val="20"/>
          <w:lang w:eastAsia="pt-BR"/>
        </w:rPr>
        <w:t xml:space="preserve"> </w:t>
      </w:r>
      <w:r w:rsidRPr="001E6E9D">
        <w:rPr>
          <w:rFonts w:asciiTheme="minorHAnsi" w:eastAsia="Times New Roman" w:hAnsiTheme="minorHAnsi" w:cstheme="minorHAnsi"/>
          <w:szCs w:val="20"/>
          <w:lang w:eastAsia="pt-BR"/>
        </w:rPr>
        <w:t>Oferta.</w:t>
      </w:r>
    </w:p>
    <w:p w14:paraId="7FEF8395"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 modificação deverá ser divulgada imediatamente por meios ao menos iguais aos utilizados para a divulgação da Oferta e os Coordenadores deve se certificar de que os potenciais Investidores estejam cientes, no momento do recebimento do documento de aceitação da Oferta, de que a Oferta foi alterada e das suas novas condições.</w:t>
      </w:r>
    </w:p>
    <w:p w14:paraId="2297EEDB"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Nos termos do artigo 69, parágrafo 1º, da Resolução CVM 160, em caso de modificação da Oferta, os Investidores que já tiverem aderido à Oferta deverão ser imediatamente comunicados a respeito da modificação efetuada diretamente por correio eletrônico, correspondência física ou qualquer outra forma de comunicação passível de comprovação, para que informem, no prazo mínimo de 5 (cinco) Dias Úteis contados da comunicação, eventual decisão de desistir de sua adesão à Oferta, presumida a manutenção da adesão em caso de silêncio. </w:t>
      </w:r>
    </w:p>
    <w:p w14:paraId="39B3079F"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Os Investidores que revogarem a sua aceitação têm direito à restituição integral dos valores, bens ou direitos dados em contrapartida às Debêntures ofertadas, na forma e condições dos documentos da Oferta e do Prospecto, nos casos em que é exigida a divulgação destes.</w:t>
      </w:r>
    </w:p>
    <w:p w14:paraId="24384437" w14:textId="28BE6248"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Nos termos do artigo 70 da Resolução CVM 160, a SRE: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poderá suspender ou cancelar, a qualquer tempo, a Oferta se: </w:t>
      </w:r>
      <w:r w:rsidRPr="001E6E9D">
        <w:rPr>
          <w:rFonts w:asciiTheme="minorHAnsi" w:eastAsia="Times New Roman" w:hAnsiTheme="minorHAnsi" w:cstheme="minorHAnsi"/>
          <w:b/>
          <w:bCs/>
          <w:szCs w:val="20"/>
          <w:lang w:eastAsia="pt-BR"/>
        </w:rPr>
        <w:t>(a)</w:t>
      </w:r>
      <w:r w:rsidRPr="001E6E9D">
        <w:rPr>
          <w:rFonts w:asciiTheme="minorHAnsi" w:eastAsia="Times New Roman" w:hAnsiTheme="minorHAnsi" w:cstheme="minorHAnsi"/>
          <w:szCs w:val="20"/>
          <w:lang w:eastAsia="pt-BR"/>
        </w:rPr>
        <w:t xml:space="preserve"> estiver se processando em condições diversas das constantes da Resolução CVM 160 ou do registro da Oferta; </w:t>
      </w:r>
      <w:r w:rsidRPr="001E6E9D">
        <w:rPr>
          <w:rFonts w:asciiTheme="minorHAnsi" w:eastAsia="Times New Roman" w:hAnsiTheme="minorHAnsi" w:cstheme="minorHAnsi"/>
          <w:b/>
          <w:bCs/>
          <w:szCs w:val="20"/>
          <w:lang w:eastAsia="pt-BR"/>
        </w:rPr>
        <w:t>(b)</w:t>
      </w:r>
      <w:r w:rsidRPr="001E6E9D">
        <w:rPr>
          <w:rFonts w:asciiTheme="minorHAnsi" w:eastAsia="Times New Roman" w:hAnsiTheme="minorHAnsi" w:cstheme="minorHAnsi"/>
          <w:szCs w:val="20"/>
          <w:lang w:eastAsia="pt-BR"/>
        </w:rPr>
        <w:t xml:space="preserve"> esteja sendo intermediada por coordenador que esteja com registro suspenso ou cancelado, conforme a regulamentação que dispõe sobre coordenadores de ofertas públicas de distribuição de valores mobiliários, em especial a Resolução CVM 161; ou </w:t>
      </w:r>
      <w:r w:rsidRPr="001E6E9D">
        <w:rPr>
          <w:rFonts w:asciiTheme="minorHAnsi" w:eastAsia="Times New Roman" w:hAnsiTheme="minorHAnsi" w:cstheme="minorHAnsi"/>
          <w:b/>
          <w:bCs/>
          <w:szCs w:val="20"/>
          <w:lang w:eastAsia="pt-BR"/>
        </w:rPr>
        <w:t>(c)</w:t>
      </w:r>
      <w:r w:rsidRPr="001E6E9D">
        <w:rPr>
          <w:rFonts w:asciiTheme="minorHAnsi" w:eastAsia="Times New Roman" w:hAnsiTheme="minorHAnsi" w:cstheme="minorHAnsi"/>
          <w:szCs w:val="20"/>
          <w:lang w:eastAsia="pt-BR"/>
        </w:rPr>
        <w:t xml:space="preserve"> tenha sido havida por ilegal, contrária à regulamentação da CVM ou fraudulenta, ainda que após obtido o respectivo registro; e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deverá suspender a Oferta quando verificar ilegalidade ou violação de regulamento sanáveis. O prazo de suspensão da Oferta não poderá ser superior a 30 (trinta) dias, durante o qual a irregularidade apontada deverá ser sanada. Findo tal prazo sem que tenham sido sanados os vícios que determinaram a suspensão, a SRE deverá ordenar a retirada da Oferta e cancelar o respectivo registro ou indeferir o requerimento de registro caso este ainda não tenha sido concedido.</w:t>
      </w:r>
    </w:p>
    <w:p w14:paraId="1D9DC993"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do artigo 71 da Resolução CVM 160, a Emissora deve divulgar imediatamente, por meios ao menos iguais aos utilizados para a divulgação da Oferta, comunicado ao mercado informando sobre a suspensão ou o cancelamento, bem como dar conhecimento de tais eventos aos Investidores que já tenham aceitado a Oferta diretamente por correio eletrônico, correspondência física ou qualquer outra forma de comunicação passível de comprovação, para que, na hipótese de suspensão, informem, no prazo mínimo de 5 (cinco) Dias Úteis contados da comunicação, eventual decisão de desistir da Oferta.</w:t>
      </w:r>
    </w:p>
    <w:p w14:paraId="494ACCD7"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Em caso de: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cancelamento ou revogação da Oferta; ou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caso o Investidor revogue sua aceitação, na hipótese de suspensão; e, em ambos os casos, se o Investidor já tiver efetuado o pagamento do Preço de Integralização, referido Preço de Integralização será restituído integralmente, sem juros ou correção monetária, sem reembolso e com dedução dos valores relativos aos tributos e encargos incidentes, se existentes, no prazo de 5 (cinco) Dias Úteis contados da data do cancelamento revogação da Oferta, conforme o caso. </w:t>
      </w:r>
    </w:p>
    <w:p w14:paraId="295AC9B9" w14:textId="77777777" w:rsidR="00C55EEA" w:rsidRPr="001E6E9D" w:rsidRDefault="0053704D" w:rsidP="00DC7081">
      <w:pPr>
        <w:pStyle w:val="Ttulo4"/>
        <w:rPr>
          <w:rFonts w:asciiTheme="minorHAnsi" w:eastAsia="Times New Roman" w:hAnsiTheme="minorHAnsi"/>
          <w:b w:val="0"/>
          <w:i w:val="0"/>
          <w:szCs w:val="17"/>
        </w:rPr>
      </w:pPr>
      <w:bookmarkStart w:id="189" w:name="_Ref182358723"/>
      <w:r w:rsidRPr="001E6E9D">
        <w:rPr>
          <w:rFonts w:asciiTheme="minorHAnsi" w:eastAsia="Times New Roman" w:hAnsiTheme="minorHAnsi"/>
          <w:b w:val="0"/>
          <w:i w:val="0"/>
          <w:szCs w:val="17"/>
        </w:rPr>
        <w:t xml:space="preserve">Toda a documentação referente a esta </w:t>
      </w:r>
      <w:r w:rsidRPr="001E6E9D">
        <w:rPr>
          <w:rFonts w:asciiTheme="minorHAnsi" w:eastAsia="Times New Roman" w:hAnsiTheme="minorHAnsi"/>
          <w:b w:val="0"/>
          <w:i w:val="0"/>
          <w:szCs w:val="17"/>
          <w:u w:val="single"/>
        </w:rPr>
        <w:t>seção 6.3</w:t>
      </w:r>
      <w:r w:rsidRPr="001E6E9D">
        <w:rPr>
          <w:rFonts w:asciiTheme="minorHAnsi" w:eastAsia="Times New Roman" w:hAnsiTheme="minorHAnsi"/>
          <w:b w:val="0"/>
          <w:i w:val="0"/>
          <w:szCs w:val="17"/>
        </w:rPr>
        <w:t xml:space="preserve"> do Prospecto será mantida à disposição da CVM, nos termos do inciso XV do artigo 83 da Resolução CVM 160.</w:t>
      </w:r>
      <w:bookmarkEnd w:id="189"/>
      <w:r w:rsidR="00FE0AC9" w:rsidRPr="001E6E9D">
        <w:rPr>
          <w:rFonts w:asciiTheme="minorHAnsi" w:eastAsia="Times New Roman" w:hAnsiTheme="minorHAnsi"/>
          <w:b w:val="0"/>
          <w:i w:val="0"/>
          <w:szCs w:val="17"/>
        </w:rPr>
        <w:t xml:space="preserve"> </w:t>
      </w:r>
      <w:bookmarkStart w:id="190" w:name="_Ref158845010"/>
      <w:bookmarkStart w:id="191" w:name="_Toc159073485"/>
    </w:p>
    <w:p w14:paraId="24A2E09F" w14:textId="2C9DD0CE" w:rsidR="003468A1" w:rsidRPr="001E6E9D" w:rsidRDefault="00FE0AC9" w:rsidP="00DC7081">
      <w:pPr>
        <w:pStyle w:val="Ttulo1"/>
      </w:pPr>
      <w:bookmarkStart w:id="192" w:name="_Toc184129227"/>
      <w:r w:rsidRPr="001E6E9D">
        <w:rPr>
          <w:lang w:eastAsia="pt-BR"/>
        </w:rPr>
        <w:lastRenderedPageBreak/>
        <w:t xml:space="preserve">7. </w:t>
      </w:r>
      <w:r w:rsidR="0053704D" w:rsidRPr="001E6E9D">
        <w:rPr>
          <w:lang w:eastAsia="pt-BR"/>
        </w:rPr>
        <w:t>OUTRAS CARACTERÍST</w:t>
      </w:r>
      <w:r w:rsidR="009C6574" w:rsidRPr="001E6E9D">
        <w:rPr>
          <w:lang w:eastAsia="pt-BR"/>
        </w:rPr>
        <w:t>IC</w:t>
      </w:r>
      <w:r w:rsidR="0053704D" w:rsidRPr="001E6E9D">
        <w:rPr>
          <w:lang w:eastAsia="pt-BR"/>
        </w:rPr>
        <w:t>AS DA OFERTA</w:t>
      </w:r>
      <w:bookmarkEnd w:id="190"/>
      <w:bookmarkEnd w:id="191"/>
      <w:bookmarkEnd w:id="192"/>
    </w:p>
    <w:p w14:paraId="178FF613" w14:textId="77777777" w:rsidR="003468A1" w:rsidRPr="001E6E9D" w:rsidRDefault="0053704D" w:rsidP="00AB6A1D">
      <w:pPr>
        <w:pStyle w:val="Ttulo2"/>
        <w:spacing w:after="180"/>
      </w:pPr>
      <w:bookmarkStart w:id="193" w:name="_Ref124160292"/>
      <w:bookmarkStart w:id="194" w:name="_Toc124178547"/>
      <w:bookmarkStart w:id="195" w:name="_Toc159073486"/>
      <w:bookmarkStart w:id="196" w:name="_Toc184129228"/>
      <w:r w:rsidRPr="001E6E9D">
        <w:t>7.1.</w:t>
      </w:r>
      <w:r w:rsidR="00FE0AC9" w:rsidRPr="001E6E9D">
        <w:t xml:space="preserve"> </w:t>
      </w:r>
      <w:r w:rsidRPr="001E6E9D">
        <w:t>Conversibilidade em outros valores mobiliários</w:t>
      </w:r>
      <w:bookmarkEnd w:id="193"/>
      <w:bookmarkEnd w:id="194"/>
      <w:bookmarkEnd w:id="195"/>
      <w:bookmarkEnd w:id="196"/>
    </w:p>
    <w:p w14:paraId="08E0073B" w14:textId="14B9AFB7" w:rsidR="003468A1" w:rsidRPr="001E6E9D" w:rsidRDefault="0044460A" w:rsidP="00AB6A1D">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hAnsiTheme="minorHAnsi" w:cstheme="minorHAnsi"/>
          <w:szCs w:val="20"/>
        </w:rPr>
        <w:t>As Debêntures serão simples, ou seja, não conversíveis em ações de emissão da Emissora</w:t>
      </w:r>
      <w:r w:rsidR="0053704D" w:rsidRPr="001E6E9D">
        <w:rPr>
          <w:rFonts w:asciiTheme="minorHAnsi" w:eastAsia="Times New Roman" w:hAnsiTheme="minorHAnsi" w:cstheme="minorHAnsi"/>
          <w:szCs w:val="20"/>
          <w:lang w:eastAsia="pt-BR"/>
        </w:rPr>
        <w:t xml:space="preserve">. </w:t>
      </w:r>
    </w:p>
    <w:p w14:paraId="15820B1F" w14:textId="77777777" w:rsidR="003468A1" w:rsidRPr="001E6E9D" w:rsidRDefault="0053704D" w:rsidP="00AB6A1D">
      <w:pPr>
        <w:pStyle w:val="Ttulo2"/>
        <w:spacing w:after="180"/>
      </w:pPr>
      <w:bookmarkStart w:id="197" w:name="_Ref124160293"/>
      <w:bookmarkStart w:id="198" w:name="_Toc124178548"/>
      <w:bookmarkStart w:id="199" w:name="_Toc159073487"/>
      <w:bookmarkStart w:id="200" w:name="_Toc184129229"/>
      <w:r w:rsidRPr="001E6E9D">
        <w:t>7.2.</w:t>
      </w:r>
      <w:r w:rsidR="00FE0AC9" w:rsidRPr="001E6E9D">
        <w:t xml:space="preserve"> </w:t>
      </w:r>
      <w:r w:rsidRPr="001E6E9D">
        <w:t>Condições às quais a Oferta está submetida</w:t>
      </w:r>
      <w:bookmarkEnd w:id="197"/>
      <w:bookmarkEnd w:id="198"/>
      <w:bookmarkEnd w:id="199"/>
      <w:bookmarkEnd w:id="200"/>
    </w:p>
    <w:p w14:paraId="38F16FF1" w14:textId="77777777" w:rsidR="003468A1" w:rsidRPr="001E6E9D" w:rsidRDefault="0053704D" w:rsidP="00AB6A1D">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 Oferta é irrevogável, exceto nos casos de ocorrência de: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decretação de falência da Emissora; ou </w:t>
      </w:r>
      <w:r w:rsidRPr="001E6E9D">
        <w:rPr>
          <w:rFonts w:asciiTheme="minorHAnsi" w:eastAsia="Times New Roman" w:hAnsiTheme="minorHAnsi" w:cstheme="minorHAnsi"/>
          <w:b/>
          <w:bCs/>
          <w:szCs w:val="20"/>
          <w:lang w:eastAsia="pt-BR"/>
        </w:rPr>
        <w:t>(ii)</w:t>
      </w:r>
      <w:r w:rsidR="003468A1" w:rsidRPr="001E6E9D">
        <w:rPr>
          <w:rFonts w:asciiTheme="minorHAnsi" w:eastAsia="Times New Roman" w:hAnsiTheme="minorHAnsi" w:cstheme="minorHAnsi"/>
          <w:szCs w:val="20"/>
          <w:lang w:eastAsia="pt-BR"/>
        </w:rPr>
        <w:t xml:space="preserve"> </w:t>
      </w:r>
      <w:r w:rsidRPr="001E6E9D">
        <w:rPr>
          <w:rFonts w:asciiTheme="minorHAnsi" w:eastAsia="Times New Roman" w:hAnsiTheme="minorHAnsi" w:cstheme="minorHAnsi"/>
          <w:szCs w:val="20"/>
          <w:lang w:eastAsia="pt-BR"/>
        </w:rPr>
        <w:t xml:space="preserve">qualquer das hipóteses de resilição de Contrato de Distribuição, conforme descritas abaixo, sendo certo que estas não estão sujeita a condições legítimas que não dependam da Emissora ou de pessoas a elas vinculadas, nos termos do artigo 58 da Resolução CVM 160. </w:t>
      </w:r>
    </w:p>
    <w:p w14:paraId="21603590" w14:textId="77777777" w:rsidR="003468A1" w:rsidRPr="001E6E9D" w:rsidRDefault="0053704D" w:rsidP="00AB6A1D">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Em atendimento ao disposto no parágrafo único do artigo 58 da Resolução CVM 160, a liquidação financeira da Oferta está sujeita à verificação, pelos Coordenadores, do atendimento e cumprimento das Condições Precedentes (conforme definido na Escritura de Emissão), sendo que a não implementação de quaisquer dessas condições será tratada como modificação da Oferta.</w:t>
      </w:r>
    </w:p>
    <w:p w14:paraId="02F393F5" w14:textId="77777777" w:rsidR="003468A1" w:rsidRPr="001E6E9D" w:rsidRDefault="0053704D" w:rsidP="00AB6A1D">
      <w:pPr>
        <w:pStyle w:val="Ttulo2"/>
        <w:spacing w:after="180"/>
      </w:pPr>
      <w:bookmarkStart w:id="201" w:name="_Ref124160294"/>
      <w:bookmarkStart w:id="202" w:name="_Toc124178549"/>
      <w:bookmarkStart w:id="203" w:name="_Toc159073488"/>
      <w:bookmarkStart w:id="204" w:name="_Toc184129230"/>
      <w:r w:rsidRPr="001E6E9D">
        <w:rPr>
          <w:iCs/>
          <w:color w:val="000000"/>
          <w:szCs w:val="18"/>
        </w:rPr>
        <w:t>7.3.</w:t>
      </w:r>
      <w:r w:rsidR="00FE0AC9" w:rsidRPr="001E6E9D">
        <w:rPr>
          <w:iCs/>
          <w:color w:val="000000"/>
          <w:szCs w:val="18"/>
        </w:rPr>
        <w:t xml:space="preserve"> </w:t>
      </w:r>
      <w:r w:rsidRPr="001E6E9D">
        <w:t>Eventual destinação da Oferta ou partes da Oferta a investidores específicos e a descrição destes investidores</w:t>
      </w:r>
      <w:bookmarkEnd w:id="201"/>
      <w:bookmarkEnd w:id="202"/>
      <w:bookmarkEnd w:id="203"/>
      <w:bookmarkEnd w:id="204"/>
    </w:p>
    <w:p w14:paraId="557FCBC9" w14:textId="5FCE56A1" w:rsidR="003468A1" w:rsidRPr="001E6E9D" w:rsidRDefault="0053704D" w:rsidP="00AB6A1D">
      <w:pPr>
        <w:tabs>
          <w:tab w:val="left" w:pos="851"/>
        </w:tabs>
        <w:autoSpaceDE w:val="0"/>
        <w:autoSpaceDN w:val="0"/>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As Debêntures serão objeto de distribuição pública destinada exclusivamente a Investidores Qualificados, assim definidos nos termos do artigo 12 da Resolução CVM 30. </w:t>
      </w:r>
    </w:p>
    <w:p w14:paraId="22B9B730" w14:textId="77777777" w:rsidR="003468A1" w:rsidRPr="001E6E9D" w:rsidRDefault="0053704D" w:rsidP="00AB6A1D">
      <w:pPr>
        <w:pStyle w:val="Ttulo2"/>
        <w:spacing w:after="180"/>
      </w:pPr>
      <w:bookmarkStart w:id="205" w:name="_Ref124160295"/>
      <w:bookmarkStart w:id="206" w:name="_Toc124178550"/>
      <w:bookmarkStart w:id="207" w:name="_Toc159073489"/>
      <w:bookmarkStart w:id="208" w:name="_Toc184129231"/>
      <w:r w:rsidRPr="001E6E9D">
        <w:rPr>
          <w:iCs/>
          <w:color w:val="000000"/>
          <w:szCs w:val="18"/>
        </w:rPr>
        <w:t>7.4.</w:t>
      </w:r>
      <w:r w:rsidR="00FE0AC9" w:rsidRPr="001E6E9D">
        <w:rPr>
          <w:iCs/>
          <w:color w:val="000000"/>
          <w:szCs w:val="18"/>
        </w:rPr>
        <w:t xml:space="preserve"> </w:t>
      </w:r>
      <w:r w:rsidRPr="001E6E9D">
        <w:t>Autorizações societárias</w:t>
      </w:r>
      <w:bookmarkEnd w:id="205"/>
      <w:bookmarkEnd w:id="206"/>
      <w:bookmarkEnd w:id="207"/>
      <w:bookmarkEnd w:id="208"/>
    </w:p>
    <w:p w14:paraId="1687DD82" w14:textId="42D0479B" w:rsidR="003468A1" w:rsidRPr="001E6E9D" w:rsidRDefault="0044460A" w:rsidP="00AB6A1D">
      <w:pPr>
        <w:autoSpaceDE w:val="0"/>
        <w:autoSpaceDN w:val="0"/>
        <w:adjustRightInd w:val="0"/>
        <w:spacing w:after="180"/>
        <w:rPr>
          <w:rFonts w:asciiTheme="minorHAnsi" w:eastAsia="Times New Roman" w:hAnsiTheme="minorHAnsi" w:cstheme="minorHAnsi"/>
          <w:szCs w:val="20"/>
          <w:lang w:eastAsia="pt-BR"/>
        </w:rPr>
      </w:pPr>
      <w:r w:rsidRPr="001E6E9D">
        <w:rPr>
          <w:rFonts w:asciiTheme="minorHAnsi" w:hAnsiTheme="minorHAnsi" w:cstheme="minorHAnsi"/>
          <w:szCs w:val="20"/>
        </w:rPr>
        <w:t xml:space="preserve">A Escritura de Emissão foi celebrada com base nas deliberações da assembleia geral extraordinária da Emissora realizada em </w:t>
      </w:r>
      <w:r w:rsidR="00F74BE4" w:rsidRPr="001E6E9D">
        <w:rPr>
          <w:rFonts w:asciiTheme="minorHAnsi" w:hAnsiTheme="minorHAnsi" w:cstheme="minorHAnsi"/>
          <w:szCs w:val="20"/>
        </w:rPr>
        <w:t xml:space="preserve">4 </w:t>
      </w:r>
      <w:r w:rsidRPr="001E6E9D">
        <w:rPr>
          <w:rFonts w:asciiTheme="minorHAnsi" w:hAnsiTheme="minorHAnsi" w:cstheme="minorHAnsi"/>
          <w:szCs w:val="20"/>
        </w:rPr>
        <w:t xml:space="preserve">de </w:t>
      </w:r>
      <w:r w:rsidR="00F74BE4" w:rsidRPr="001E6E9D">
        <w:rPr>
          <w:rFonts w:asciiTheme="minorHAnsi" w:hAnsiTheme="minorHAnsi" w:cstheme="minorHAnsi"/>
          <w:szCs w:val="20"/>
        </w:rPr>
        <w:t xml:space="preserve">dezembro </w:t>
      </w:r>
      <w:r w:rsidRPr="001E6E9D">
        <w:rPr>
          <w:rFonts w:asciiTheme="minorHAnsi" w:hAnsiTheme="minorHAnsi" w:cstheme="minorHAnsi"/>
          <w:szCs w:val="20"/>
        </w:rPr>
        <w:t>de 2024</w:t>
      </w:r>
      <w:r w:rsidR="00BA18AC">
        <w:rPr>
          <w:rFonts w:asciiTheme="minorHAnsi" w:hAnsiTheme="minorHAnsi" w:cstheme="minorHAnsi"/>
          <w:szCs w:val="20"/>
        </w:rPr>
        <w:t>,</w:t>
      </w:r>
      <w:r w:rsidR="00BA18AC" w:rsidRPr="00BA18AC">
        <w:t xml:space="preserve"> </w:t>
      </w:r>
      <w:r w:rsidR="00BA18AC" w:rsidRPr="00BA18AC">
        <w:rPr>
          <w:rFonts w:asciiTheme="minorHAnsi" w:hAnsiTheme="minorHAnsi" w:cstheme="minorHAnsi"/>
          <w:szCs w:val="20"/>
        </w:rPr>
        <w:t xml:space="preserve">devidamente arquivada perante a JUCESP em </w:t>
      </w:r>
      <w:r w:rsidR="00BA18AC">
        <w:rPr>
          <w:rFonts w:asciiTheme="minorHAnsi" w:hAnsiTheme="minorHAnsi" w:cstheme="minorHAnsi"/>
          <w:szCs w:val="20"/>
        </w:rPr>
        <w:t>27</w:t>
      </w:r>
      <w:r w:rsidR="00BA18AC" w:rsidRPr="00BA18AC">
        <w:rPr>
          <w:rFonts w:asciiTheme="minorHAnsi" w:hAnsiTheme="minorHAnsi" w:cstheme="minorHAnsi"/>
          <w:szCs w:val="20"/>
        </w:rPr>
        <w:t xml:space="preserve"> de </w:t>
      </w:r>
      <w:r w:rsidR="00BA18AC">
        <w:rPr>
          <w:rFonts w:asciiTheme="minorHAnsi" w:hAnsiTheme="minorHAnsi" w:cstheme="minorHAnsi"/>
          <w:szCs w:val="20"/>
        </w:rPr>
        <w:t>dezembro</w:t>
      </w:r>
      <w:r w:rsidR="00BA18AC" w:rsidRPr="00BA18AC">
        <w:rPr>
          <w:rFonts w:asciiTheme="minorHAnsi" w:hAnsiTheme="minorHAnsi" w:cstheme="minorHAnsi"/>
          <w:szCs w:val="20"/>
        </w:rPr>
        <w:t xml:space="preserve"> de 2024, sob o nº </w:t>
      </w:r>
      <w:r w:rsidR="00BA18AC">
        <w:rPr>
          <w:rFonts w:asciiTheme="minorHAnsi" w:hAnsiTheme="minorHAnsi" w:cstheme="minorHAnsi"/>
          <w:szCs w:val="20"/>
        </w:rPr>
        <w:t>467.428/24-4</w:t>
      </w:r>
      <w:r w:rsidR="00BA18AC" w:rsidRPr="00BA18AC">
        <w:rPr>
          <w:rFonts w:asciiTheme="minorHAnsi" w:hAnsiTheme="minorHAnsi" w:cstheme="minorHAnsi"/>
          <w:szCs w:val="20"/>
        </w:rPr>
        <w:t xml:space="preserve"> e publicada no “</w:t>
      </w:r>
      <w:r w:rsidR="00BA18AC">
        <w:rPr>
          <w:rFonts w:asciiTheme="minorHAnsi" w:hAnsiTheme="minorHAnsi" w:cstheme="minorHAnsi"/>
          <w:szCs w:val="20"/>
        </w:rPr>
        <w:t>Monitor Mercantil</w:t>
      </w:r>
      <w:r w:rsidR="00BA18AC" w:rsidRPr="00BA18AC">
        <w:rPr>
          <w:rFonts w:asciiTheme="minorHAnsi" w:hAnsiTheme="minorHAnsi" w:cstheme="minorHAnsi"/>
          <w:szCs w:val="20"/>
        </w:rPr>
        <w:t xml:space="preserve">”, em </w:t>
      </w:r>
      <w:r w:rsidR="00BA18AC">
        <w:rPr>
          <w:rFonts w:asciiTheme="minorHAnsi" w:hAnsiTheme="minorHAnsi" w:cstheme="minorHAnsi"/>
          <w:szCs w:val="20"/>
        </w:rPr>
        <w:t xml:space="preserve">04 de janeiro </w:t>
      </w:r>
      <w:r w:rsidR="00BA18AC" w:rsidRPr="00BA18AC">
        <w:rPr>
          <w:rFonts w:asciiTheme="minorHAnsi" w:hAnsiTheme="minorHAnsi" w:cstheme="minorHAnsi"/>
          <w:szCs w:val="20"/>
        </w:rPr>
        <w:t>de 202</w:t>
      </w:r>
      <w:r w:rsidR="00BA18AC">
        <w:rPr>
          <w:rFonts w:asciiTheme="minorHAnsi" w:hAnsiTheme="minorHAnsi" w:cstheme="minorHAnsi"/>
          <w:szCs w:val="20"/>
        </w:rPr>
        <w:t>5</w:t>
      </w:r>
      <w:r w:rsidR="00BA18AC" w:rsidRPr="001E6E9D">
        <w:rPr>
          <w:rFonts w:asciiTheme="minorHAnsi" w:hAnsiTheme="minorHAnsi" w:cstheme="minorHAnsi"/>
          <w:szCs w:val="20"/>
        </w:rPr>
        <w:t xml:space="preserve"> </w:t>
      </w:r>
      <w:r w:rsidRPr="001E6E9D">
        <w:rPr>
          <w:rFonts w:asciiTheme="minorHAnsi" w:hAnsiTheme="minorHAnsi" w:cstheme="minorHAnsi"/>
          <w:szCs w:val="20"/>
        </w:rPr>
        <w:t>(</w:t>
      </w:r>
      <w:r w:rsidR="000D5E35" w:rsidRPr="001E6E9D">
        <w:rPr>
          <w:rFonts w:asciiTheme="minorHAnsi" w:hAnsiTheme="minorHAnsi" w:cstheme="minorHAnsi"/>
          <w:szCs w:val="20"/>
        </w:rPr>
        <w:t>“</w:t>
      </w:r>
      <w:r w:rsidRPr="001E6E9D">
        <w:rPr>
          <w:rFonts w:asciiTheme="minorHAnsi" w:hAnsiTheme="minorHAnsi" w:cstheme="minorHAnsi"/>
          <w:szCs w:val="20"/>
          <w:u w:val="single"/>
        </w:rPr>
        <w:t>Aprovação Societária da Emissora</w:t>
      </w:r>
      <w:r w:rsidRPr="001E6E9D">
        <w:rPr>
          <w:rFonts w:asciiTheme="minorHAnsi" w:hAnsiTheme="minorHAnsi" w:cstheme="minorHAnsi"/>
          <w:szCs w:val="20"/>
        </w:rPr>
        <w:t>”), nas quais foram deliberadas, dentre outras matérias: (a) a aprovação da Emissão (conforme definido abaixo) e da Oferta (conforme definido abaixo), bem como seus termos e condições, nos termos do artigo 59 da Lei nº 6.404, de 15 de dezembro de 1976, conforme alterada (</w:t>
      </w:r>
      <w:r w:rsidR="000D5E35" w:rsidRPr="001E6E9D">
        <w:rPr>
          <w:rFonts w:asciiTheme="minorHAnsi" w:hAnsiTheme="minorHAnsi" w:cstheme="minorHAnsi"/>
          <w:szCs w:val="20"/>
        </w:rPr>
        <w:t>“</w:t>
      </w:r>
      <w:r w:rsidRPr="001E6E9D">
        <w:rPr>
          <w:rFonts w:asciiTheme="minorHAnsi" w:hAnsiTheme="minorHAnsi" w:cstheme="minorHAnsi"/>
          <w:szCs w:val="20"/>
          <w:u w:val="single"/>
        </w:rPr>
        <w:t>Lei das Sociedades por Ações</w:t>
      </w:r>
      <w:r w:rsidRPr="001E6E9D">
        <w:rPr>
          <w:rFonts w:asciiTheme="minorHAnsi" w:hAnsiTheme="minorHAnsi" w:cstheme="minorHAnsi"/>
          <w:szCs w:val="20"/>
        </w:rPr>
        <w:t xml:space="preserve">”); (b) a constituição e outorga da Cessão Fiduciária, da Alienação Fiduciária de Equipamentos e da Alienação Fiduciária de Quotas das SPEs (conforme abaixo definidas); e (c) a autorização à diretoria da Emissora a adotar todos e quaisquer atos e a assinar todos e quaisquer documentos necessários à implementação e formalização das deliberações da Aprovação Societária da Emissora, especialmente para a realização da Oferta e da Emissão, incluindo, mas não se limitando, </w:t>
      </w:r>
      <w:r w:rsidR="00C75E87" w:rsidRPr="001E6E9D">
        <w:rPr>
          <w:rFonts w:asciiTheme="minorHAnsi" w:hAnsiTheme="minorHAnsi" w:cstheme="minorHAnsi"/>
          <w:szCs w:val="20"/>
        </w:rPr>
        <w:t>à Escritura</w:t>
      </w:r>
      <w:r w:rsidRPr="001E6E9D">
        <w:rPr>
          <w:rFonts w:asciiTheme="minorHAnsi" w:hAnsiTheme="minorHAnsi" w:cstheme="minorHAnsi"/>
          <w:szCs w:val="20"/>
        </w:rPr>
        <w:t xml:space="preserve"> de Emissão, os Contratos de Garantia, o Contrato de </w:t>
      </w:r>
      <w:r w:rsidRPr="001E6E9D">
        <w:rPr>
          <w:rFonts w:asciiTheme="minorHAnsi" w:hAnsiTheme="minorHAnsi" w:cstheme="minorHAnsi"/>
          <w:bCs/>
          <w:szCs w:val="20"/>
        </w:rPr>
        <w:t xml:space="preserve">Distribuição, </w:t>
      </w:r>
      <w:r w:rsidRPr="001E6E9D">
        <w:rPr>
          <w:rFonts w:asciiTheme="minorHAnsi" w:hAnsiTheme="minorHAnsi" w:cstheme="minorHAnsi"/>
          <w:szCs w:val="20"/>
        </w:rPr>
        <w:t>bem como seus eventuais e respectivos aditamentos, bem como a ratificação de todos e quaisquer atos até então adotados e todos e quaisquer documentos até então assinados pela diretoria da Emissora para a implementação, em especial, mas não se limitando, da Oferta, das Garantias e da Emissão.</w:t>
      </w:r>
      <w:bookmarkStart w:id="209" w:name="_DV_M40"/>
      <w:bookmarkStart w:id="210" w:name="_DV_M27"/>
      <w:bookmarkStart w:id="211" w:name="_DV_M41"/>
      <w:bookmarkStart w:id="212" w:name="_DV_M42"/>
      <w:bookmarkEnd w:id="209"/>
      <w:bookmarkEnd w:id="210"/>
      <w:bookmarkEnd w:id="211"/>
      <w:bookmarkEnd w:id="212"/>
      <w:r w:rsidR="0053704D" w:rsidRPr="001E6E9D">
        <w:rPr>
          <w:rFonts w:asciiTheme="minorHAnsi" w:eastAsia="Times New Roman" w:hAnsiTheme="minorHAnsi" w:cstheme="minorHAnsi"/>
          <w:szCs w:val="20"/>
          <w:lang w:eastAsia="pt-BR"/>
        </w:rPr>
        <w:t xml:space="preserve"> </w:t>
      </w:r>
    </w:p>
    <w:p w14:paraId="5767B23D" w14:textId="7EAF58EE" w:rsidR="0044460A" w:rsidRPr="001E6E9D" w:rsidRDefault="0044460A" w:rsidP="00AB6A1D">
      <w:pPr>
        <w:autoSpaceDE w:val="0"/>
        <w:autoSpaceDN w:val="0"/>
        <w:adjustRightInd w:val="0"/>
        <w:spacing w:after="180"/>
        <w:rPr>
          <w:rFonts w:asciiTheme="minorHAnsi" w:hAnsiTheme="minorHAnsi" w:cstheme="minorHAnsi"/>
          <w:szCs w:val="20"/>
        </w:rPr>
      </w:pPr>
      <w:r w:rsidRPr="001E6E9D">
        <w:rPr>
          <w:rFonts w:asciiTheme="minorHAnsi" w:hAnsiTheme="minorHAnsi" w:cstheme="minorHAnsi"/>
          <w:szCs w:val="20"/>
        </w:rPr>
        <w:t xml:space="preserve">A constituição e outorga da Fiança pelas SPEs, da Alienação Fiduciária de Equipamentos pelas SPEs e da Cessão Fiduciária pelas SPEs, bem como a autorização à diretoria das SPEs a adotar todos e quaisquer atos e a assinar todos e quaisquer documentos necessários à implementação e formalização da Fiança pelas SPEs, da Alienação Fiduciária de Equipamentos pelas SPEs e da Cessão Fiduciária pelas SPEs, especialmente para a realização da Oferta e da Emissão, incluindo, mas não se limitando, </w:t>
      </w:r>
      <w:r w:rsidR="00C75E87" w:rsidRPr="001E6E9D">
        <w:rPr>
          <w:rFonts w:asciiTheme="minorHAnsi" w:hAnsiTheme="minorHAnsi" w:cstheme="minorHAnsi"/>
          <w:szCs w:val="20"/>
        </w:rPr>
        <w:t>à Escritura</w:t>
      </w:r>
      <w:r w:rsidRPr="001E6E9D">
        <w:rPr>
          <w:rFonts w:asciiTheme="minorHAnsi" w:hAnsiTheme="minorHAnsi" w:cstheme="minorHAnsi"/>
          <w:szCs w:val="20"/>
        </w:rPr>
        <w:t xml:space="preserve"> de Emissão, os Contratos de Garantia, o Contrato de </w:t>
      </w:r>
      <w:r w:rsidRPr="001E6E9D">
        <w:rPr>
          <w:rFonts w:asciiTheme="minorHAnsi" w:hAnsiTheme="minorHAnsi" w:cstheme="minorHAnsi"/>
          <w:bCs/>
          <w:szCs w:val="20"/>
        </w:rPr>
        <w:t xml:space="preserve">Distribuição, </w:t>
      </w:r>
      <w:r w:rsidRPr="001E6E9D">
        <w:rPr>
          <w:rFonts w:asciiTheme="minorHAnsi" w:hAnsiTheme="minorHAnsi" w:cstheme="minorHAnsi"/>
          <w:szCs w:val="20"/>
        </w:rPr>
        <w:t>bem como seus eventuais e respectivos aditamentos, bem como a ratificação de todos e quaisquer atos até então adotados e todos e quaisquer documentos até então assinados pela diretoria das SPEs para a implementação, em especial, mas sem não se limitando, da Oferta, das Garantias e da Emissão, foram aprovadas com base nas deliberações da Aprovação Societária da FERP (conforme abaixo definido).</w:t>
      </w:r>
    </w:p>
    <w:p w14:paraId="6CCE7240" w14:textId="292BDD92" w:rsidR="0044460A" w:rsidRPr="001E6E9D" w:rsidRDefault="0044460A" w:rsidP="00AB6A1D">
      <w:pPr>
        <w:autoSpaceDE w:val="0"/>
        <w:autoSpaceDN w:val="0"/>
        <w:adjustRightInd w:val="0"/>
        <w:spacing w:after="180"/>
        <w:rPr>
          <w:rFonts w:asciiTheme="minorHAnsi" w:eastAsia="Times New Roman" w:hAnsiTheme="minorHAnsi" w:cstheme="minorHAnsi"/>
          <w:spacing w:val="2"/>
          <w:szCs w:val="20"/>
          <w:lang w:eastAsia="pt-BR"/>
        </w:rPr>
      </w:pPr>
      <w:r w:rsidRPr="001E6E9D">
        <w:rPr>
          <w:rFonts w:asciiTheme="minorHAnsi" w:hAnsiTheme="minorHAnsi" w:cstheme="minorHAnsi"/>
          <w:spacing w:val="2"/>
          <w:szCs w:val="20"/>
        </w:rPr>
        <w:t xml:space="preserve">A Alienação Fiduciária de Ações da Emissora e a Alienação Fiduciária de Quotas das SPEs são celebradas com base nas deliberações da </w:t>
      </w:r>
      <w:r w:rsidRPr="001E6E9D">
        <w:rPr>
          <w:rFonts w:asciiTheme="minorHAnsi" w:hAnsiTheme="minorHAnsi" w:cstheme="minorHAnsi"/>
          <w:spacing w:val="2"/>
        </w:rPr>
        <w:t>reunião do conselho de administração</w:t>
      </w:r>
      <w:r w:rsidRPr="001E6E9D">
        <w:rPr>
          <w:rFonts w:asciiTheme="minorHAnsi" w:hAnsiTheme="minorHAnsi" w:cstheme="minorHAnsi"/>
          <w:spacing w:val="2"/>
          <w:szCs w:val="20"/>
        </w:rPr>
        <w:t xml:space="preserve"> da FERP realizada em </w:t>
      </w:r>
      <w:r w:rsidR="00F74BE4" w:rsidRPr="001E6E9D">
        <w:rPr>
          <w:rFonts w:asciiTheme="minorHAnsi" w:hAnsiTheme="minorHAnsi" w:cstheme="minorHAnsi"/>
          <w:spacing w:val="2"/>
          <w:szCs w:val="20"/>
        </w:rPr>
        <w:t xml:space="preserve">19 </w:t>
      </w:r>
      <w:r w:rsidRPr="001E6E9D">
        <w:rPr>
          <w:rFonts w:asciiTheme="minorHAnsi" w:hAnsiTheme="minorHAnsi" w:cstheme="minorHAnsi"/>
          <w:spacing w:val="2"/>
          <w:szCs w:val="20"/>
        </w:rPr>
        <w:t xml:space="preserve">de </w:t>
      </w:r>
      <w:r w:rsidR="00F74BE4" w:rsidRPr="001E6E9D">
        <w:rPr>
          <w:rFonts w:asciiTheme="minorHAnsi" w:hAnsiTheme="minorHAnsi" w:cstheme="minorHAnsi"/>
          <w:spacing w:val="2"/>
          <w:szCs w:val="20"/>
        </w:rPr>
        <w:t xml:space="preserve">novembro </w:t>
      </w:r>
      <w:r w:rsidRPr="001E6E9D">
        <w:rPr>
          <w:rFonts w:asciiTheme="minorHAnsi" w:hAnsiTheme="minorHAnsi" w:cstheme="minorHAnsi"/>
          <w:spacing w:val="2"/>
          <w:szCs w:val="20"/>
        </w:rPr>
        <w:t>de 2024</w:t>
      </w:r>
      <w:r w:rsidR="00A47E33">
        <w:rPr>
          <w:rFonts w:asciiTheme="minorHAnsi" w:hAnsiTheme="minorHAnsi" w:cstheme="minorHAnsi"/>
          <w:spacing w:val="2"/>
          <w:szCs w:val="20"/>
        </w:rPr>
        <w:t xml:space="preserve">, </w:t>
      </w:r>
      <w:r w:rsidR="0015668D" w:rsidRPr="00BA18AC">
        <w:rPr>
          <w:rFonts w:asciiTheme="minorHAnsi" w:hAnsiTheme="minorHAnsi" w:cstheme="minorHAnsi"/>
          <w:szCs w:val="20"/>
        </w:rPr>
        <w:t xml:space="preserve">devidamente arquivada perante a JUCESP em </w:t>
      </w:r>
      <w:r w:rsidR="0015668D">
        <w:rPr>
          <w:rFonts w:asciiTheme="minorHAnsi" w:hAnsiTheme="minorHAnsi" w:cstheme="minorHAnsi"/>
          <w:szCs w:val="20"/>
        </w:rPr>
        <w:t>22</w:t>
      </w:r>
      <w:r w:rsidR="0015668D" w:rsidRPr="00BA18AC">
        <w:rPr>
          <w:rFonts w:asciiTheme="minorHAnsi" w:hAnsiTheme="minorHAnsi" w:cstheme="minorHAnsi"/>
          <w:szCs w:val="20"/>
        </w:rPr>
        <w:t xml:space="preserve"> de </w:t>
      </w:r>
      <w:r w:rsidR="0015668D">
        <w:rPr>
          <w:rFonts w:asciiTheme="minorHAnsi" w:hAnsiTheme="minorHAnsi" w:cstheme="minorHAnsi"/>
          <w:szCs w:val="20"/>
        </w:rPr>
        <w:t>novembro</w:t>
      </w:r>
      <w:r w:rsidR="0015668D" w:rsidRPr="00BA18AC">
        <w:rPr>
          <w:rFonts w:asciiTheme="minorHAnsi" w:hAnsiTheme="minorHAnsi" w:cstheme="minorHAnsi"/>
          <w:szCs w:val="20"/>
        </w:rPr>
        <w:t xml:space="preserve"> de 2024, sob o nº</w:t>
      </w:r>
      <w:r w:rsidR="004D22D9">
        <w:rPr>
          <w:rFonts w:asciiTheme="minorHAnsi" w:hAnsiTheme="minorHAnsi" w:cstheme="minorHAnsi"/>
          <w:szCs w:val="20"/>
        </w:rPr>
        <w:t> </w:t>
      </w:r>
      <w:r w:rsidR="0015668D">
        <w:rPr>
          <w:rFonts w:asciiTheme="minorHAnsi" w:hAnsiTheme="minorHAnsi" w:cstheme="minorHAnsi"/>
          <w:szCs w:val="20"/>
        </w:rPr>
        <w:t>411.396/24-9</w:t>
      </w:r>
      <w:r w:rsidRPr="001E6E9D">
        <w:rPr>
          <w:rFonts w:asciiTheme="minorHAnsi" w:hAnsiTheme="minorHAnsi" w:cstheme="minorHAnsi"/>
          <w:spacing w:val="2"/>
          <w:szCs w:val="20"/>
        </w:rPr>
        <w:t xml:space="preserve"> (</w:t>
      </w:r>
      <w:r w:rsidR="000D5E35" w:rsidRPr="001E6E9D">
        <w:rPr>
          <w:rFonts w:asciiTheme="minorHAnsi" w:hAnsiTheme="minorHAnsi" w:cstheme="minorHAnsi"/>
          <w:spacing w:val="2"/>
          <w:szCs w:val="20"/>
        </w:rPr>
        <w:t>“</w:t>
      </w:r>
      <w:r w:rsidRPr="001E6E9D">
        <w:rPr>
          <w:rFonts w:asciiTheme="minorHAnsi" w:hAnsiTheme="minorHAnsi" w:cstheme="minorHAnsi"/>
          <w:spacing w:val="2"/>
          <w:szCs w:val="20"/>
          <w:u w:val="single"/>
        </w:rPr>
        <w:t>Aprovação Societária da FERP</w:t>
      </w:r>
      <w:r w:rsidRPr="001E6E9D">
        <w:rPr>
          <w:rFonts w:asciiTheme="minorHAnsi" w:hAnsiTheme="minorHAnsi" w:cstheme="minorHAnsi"/>
          <w:spacing w:val="2"/>
          <w:szCs w:val="20"/>
        </w:rPr>
        <w:t xml:space="preserve">” e, quando em conjunto com a Aprovação Societária da Emissora, </w:t>
      </w:r>
      <w:r w:rsidR="000D5E35" w:rsidRPr="001E6E9D">
        <w:rPr>
          <w:rFonts w:asciiTheme="minorHAnsi" w:hAnsiTheme="minorHAnsi" w:cstheme="minorHAnsi"/>
          <w:spacing w:val="2"/>
          <w:szCs w:val="20"/>
        </w:rPr>
        <w:t>“</w:t>
      </w:r>
      <w:r w:rsidRPr="001E6E9D">
        <w:rPr>
          <w:rFonts w:asciiTheme="minorHAnsi" w:hAnsiTheme="minorHAnsi" w:cstheme="minorHAnsi"/>
          <w:spacing w:val="2"/>
          <w:szCs w:val="20"/>
          <w:u w:val="single"/>
        </w:rPr>
        <w:t>Aprovações Societárias</w:t>
      </w:r>
      <w:r w:rsidRPr="001E6E9D">
        <w:rPr>
          <w:rFonts w:asciiTheme="minorHAnsi" w:hAnsiTheme="minorHAnsi" w:cstheme="minorHAnsi"/>
          <w:spacing w:val="2"/>
          <w:szCs w:val="20"/>
        </w:rPr>
        <w:t>”), na qual foram deliberadas, dentre outras matérias: (a) a Alienação Fiduciária de Ações da Emissora e a Alienação Fiduciária das Quotas das SPEs; e (b) a autorização à diretoria/administração da FERP a adotar todos e quaisquer atos e a assinar todos e quaisquer documentos necessários à implementação e formalização da Alienação Fiduciária de Ações da Emissora e da Alienação Fiduciária de Quotas das SPEs, especialmente para a realização da Oferta e da Emissão, incluindo, mas não se limitando, a celebração d</w:t>
      </w:r>
      <w:r w:rsidR="00C75E87" w:rsidRPr="001E6E9D">
        <w:rPr>
          <w:rFonts w:asciiTheme="minorHAnsi" w:hAnsiTheme="minorHAnsi" w:cstheme="minorHAnsi"/>
          <w:spacing w:val="2"/>
          <w:szCs w:val="20"/>
        </w:rPr>
        <w:t>a Escritura</w:t>
      </w:r>
      <w:r w:rsidRPr="001E6E9D">
        <w:rPr>
          <w:rFonts w:asciiTheme="minorHAnsi" w:hAnsiTheme="minorHAnsi" w:cstheme="minorHAnsi"/>
          <w:spacing w:val="2"/>
          <w:szCs w:val="20"/>
        </w:rPr>
        <w:t xml:space="preserve"> de Emissão, dos Contratos de Garantia, do Contrato de </w:t>
      </w:r>
      <w:r w:rsidRPr="001E6E9D">
        <w:rPr>
          <w:rFonts w:asciiTheme="minorHAnsi" w:hAnsiTheme="minorHAnsi" w:cstheme="minorHAnsi"/>
          <w:bCs/>
          <w:spacing w:val="2"/>
          <w:szCs w:val="20"/>
        </w:rPr>
        <w:t xml:space="preserve">Distribuição, das alterações aos contratos sociais </w:t>
      </w:r>
      <w:r w:rsidRPr="001E6E9D">
        <w:rPr>
          <w:rFonts w:asciiTheme="minorHAnsi" w:hAnsiTheme="minorHAnsi" w:cstheme="minorHAnsi"/>
          <w:spacing w:val="2"/>
          <w:szCs w:val="20"/>
        </w:rPr>
        <w:t xml:space="preserve">das SPEs, bem como seus eventuais e respectivos aditamentos, bem como a ratificação de todos e quaisquer atos até então adotados e todos e quaisquer documentos até então assinados pela </w:t>
      </w:r>
      <w:r w:rsidRPr="001E6E9D">
        <w:rPr>
          <w:rFonts w:asciiTheme="minorHAnsi" w:hAnsiTheme="minorHAnsi" w:cstheme="minorHAnsi"/>
          <w:spacing w:val="2"/>
          <w:szCs w:val="20"/>
        </w:rPr>
        <w:lastRenderedPageBreak/>
        <w:t>diretoria/administração da FERP para a implementação, em especial, mas sem não se limitando, da Oferta, das Garantias e da Emissão.</w:t>
      </w:r>
    </w:p>
    <w:p w14:paraId="7549893C" w14:textId="77777777" w:rsidR="003468A1" w:rsidRPr="001E6E9D" w:rsidRDefault="0053704D" w:rsidP="00DC7081">
      <w:pPr>
        <w:pStyle w:val="Ttulo2"/>
      </w:pPr>
      <w:bookmarkStart w:id="213" w:name="_Ref124160296"/>
      <w:bookmarkStart w:id="214" w:name="_Toc124178551"/>
      <w:bookmarkStart w:id="215" w:name="_Toc159073490"/>
      <w:bookmarkStart w:id="216" w:name="_Toc184129232"/>
      <w:r w:rsidRPr="001E6E9D">
        <w:rPr>
          <w:iCs/>
          <w:color w:val="000000"/>
          <w:szCs w:val="18"/>
        </w:rPr>
        <w:t>7.5.</w:t>
      </w:r>
      <w:r w:rsidR="00FE0AC9" w:rsidRPr="001E6E9D">
        <w:rPr>
          <w:iCs/>
          <w:color w:val="000000"/>
          <w:szCs w:val="18"/>
        </w:rPr>
        <w:t xml:space="preserve"> </w:t>
      </w:r>
      <w:r w:rsidRPr="001E6E9D">
        <w:t>Regime de distribuição</w:t>
      </w:r>
      <w:bookmarkEnd w:id="213"/>
      <w:bookmarkEnd w:id="214"/>
      <w:bookmarkEnd w:id="215"/>
      <w:bookmarkEnd w:id="216"/>
      <w:r w:rsidRPr="001E6E9D">
        <w:t xml:space="preserve"> </w:t>
      </w:r>
    </w:p>
    <w:p w14:paraId="2122A7CD" w14:textId="3093283D"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As Debêntures serão objeto de distribuição pública, nos termos do artigo 26 da Resolução CVM 160, conduzida pelos Coordenadores, na qualidade de instituições intermediárias da Oferta, sob o regime de garantia firme de colocação, em condições que assegurem tratamento equitativo aos destinatários e aceitantes da Oferta, conforme procedimentos previstos na Resolução CVM 160, observados, ainda, o cumprimento as Condições Precedentes estabelecidas no Contrato de Distribuição.</w:t>
      </w:r>
      <w:bookmarkStart w:id="217" w:name="_Ref124160297"/>
      <w:bookmarkStart w:id="218" w:name="_Toc124178552"/>
    </w:p>
    <w:p w14:paraId="498C379E" w14:textId="77777777" w:rsidR="003468A1" w:rsidRPr="001E6E9D" w:rsidRDefault="0053704D" w:rsidP="00DC7081">
      <w:pPr>
        <w:pStyle w:val="Ttulo2"/>
      </w:pPr>
      <w:bookmarkStart w:id="219" w:name="_Ref158845011"/>
      <w:bookmarkStart w:id="220" w:name="_Toc159073491"/>
      <w:bookmarkStart w:id="221" w:name="_Toc184129233"/>
      <w:r w:rsidRPr="001E6E9D">
        <w:rPr>
          <w:iCs/>
          <w:color w:val="000000"/>
          <w:szCs w:val="18"/>
        </w:rPr>
        <w:t>7.6.</w:t>
      </w:r>
      <w:r w:rsidR="00FE0AC9" w:rsidRPr="001E6E9D">
        <w:rPr>
          <w:iCs/>
          <w:color w:val="000000"/>
          <w:szCs w:val="18"/>
        </w:rPr>
        <w:t xml:space="preserve"> </w:t>
      </w:r>
      <w:r w:rsidRPr="001E6E9D">
        <w:t>Dinâmica de coleta de intenções de investimento</w:t>
      </w:r>
      <w:bookmarkEnd w:id="217"/>
      <w:bookmarkEnd w:id="218"/>
      <w:bookmarkEnd w:id="219"/>
      <w:bookmarkEnd w:id="220"/>
      <w:bookmarkEnd w:id="221"/>
      <w:r w:rsidRPr="001E6E9D">
        <w:t xml:space="preserve"> </w:t>
      </w:r>
    </w:p>
    <w:p w14:paraId="233E8191" w14:textId="63D06ABC" w:rsidR="003468A1" w:rsidRPr="002E5F78" w:rsidRDefault="0044460A" w:rsidP="00DC7081">
      <w:pPr>
        <w:tabs>
          <w:tab w:val="left" w:pos="851"/>
        </w:tabs>
        <w:autoSpaceDE w:val="0"/>
        <w:autoSpaceDN w:val="0"/>
        <w:rPr>
          <w:rFonts w:asciiTheme="minorHAnsi" w:hAnsiTheme="minorHAnsi" w:cstheme="minorHAnsi"/>
          <w:szCs w:val="20"/>
        </w:rPr>
      </w:pPr>
      <w:r w:rsidRPr="001E6E9D">
        <w:rPr>
          <w:rFonts w:asciiTheme="minorHAnsi" w:hAnsiTheme="minorHAnsi" w:cstheme="minorHAnsi"/>
          <w:szCs w:val="20"/>
        </w:rPr>
        <w:t xml:space="preserve">A colocação das Debêntures </w:t>
      </w:r>
      <w:r w:rsidR="004D22D9">
        <w:rPr>
          <w:rFonts w:asciiTheme="minorHAnsi" w:hAnsiTheme="minorHAnsi" w:cstheme="minorHAnsi"/>
          <w:szCs w:val="20"/>
        </w:rPr>
        <w:t>foi</w:t>
      </w:r>
      <w:r w:rsidR="004D22D9" w:rsidRPr="001E6E9D">
        <w:rPr>
          <w:rFonts w:asciiTheme="minorHAnsi" w:hAnsiTheme="minorHAnsi" w:cstheme="minorHAnsi"/>
          <w:szCs w:val="20"/>
        </w:rPr>
        <w:t xml:space="preserve"> </w:t>
      </w:r>
      <w:r w:rsidRPr="001E6E9D">
        <w:rPr>
          <w:rFonts w:asciiTheme="minorHAnsi" w:hAnsiTheme="minorHAnsi" w:cstheme="minorHAnsi"/>
          <w:szCs w:val="20"/>
        </w:rPr>
        <w:t xml:space="preserve">realizada de acordo com os procedimentos da B3, e com o Plano de Distribuição. Os Coordenadores </w:t>
      </w:r>
      <w:r w:rsidR="004D22D9">
        <w:rPr>
          <w:rFonts w:asciiTheme="minorHAnsi" w:hAnsiTheme="minorHAnsi" w:cstheme="minorHAnsi"/>
          <w:szCs w:val="20"/>
        </w:rPr>
        <w:t>organizaram</w:t>
      </w:r>
      <w:r w:rsidR="004D22D9" w:rsidRPr="001E6E9D">
        <w:rPr>
          <w:rFonts w:asciiTheme="minorHAnsi" w:hAnsiTheme="minorHAnsi" w:cstheme="minorHAnsi"/>
          <w:szCs w:val="20"/>
        </w:rPr>
        <w:t xml:space="preserve"> </w:t>
      </w:r>
      <w:r w:rsidRPr="001E6E9D">
        <w:rPr>
          <w:rFonts w:asciiTheme="minorHAnsi" w:hAnsiTheme="minorHAnsi" w:cstheme="minorHAnsi"/>
          <w:szCs w:val="20"/>
        </w:rPr>
        <w:t xml:space="preserve">o procedimento de coleta de intenções de investimento, junto aos Investidores Qualificados, </w:t>
      </w:r>
      <w:r w:rsidR="004D22D9">
        <w:rPr>
          <w:rFonts w:asciiTheme="minorHAnsi" w:hAnsiTheme="minorHAnsi" w:cstheme="minorHAnsi"/>
          <w:szCs w:val="20"/>
        </w:rPr>
        <w:t>o qual definiu</w:t>
      </w:r>
      <w:r w:rsidRPr="001E6E9D">
        <w:rPr>
          <w:rFonts w:asciiTheme="minorHAnsi" w:hAnsiTheme="minorHAnsi" w:cstheme="minorHAnsi"/>
          <w:szCs w:val="20"/>
        </w:rPr>
        <w:t xml:space="preserve"> </w:t>
      </w:r>
      <w:r w:rsidRPr="001E6E9D">
        <w:rPr>
          <w:rFonts w:asciiTheme="minorHAnsi" w:eastAsia="Arial" w:hAnsiTheme="minorHAnsi" w:cstheme="minorHAnsi"/>
          <w:spacing w:val="-3"/>
          <w:szCs w:val="20"/>
        </w:rPr>
        <w:t>a taxa final dos Juros Remuneratórios</w:t>
      </w:r>
      <w:r w:rsidRPr="001E6E9D">
        <w:rPr>
          <w:rFonts w:asciiTheme="minorHAnsi" w:hAnsiTheme="minorHAnsi" w:cstheme="minorHAnsi"/>
          <w:szCs w:val="20"/>
        </w:rPr>
        <w:t>, de acordo com a demanda apurada (</w:t>
      </w:r>
      <w:r w:rsidR="000D5E35" w:rsidRPr="001E6E9D">
        <w:rPr>
          <w:rFonts w:asciiTheme="minorHAnsi" w:hAnsiTheme="minorHAnsi" w:cstheme="minorHAnsi"/>
          <w:szCs w:val="20"/>
        </w:rPr>
        <w:t>“</w:t>
      </w:r>
      <w:r w:rsidRPr="001E6E9D">
        <w:rPr>
          <w:rFonts w:asciiTheme="minorHAnsi" w:hAnsiTheme="minorHAnsi" w:cstheme="minorHAnsi"/>
          <w:szCs w:val="20"/>
          <w:u w:val="single"/>
        </w:rPr>
        <w:t xml:space="preserve">Procedimento de </w:t>
      </w:r>
      <w:r w:rsidRPr="001E6E9D">
        <w:rPr>
          <w:rFonts w:asciiTheme="minorHAnsi" w:hAnsiTheme="minorHAnsi" w:cstheme="minorHAnsi"/>
          <w:i/>
          <w:szCs w:val="20"/>
          <w:u w:val="single"/>
        </w:rPr>
        <w:t>Bookbuilding</w:t>
      </w:r>
      <w:r w:rsidRPr="001E6E9D">
        <w:rPr>
          <w:rFonts w:asciiTheme="minorHAnsi" w:hAnsiTheme="minorHAnsi" w:cstheme="minorHAnsi"/>
          <w:szCs w:val="20"/>
        </w:rPr>
        <w:t xml:space="preserve">”). </w:t>
      </w:r>
      <w:r w:rsidR="004D22D9">
        <w:rPr>
          <w:rFonts w:asciiTheme="minorHAnsi" w:hAnsiTheme="minorHAnsi" w:cstheme="minorHAnsi"/>
          <w:szCs w:val="20"/>
        </w:rPr>
        <w:t xml:space="preserve">O resultado do Procedimento de </w:t>
      </w:r>
      <w:r w:rsidR="004D22D9" w:rsidRPr="002E5F78">
        <w:rPr>
          <w:rFonts w:asciiTheme="minorHAnsi" w:hAnsiTheme="minorHAnsi" w:cstheme="minorHAnsi"/>
          <w:i/>
          <w:iCs/>
          <w:szCs w:val="20"/>
        </w:rPr>
        <w:t>Bookbuilding</w:t>
      </w:r>
      <w:r w:rsidR="004D22D9">
        <w:rPr>
          <w:rFonts w:asciiTheme="minorHAnsi" w:hAnsiTheme="minorHAnsi" w:cstheme="minorHAnsi"/>
          <w:szCs w:val="20"/>
        </w:rPr>
        <w:t xml:space="preserve"> foi ratificado</w:t>
      </w:r>
      <w:r w:rsidRPr="001E6E9D">
        <w:rPr>
          <w:rFonts w:asciiTheme="minorHAnsi" w:hAnsiTheme="minorHAnsi" w:cstheme="minorHAnsi"/>
          <w:szCs w:val="20"/>
        </w:rPr>
        <w:t xml:space="preserve"> por meio de aditamento à Escritura de Emissão (</w:t>
      </w:r>
      <w:r w:rsidR="000D5E35" w:rsidRPr="001E6E9D">
        <w:rPr>
          <w:rFonts w:asciiTheme="minorHAnsi" w:hAnsiTheme="minorHAnsi" w:cstheme="minorHAnsi"/>
          <w:szCs w:val="20"/>
        </w:rPr>
        <w:t>“</w:t>
      </w:r>
      <w:r w:rsidRPr="001E6E9D">
        <w:rPr>
          <w:rFonts w:asciiTheme="minorHAnsi" w:hAnsiTheme="minorHAnsi" w:cstheme="minorHAnsi"/>
          <w:szCs w:val="20"/>
          <w:u w:val="single"/>
        </w:rPr>
        <w:t xml:space="preserve">Aditamento </w:t>
      </w:r>
      <w:r w:rsidRPr="001E6E9D">
        <w:rPr>
          <w:rFonts w:asciiTheme="minorHAnsi" w:hAnsiTheme="minorHAnsi" w:cstheme="minorHAnsi"/>
          <w:i/>
          <w:szCs w:val="20"/>
          <w:u w:val="single"/>
        </w:rPr>
        <w:t>Bookbuilding</w:t>
      </w:r>
      <w:r w:rsidRPr="001E6E9D">
        <w:rPr>
          <w:rFonts w:asciiTheme="minorHAnsi" w:hAnsiTheme="minorHAnsi" w:cstheme="minorHAnsi"/>
          <w:szCs w:val="20"/>
        </w:rPr>
        <w:t xml:space="preserve">”), que deverá ser arquivado na JUCESP e averbado à margem do registro da Escritura no Cartório de RTD, conforme previsto na Escritura de Emissão. O resultado do Procedimento de </w:t>
      </w:r>
      <w:r w:rsidRPr="001E6E9D">
        <w:rPr>
          <w:rFonts w:asciiTheme="minorHAnsi" w:hAnsiTheme="minorHAnsi" w:cstheme="minorHAnsi"/>
          <w:i/>
          <w:szCs w:val="20"/>
        </w:rPr>
        <w:t>Bookbuilding</w:t>
      </w:r>
      <w:r w:rsidRPr="001E6E9D">
        <w:rPr>
          <w:rFonts w:asciiTheme="minorHAnsi" w:hAnsiTheme="minorHAnsi" w:cstheme="minorHAnsi"/>
          <w:szCs w:val="20"/>
        </w:rPr>
        <w:t xml:space="preserve"> </w:t>
      </w:r>
      <w:r w:rsidR="004D22D9">
        <w:rPr>
          <w:rFonts w:asciiTheme="minorHAnsi" w:hAnsiTheme="minorHAnsi" w:cstheme="minorHAnsi"/>
          <w:szCs w:val="20"/>
        </w:rPr>
        <w:t>foi</w:t>
      </w:r>
      <w:r w:rsidR="004D22D9" w:rsidRPr="001E6E9D">
        <w:rPr>
          <w:rFonts w:asciiTheme="minorHAnsi" w:hAnsiTheme="minorHAnsi" w:cstheme="minorHAnsi"/>
          <w:szCs w:val="20"/>
        </w:rPr>
        <w:t xml:space="preserve"> </w:t>
      </w:r>
      <w:r w:rsidRPr="001E6E9D">
        <w:rPr>
          <w:rFonts w:asciiTheme="minorHAnsi" w:hAnsiTheme="minorHAnsi" w:cstheme="minorHAnsi"/>
          <w:szCs w:val="20"/>
        </w:rPr>
        <w:t xml:space="preserve">divulgado, nos termos do artigo 13 da Resolução CVM 160, em </w:t>
      </w:r>
      <w:r w:rsidR="004D22D9">
        <w:rPr>
          <w:rFonts w:asciiTheme="minorHAnsi" w:hAnsiTheme="minorHAnsi" w:cstheme="minorHAnsi"/>
          <w:szCs w:val="20"/>
        </w:rPr>
        <w:t>31 de janeiro de 2025.</w:t>
      </w:r>
    </w:p>
    <w:p w14:paraId="2FFD50FF" w14:textId="77777777" w:rsidR="003468A1" w:rsidRPr="001E6E9D" w:rsidRDefault="0053704D" w:rsidP="00DC7081">
      <w:pPr>
        <w:pStyle w:val="Ttulo2"/>
      </w:pPr>
      <w:bookmarkStart w:id="222" w:name="_Ref124160298"/>
      <w:bookmarkStart w:id="223" w:name="_Toc124178553"/>
      <w:bookmarkStart w:id="224" w:name="_Toc159073492"/>
      <w:bookmarkStart w:id="225" w:name="_Toc184129234"/>
      <w:r w:rsidRPr="001E6E9D">
        <w:rPr>
          <w:iCs/>
          <w:color w:val="000000"/>
          <w:szCs w:val="18"/>
        </w:rPr>
        <w:t>7.7.</w:t>
      </w:r>
      <w:r w:rsidR="00FE0AC9" w:rsidRPr="001E6E9D">
        <w:rPr>
          <w:iCs/>
          <w:color w:val="000000"/>
          <w:szCs w:val="18"/>
        </w:rPr>
        <w:t xml:space="preserve"> </w:t>
      </w:r>
      <w:r w:rsidRPr="001E6E9D">
        <w:t>Admissão à negociação em mercado organizado de bolsa ou balcão</w:t>
      </w:r>
      <w:bookmarkEnd w:id="222"/>
      <w:bookmarkEnd w:id="223"/>
      <w:bookmarkEnd w:id="224"/>
      <w:bookmarkEnd w:id="225"/>
    </w:p>
    <w:p w14:paraId="24191EC1" w14:textId="219934BE"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As Debêntures serão depositadas para: </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szCs w:val="20"/>
          <w:lang w:eastAsia="pt-BR"/>
        </w:rPr>
        <w:t xml:space="preserve"> </w:t>
      </w:r>
      <w:r w:rsidR="007114A1" w:rsidRPr="001E6E9D">
        <w:rPr>
          <w:rFonts w:asciiTheme="minorHAnsi" w:eastAsia="Times New Roman" w:hAnsiTheme="minorHAnsi" w:cstheme="minorHAnsi"/>
          <w:szCs w:val="20"/>
          <w:lang w:eastAsia="pt-BR"/>
        </w:rPr>
        <w:t>distribuição no mercado primário por meio do MDA, administrado e operacionalizado pela B3, sendo a distribuição liquidada financeiramente por meio da B3</w:t>
      </w:r>
      <w:r w:rsidRPr="001E6E9D">
        <w:rPr>
          <w:rFonts w:asciiTheme="minorHAnsi" w:eastAsia="Times New Roman" w:hAnsiTheme="minorHAnsi" w:cstheme="minorHAnsi"/>
          <w:szCs w:val="20"/>
          <w:lang w:eastAsia="pt-BR"/>
        </w:rPr>
        <w:t xml:space="preserve">; e </w:t>
      </w: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szCs w:val="20"/>
          <w:lang w:eastAsia="pt-BR"/>
        </w:rPr>
        <w:t xml:space="preserve"> </w:t>
      </w:r>
      <w:r w:rsidR="007114A1" w:rsidRPr="001E6E9D">
        <w:rPr>
          <w:rFonts w:asciiTheme="minorHAnsi" w:hAnsiTheme="minorHAnsi" w:cstheme="minorHAnsi"/>
          <w:szCs w:val="20"/>
        </w:rPr>
        <w:t xml:space="preserve">negociação no mercado secundário por meio do CETIP21, administrado e operacionalizado pela B3, sendo as negociações liquidadas financeiramente na B3 </w:t>
      </w:r>
      <w:r w:rsidR="007114A1" w:rsidRPr="001E6E9D">
        <w:rPr>
          <w:rFonts w:asciiTheme="minorHAnsi" w:hAnsiTheme="minorHAnsi" w:cstheme="minorHAnsi"/>
          <w:iCs/>
          <w:szCs w:val="20"/>
        </w:rPr>
        <w:t>e as Debêntures custodiadas eletronicamente na B3</w:t>
      </w:r>
      <w:r w:rsidRPr="001E6E9D">
        <w:rPr>
          <w:rFonts w:asciiTheme="minorHAnsi" w:eastAsia="Times New Roman" w:hAnsiTheme="minorHAnsi" w:cstheme="minorHAnsi"/>
          <w:szCs w:val="20"/>
          <w:lang w:eastAsia="pt-BR"/>
        </w:rPr>
        <w:t xml:space="preserve">. </w:t>
      </w:r>
      <w:r w:rsidR="007114A1" w:rsidRPr="001E6E9D">
        <w:rPr>
          <w:rFonts w:asciiTheme="minorHAnsi" w:hAnsiTheme="minorHAnsi" w:cstheme="minorHAnsi"/>
          <w:szCs w:val="20"/>
        </w:rPr>
        <w:t>As Debêntures poderão ser negociadas no mercado secundário entre Investidores Qualificados, nos termos do artigo 86, IV da Resolução CVM 160</w:t>
      </w:r>
      <w:r w:rsidRPr="001E6E9D">
        <w:rPr>
          <w:rFonts w:asciiTheme="minorHAnsi" w:eastAsia="Times New Roman" w:hAnsiTheme="minorHAnsi" w:cstheme="minorHAnsi"/>
          <w:szCs w:val="20"/>
          <w:lang w:eastAsia="pt-BR"/>
        </w:rPr>
        <w:t>.</w:t>
      </w:r>
      <w:bookmarkStart w:id="226" w:name="_Ref124160299"/>
      <w:bookmarkStart w:id="227" w:name="_Toc124178554"/>
    </w:p>
    <w:p w14:paraId="72BD9CF7" w14:textId="77777777" w:rsidR="003468A1" w:rsidRPr="001E6E9D" w:rsidRDefault="0053704D" w:rsidP="00DC7081">
      <w:pPr>
        <w:pStyle w:val="Ttulo2"/>
      </w:pPr>
      <w:bookmarkStart w:id="228" w:name="_Ref158845012"/>
      <w:bookmarkStart w:id="229" w:name="_Toc159073493"/>
      <w:bookmarkStart w:id="230" w:name="_Toc184129235"/>
      <w:r w:rsidRPr="001E6E9D">
        <w:rPr>
          <w:iCs/>
          <w:color w:val="000000"/>
          <w:szCs w:val="18"/>
        </w:rPr>
        <w:t>7.8.</w:t>
      </w:r>
      <w:r w:rsidR="00FE0AC9" w:rsidRPr="001E6E9D">
        <w:rPr>
          <w:iCs/>
          <w:color w:val="000000"/>
          <w:szCs w:val="18"/>
        </w:rPr>
        <w:t xml:space="preserve"> </w:t>
      </w:r>
      <w:r w:rsidRPr="001E6E9D">
        <w:t>Formador de mercado</w:t>
      </w:r>
      <w:bookmarkEnd w:id="226"/>
      <w:bookmarkEnd w:id="227"/>
      <w:bookmarkEnd w:id="228"/>
      <w:bookmarkEnd w:id="229"/>
      <w:bookmarkEnd w:id="230"/>
    </w:p>
    <w:p w14:paraId="6F3B9B2D" w14:textId="47E72573" w:rsidR="003468A1" w:rsidRPr="001E6E9D" w:rsidRDefault="007114A1"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Nos termos do artigo 6º do Código ANBIMA, os Coordenadores recomendaram à Emissora a contratação de instituição integrante do sistema de distribuição de valores mobiliários para realização da atividade de formador de mercado para os valores mobiliários da Emissão. Apesar das recomendações dos Coordenadores, formalizado no Contrato de Distribuição, a Emissora não contratou o formador de mercado para atuar no âmbito da Oferta.</w:t>
      </w:r>
    </w:p>
    <w:p w14:paraId="5CBCF978" w14:textId="77777777" w:rsidR="003468A1" w:rsidRPr="001E6E9D" w:rsidRDefault="0053704D" w:rsidP="00DC7081">
      <w:pPr>
        <w:pStyle w:val="Ttulo2"/>
      </w:pPr>
      <w:bookmarkStart w:id="231" w:name="_Ref124160300"/>
      <w:bookmarkStart w:id="232" w:name="_Toc124178555"/>
      <w:bookmarkStart w:id="233" w:name="_Toc159073494"/>
      <w:bookmarkStart w:id="234" w:name="_Toc184129236"/>
      <w:r w:rsidRPr="001E6E9D">
        <w:rPr>
          <w:iCs/>
          <w:color w:val="000000"/>
          <w:szCs w:val="18"/>
        </w:rPr>
        <w:t>7.9.</w:t>
      </w:r>
      <w:r w:rsidR="00FE0AC9" w:rsidRPr="001E6E9D">
        <w:rPr>
          <w:iCs/>
          <w:color w:val="000000"/>
          <w:szCs w:val="18"/>
        </w:rPr>
        <w:t xml:space="preserve"> </w:t>
      </w:r>
      <w:r w:rsidRPr="001E6E9D">
        <w:t>Fundo de liquidez e estabilização</w:t>
      </w:r>
      <w:bookmarkEnd w:id="231"/>
      <w:bookmarkEnd w:id="232"/>
      <w:bookmarkEnd w:id="233"/>
      <w:bookmarkEnd w:id="234"/>
    </w:p>
    <w:p w14:paraId="58BB4EA1" w14:textId="77777777" w:rsidR="003468A1" w:rsidRPr="001E6E9D" w:rsidRDefault="0053704D" w:rsidP="00DC7081">
      <w:pPr>
        <w:tabs>
          <w:tab w:val="left" w:pos="851"/>
        </w:tabs>
        <w:autoSpaceDE w:val="0"/>
        <w:autoSpaceDN w:val="0"/>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Não foi constituído fundo de amortização, fundo de manutenção de liquidez ou firmado contrato de garantia de liquidez ou estabilização de preços para as Debêntures. </w:t>
      </w:r>
    </w:p>
    <w:p w14:paraId="24C44EC1" w14:textId="77777777" w:rsidR="003468A1" w:rsidRPr="001E6E9D" w:rsidRDefault="0053704D" w:rsidP="00DC7081">
      <w:pPr>
        <w:pStyle w:val="Ttulo2"/>
      </w:pPr>
      <w:bookmarkStart w:id="235" w:name="_Ref124160301"/>
      <w:bookmarkStart w:id="236" w:name="_Toc124178556"/>
      <w:bookmarkStart w:id="237" w:name="_Toc159073495"/>
      <w:bookmarkStart w:id="238" w:name="_Toc184129237"/>
      <w:r w:rsidRPr="001E6E9D">
        <w:rPr>
          <w:iCs/>
          <w:color w:val="000000"/>
          <w:szCs w:val="18"/>
        </w:rPr>
        <w:t>7.10.</w:t>
      </w:r>
      <w:r w:rsidR="00FE0AC9" w:rsidRPr="001E6E9D">
        <w:rPr>
          <w:iCs/>
          <w:color w:val="000000"/>
          <w:szCs w:val="18"/>
        </w:rPr>
        <w:t xml:space="preserve"> </w:t>
      </w:r>
      <w:r w:rsidRPr="001E6E9D">
        <w:t>Requisitos ou exigências mínimas de investimento</w:t>
      </w:r>
      <w:bookmarkEnd w:id="235"/>
      <w:bookmarkEnd w:id="236"/>
      <w:bookmarkEnd w:id="237"/>
      <w:bookmarkEnd w:id="238"/>
    </w:p>
    <w:p w14:paraId="1A0E1AE8" w14:textId="77777777" w:rsidR="0053704D" w:rsidRPr="001E6E9D" w:rsidRDefault="0053704D" w:rsidP="00DC7081">
      <w:pPr>
        <w:tabs>
          <w:tab w:val="left" w:pos="851"/>
        </w:tabs>
        <w:autoSpaceDE w:val="0"/>
        <w:autoSpaceDN w:val="0"/>
        <w:rPr>
          <w:rFonts w:asciiTheme="minorHAnsi" w:eastAsia="Times New Roman" w:hAnsiTheme="minorHAnsi" w:cstheme="minorHAnsi"/>
          <w:b/>
          <w:bCs/>
          <w:i/>
          <w:iCs/>
          <w:szCs w:val="20"/>
          <w:lang w:eastAsia="pt-BR"/>
        </w:rPr>
      </w:pPr>
      <w:r w:rsidRPr="001E6E9D">
        <w:rPr>
          <w:rFonts w:asciiTheme="minorHAnsi" w:eastAsia="Times New Roman" w:hAnsiTheme="minorHAnsi" w:cstheme="minorHAnsi"/>
          <w:szCs w:val="20"/>
          <w:lang w:eastAsia="pt-BR"/>
        </w:rPr>
        <w:t>Nos termos do artigo 86, inciso IV, da Resolução CVM 160, as Debêntures somente poderão ser negociadas nos mercados regulamentados de valores mobiliários entre Investidores Qualificados, sendo requerido adicionalmente que a Emissora cumpra as obrigações previstas no artigo 89, da Resolução CVM 160. Nos termos do artigo 88 da Resolução CVM 160, as Debêntures poderão ser negociadas nos mercados de balcão organizado e não organizado, mas não em bolsa, sem que a Emissora possua o registro de que trata o artigo 21 da Lei do Mercado de Valores Mobiliários.</w:t>
      </w:r>
    </w:p>
    <w:p w14:paraId="4CBDD8FB" w14:textId="77777777" w:rsidR="003468A1" w:rsidRPr="001E6E9D" w:rsidRDefault="0053704D" w:rsidP="00DC7081">
      <w:pPr>
        <w:pStyle w:val="Ttulo1"/>
      </w:pPr>
      <w:bookmarkStart w:id="239" w:name="_Ref158845013"/>
      <w:bookmarkStart w:id="240" w:name="_Toc159073496"/>
      <w:bookmarkStart w:id="241" w:name="_Toc184129238"/>
      <w:r w:rsidRPr="001E6E9D">
        <w:lastRenderedPageBreak/>
        <w:t>8.</w:t>
      </w:r>
      <w:r w:rsidR="00FE0AC9" w:rsidRPr="001E6E9D">
        <w:t xml:space="preserve"> </w:t>
      </w:r>
      <w:r w:rsidRPr="001E6E9D">
        <w:t>RELACIONAMENTOS E CONFLITO DE INTERESSES</w:t>
      </w:r>
      <w:bookmarkEnd w:id="239"/>
      <w:bookmarkEnd w:id="240"/>
      <w:bookmarkEnd w:id="241"/>
    </w:p>
    <w:p w14:paraId="2A3A0487" w14:textId="77777777" w:rsidR="003468A1" w:rsidRPr="001E6E9D" w:rsidRDefault="0053704D" w:rsidP="00DC7081">
      <w:pPr>
        <w:pStyle w:val="Ttulo2"/>
        <w:rPr>
          <w:rFonts w:eastAsia="ヒラギノ角ゴ Pro W3"/>
        </w:rPr>
      </w:pPr>
      <w:bookmarkStart w:id="242" w:name="_Ref158845014"/>
      <w:bookmarkStart w:id="243" w:name="_Ref158845313"/>
      <w:bookmarkStart w:id="244" w:name="_Toc159073497"/>
      <w:bookmarkStart w:id="245" w:name="_Toc184129239"/>
      <w:r w:rsidRPr="001E6E9D">
        <w:rPr>
          <w:rFonts w:eastAsia="ヒラギノ角ゴ Pro W3"/>
        </w:rPr>
        <w:t>8.1.</w:t>
      </w:r>
      <w:r w:rsidR="00FE0AC9" w:rsidRPr="001E6E9D">
        <w:rPr>
          <w:rFonts w:eastAsia="ヒラギノ角ゴ Pro W3"/>
        </w:rPr>
        <w:t xml:space="preserve"> </w:t>
      </w:r>
      <w:r w:rsidRPr="001E6E9D">
        <w:rPr>
          <w:rFonts w:eastAsia="ヒラギノ角ゴ Pro W3"/>
        </w:rPr>
        <w:t>Relacionamento entre os Coordenadores e a Emissora</w:t>
      </w:r>
      <w:bookmarkEnd w:id="242"/>
      <w:bookmarkEnd w:id="243"/>
      <w:bookmarkEnd w:id="244"/>
      <w:bookmarkEnd w:id="245"/>
      <w:r w:rsidRPr="001E6E9D">
        <w:rPr>
          <w:rFonts w:eastAsia="ヒラギノ角ゴ Pro W3"/>
        </w:rPr>
        <w:t xml:space="preserve"> </w:t>
      </w:r>
    </w:p>
    <w:p w14:paraId="0ECC85BD" w14:textId="77777777" w:rsidR="003468A1" w:rsidRPr="001E6E9D" w:rsidRDefault="0053704D" w:rsidP="00DC7081">
      <w:pPr>
        <w:rPr>
          <w:rFonts w:asciiTheme="minorHAnsi" w:eastAsia="ヒラギノ角ゴ Pro W3" w:hAnsiTheme="minorHAnsi" w:cstheme="minorHAnsi"/>
          <w:szCs w:val="20"/>
        </w:rPr>
      </w:pPr>
      <w:r w:rsidRPr="001E6E9D">
        <w:rPr>
          <w:rFonts w:asciiTheme="minorHAnsi" w:eastAsia="ヒラギノ角ゴ Pro W3" w:hAnsiTheme="minorHAnsi" w:cstheme="minorHAnsi"/>
          <w:b/>
          <w:bCs/>
          <w:i/>
          <w:iCs/>
          <w:szCs w:val="20"/>
        </w:rPr>
        <w:t xml:space="preserve">Relacionamento entre o Coordenador Líder e a Emissora </w:t>
      </w:r>
    </w:p>
    <w:p w14:paraId="57335D34" w14:textId="66EBEA74" w:rsidR="003468A1" w:rsidRPr="001E6E9D" w:rsidRDefault="00A7421A" w:rsidP="00DC7081">
      <w:pPr>
        <w:rPr>
          <w:rFonts w:asciiTheme="minorHAnsi" w:eastAsia="ヒラギノ角ゴ Pro W3" w:hAnsiTheme="minorHAnsi" w:cstheme="minorHAnsi"/>
          <w:iCs/>
          <w:szCs w:val="20"/>
        </w:rPr>
      </w:pPr>
      <w:r w:rsidRPr="001E6E9D">
        <w:rPr>
          <w:rFonts w:asciiTheme="minorHAnsi" w:eastAsia="ヒラギノ角ゴ Pro W3" w:hAnsiTheme="minorHAnsi" w:cstheme="minorHAnsi"/>
          <w:iCs/>
          <w:szCs w:val="20"/>
        </w:rPr>
        <w:t xml:space="preserve">Na data deste Prospecto, além do relacionamento referente à Oferta, </w:t>
      </w:r>
      <w:r w:rsidR="005B124F" w:rsidRPr="001E6E9D">
        <w:rPr>
          <w:rFonts w:asciiTheme="minorHAnsi" w:eastAsia="ヒラギノ角ゴ Pro W3" w:hAnsiTheme="minorHAnsi" w:cstheme="minorHAnsi"/>
          <w:iCs/>
          <w:szCs w:val="20"/>
        </w:rPr>
        <w:t xml:space="preserve">a </w:t>
      </w:r>
      <w:r w:rsidR="005B124F">
        <w:rPr>
          <w:rFonts w:asciiTheme="minorHAnsi" w:eastAsia="ヒラギノ角ゴ Pro W3" w:hAnsiTheme="minorHAnsi" w:cstheme="minorHAnsi"/>
          <w:iCs/>
          <w:szCs w:val="20"/>
        </w:rPr>
        <w:t>FED</w:t>
      </w:r>
      <w:r w:rsidR="005B124F" w:rsidRPr="001E6E9D">
        <w:rPr>
          <w:rFonts w:asciiTheme="minorHAnsi" w:eastAsia="ヒラギノ角ゴ Pro W3" w:hAnsiTheme="minorHAnsi" w:cstheme="minorHAnsi"/>
          <w:iCs/>
          <w:szCs w:val="20"/>
        </w:rPr>
        <w:t xml:space="preserve"> mant</w:t>
      </w:r>
      <w:r w:rsidR="005B124F">
        <w:rPr>
          <w:rFonts w:asciiTheme="minorHAnsi" w:eastAsia="ヒラギノ角ゴ Pro W3" w:hAnsiTheme="minorHAnsi" w:cstheme="minorHAnsi"/>
          <w:iCs/>
          <w:szCs w:val="20"/>
        </w:rPr>
        <w:t>e</w:t>
      </w:r>
      <w:r w:rsidR="005B124F" w:rsidRPr="001E6E9D">
        <w:rPr>
          <w:rFonts w:asciiTheme="minorHAnsi" w:eastAsia="ヒラギノ角ゴ Pro W3" w:hAnsiTheme="minorHAnsi" w:cstheme="minorHAnsi"/>
          <w:iCs/>
          <w:szCs w:val="20"/>
        </w:rPr>
        <w:t>m</w:t>
      </w:r>
      <w:r w:rsidRPr="001E6E9D">
        <w:rPr>
          <w:rFonts w:asciiTheme="minorHAnsi" w:eastAsia="ヒラギノ角ゴ Pro W3" w:hAnsiTheme="minorHAnsi" w:cstheme="minorHAnsi"/>
          <w:iCs/>
          <w:szCs w:val="20"/>
        </w:rPr>
        <w:t xml:space="preserve"> relacionamento comercial com o Coordenador Líder, que consiste nas seguintes transações:</w:t>
      </w:r>
      <w:r w:rsidR="00DC638A" w:rsidRPr="001E6E9D">
        <w:rPr>
          <w:rFonts w:asciiTheme="minorHAnsi" w:hAnsiTheme="minorHAnsi" w:cstheme="minorHAnsi"/>
          <w:szCs w:val="20"/>
        </w:rPr>
        <w:t xml:space="preserve"> </w:t>
      </w:r>
    </w:p>
    <w:p w14:paraId="549BE8A9" w14:textId="642C39BB" w:rsidR="00DC638A" w:rsidRPr="001E6E9D" w:rsidRDefault="007E7C5F" w:rsidP="00AB5AE2">
      <w:pPr>
        <w:ind w:left="567" w:hanging="567"/>
        <w:rPr>
          <w:rFonts w:asciiTheme="minorHAnsi" w:eastAsia="ヒラギノ角ゴ Pro W3" w:hAnsiTheme="minorHAnsi" w:cstheme="minorHAnsi"/>
          <w:iCs/>
          <w:szCs w:val="20"/>
        </w:rPr>
      </w:pPr>
      <w:r w:rsidRPr="001E6E9D">
        <w:rPr>
          <w:rFonts w:asciiTheme="minorHAnsi" w:eastAsia="ヒラギノ角ゴ Pro W3" w:hAnsiTheme="minorHAnsi" w:cstheme="minorHAnsi"/>
          <w:iCs/>
          <w:szCs w:val="20"/>
        </w:rPr>
        <w:t>•</w:t>
      </w:r>
      <w:r w:rsidRPr="001E6E9D">
        <w:rPr>
          <w:rFonts w:asciiTheme="minorHAnsi" w:eastAsia="ヒラギノ角ゴ Pro W3" w:hAnsiTheme="minorHAnsi" w:cstheme="minorHAnsi"/>
          <w:iCs/>
          <w:szCs w:val="20"/>
        </w:rPr>
        <w:tab/>
      </w:r>
      <w:r w:rsidR="00DC638A" w:rsidRPr="001E6E9D">
        <w:rPr>
          <w:rFonts w:asciiTheme="minorHAnsi" w:eastAsia="ヒラギノ角ゴ Pro W3" w:hAnsiTheme="minorHAnsi" w:cstheme="minorHAnsi"/>
          <w:iCs/>
          <w:szCs w:val="20"/>
        </w:rPr>
        <w:t>R$9,7MM aplicados em Letra Financeira do Itaú Unibanco;</w:t>
      </w:r>
    </w:p>
    <w:p w14:paraId="7C39850A" w14:textId="2AF99739" w:rsidR="00DC638A" w:rsidRPr="001E6E9D" w:rsidRDefault="00065DBC" w:rsidP="00AB5AE2">
      <w:pPr>
        <w:ind w:left="567" w:hanging="567"/>
        <w:rPr>
          <w:rFonts w:asciiTheme="minorHAnsi" w:eastAsia="ヒラギノ角ゴ Pro W3" w:hAnsiTheme="minorHAnsi" w:cstheme="minorHAnsi"/>
          <w:iCs/>
          <w:szCs w:val="20"/>
        </w:rPr>
      </w:pPr>
      <w:r w:rsidRPr="001E6E9D">
        <w:rPr>
          <w:rFonts w:asciiTheme="minorHAnsi" w:eastAsia="ヒラギノ角ゴ Pro W3" w:hAnsiTheme="minorHAnsi" w:cstheme="minorHAnsi"/>
          <w:iCs/>
          <w:szCs w:val="20"/>
        </w:rPr>
        <w:t>a.</w:t>
      </w:r>
      <w:r w:rsidRPr="001E6E9D">
        <w:rPr>
          <w:rFonts w:asciiTheme="minorHAnsi" w:eastAsia="ヒラギノ角ゴ Pro W3" w:hAnsiTheme="minorHAnsi" w:cstheme="minorHAnsi"/>
          <w:iCs/>
          <w:szCs w:val="20"/>
        </w:rPr>
        <w:tab/>
      </w:r>
      <w:r w:rsidR="00DC638A" w:rsidRPr="001E6E9D">
        <w:rPr>
          <w:rFonts w:asciiTheme="minorHAnsi" w:eastAsia="ヒラギノ角ゴ Pro W3" w:hAnsiTheme="minorHAnsi" w:cstheme="minorHAnsi"/>
          <w:iCs/>
          <w:szCs w:val="20"/>
        </w:rPr>
        <w:t>LF 102% do CDI</w:t>
      </w:r>
    </w:p>
    <w:p w14:paraId="45B1D52E" w14:textId="038E56DC" w:rsidR="00DC638A" w:rsidRPr="001E6E9D" w:rsidRDefault="00065DBC" w:rsidP="00AB5AE2">
      <w:pPr>
        <w:ind w:left="567" w:hanging="567"/>
        <w:rPr>
          <w:rFonts w:asciiTheme="minorHAnsi" w:eastAsia="ヒラギノ角ゴ Pro W3" w:hAnsiTheme="minorHAnsi" w:cstheme="minorHAnsi"/>
          <w:iCs/>
          <w:szCs w:val="20"/>
        </w:rPr>
      </w:pPr>
      <w:r w:rsidRPr="001E6E9D">
        <w:rPr>
          <w:rFonts w:asciiTheme="minorHAnsi" w:eastAsia="ヒラギノ角ゴ Pro W3" w:hAnsiTheme="minorHAnsi" w:cstheme="minorHAnsi"/>
          <w:iCs/>
          <w:szCs w:val="20"/>
        </w:rPr>
        <w:t>b.</w:t>
      </w:r>
      <w:r w:rsidRPr="001E6E9D">
        <w:rPr>
          <w:rFonts w:asciiTheme="minorHAnsi" w:eastAsia="ヒラギノ角ゴ Pro W3" w:hAnsiTheme="minorHAnsi" w:cstheme="minorHAnsi"/>
          <w:iCs/>
          <w:szCs w:val="20"/>
        </w:rPr>
        <w:tab/>
      </w:r>
      <w:r w:rsidR="005B124F">
        <w:rPr>
          <w:rFonts w:asciiTheme="minorHAnsi" w:eastAsia="ヒラギノ角ゴ Pro W3" w:hAnsiTheme="minorHAnsi" w:cstheme="minorHAnsi"/>
          <w:iCs/>
          <w:szCs w:val="20"/>
        </w:rPr>
        <w:t>Vencimento em</w:t>
      </w:r>
      <w:r w:rsidR="00DC638A" w:rsidRPr="001E6E9D">
        <w:rPr>
          <w:rFonts w:asciiTheme="minorHAnsi" w:eastAsia="ヒラギノ角ゴ Pro W3" w:hAnsiTheme="minorHAnsi" w:cstheme="minorHAnsi"/>
          <w:iCs/>
          <w:szCs w:val="20"/>
        </w:rPr>
        <w:t xml:space="preserve"> 16/08/2027</w:t>
      </w:r>
    </w:p>
    <w:p w14:paraId="58BC34DC" w14:textId="194BC1C8" w:rsidR="00C22ADC" w:rsidRPr="001E6E9D" w:rsidRDefault="00C22ADC" w:rsidP="00DC7081">
      <w:pPr>
        <w:rPr>
          <w:rFonts w:asciiTheme="minorHAnsi" w:eastAsia="ヒラギノ角ゴ Pro W3" w:hAnsiTheme="minorHAnsi" w:cstheme="minorHAnsi"/>
          <w:szCs w:val="20"/>
        </w:rPr>
      </w:pPr>
      <w:r w:rsidRPr="001E6E9D">
        <w:rPr>
          <w:rFonts w:asciiTheme="minorHAnsi" w:eastAsia="ヒラギノ角ゴ Pro W3" w:hAnsiTheme="minorHAnsi" w:cstheme="minorHAnsi"/>
          <w:b/>
          <w:bCs/>
          <w:i/>
          <w:iCs/>
          <w:szCs w:val="20"/>
        </w:rPr>
        <w:t xml:space="preserve">Relacionamento entre o BTG Pactual e a Emissora </w:t>
      </w:r>
    </w:p>
    <w:p w14:paraId="646D2A6B" w14:textId="5DC86F50" w:rsidR="00065DBC" w:rsidRPr="001E6E9D" w:rsidRDefault="00C22ADC" w:rsidP="00DC7081">
      <w:pPr>
        <w:rPr>
          <w:rFonts w:asciiTheme="minorHAnsi" w:hAnsiTheme="minorHAnsi" w:cstheme="minorHAnsi"/>
          <w:szCs w:val="20"/>
        </w:rPr>
      </w:pPr>
      <w:r w:rsidRPr="001E6E9D">
        <w:rPr>
          <w:rFonts w:asciiTheme="minorHAnsi" w:eastAsia="ヒラギノ角ゴ Pro W3" w:hAnsiTheme="minorHAnsi" w:cstheme="minorHAnsi"/>
          <w:iCs/>
          <w:szCs w:val="20"/>
        </w:rPr>
        <w:t>Na data deste Prospecto, além do relacionamento referente à Oferta, a Emissora e/ou sociedades integrantes do seu grupo econômico mantêm relacionamento comercial com o Coordenador Líder, que consiste nas seguintes transações:</w:t>
      </w:r>
      <w:r w:rsidR="006F3767" w:rsidRPr="001E6E9D">
        <w:rPr>
          <w:rFonts w:asciiTheme="minorHAnsi" w:hAnsiTheme="minorHAnsi" w:cstheme="minorHAnsi"/>
          <w:szCs w:val="20"/>
        </w:rPr>
        <w:t xml:space="preserve"> </w:t>
      </w:r>
    </w:p>
    <w:p w14:paraId="7768679D" w14:textId="128FFA78" w:rsidR="006F3767" w:rsidRPr="001E6E9D" w:rsidRDefault="006F3767" w:rsidP="00AB5AE2">
      <w:pPr>
        <w:ind w:left="567" w:hanging="567"/>
        <w:rPr>
          <w:rFonts w:asciiTheme="minorHAnsi" w:eastAsia="ヒラギノ角ゴ Pro W3" w:hAnsiTheme="minorHAnsi" w:cstheme="minorHAnsi"/>
          <w:iCs/>
          <w:szCs w:val="20"/>
        </w:rPr>
      </w:pPr>
      <w:r w:rsidRPr="001E6E9D">
        <w:rPr>
          <w:rFonts w:asciiTheme="minorHAnsi" w:eastAsia="ヒラギノ角ゴ Pro W3" w:hAnsiTheme="minorHAnsi" w:cstheme="minorHAnsi"/>
          <w:iCs/>
          <w:szCs w:val="20"/>
        </w:rPr>
        <w:t>•</w:t>
      </w:r>
      <w:r w:rsidRPr="001E6E9D">
        <w:rPr>
          <w:rFonts w:asciiTheme="minorHAnsi" w:eastAsia="ヒラギノ角ゴ Pro W3" w:hAnsiTheme="minorHAnsi" w:cstheme="minorHAnsi"/>
          <w:iCs/>
          <w:szCs w:val="20"/>
        </w:rPr>
        <w:tab/>
      </w:r>
      <w:r w:rsidR="005B124F">
        <w:rPr>
          <w:rFonts w:asciiTheme="minorHAnsi" w:eastAsia="ヒラギノ角ゴ Pro W3" w:hAnsiTheme="minorHAnsi" w:cstheme="minorHAnsi"/>
          <w:iCs/>
          <w:szCs w:val="20"/>
        </w:rPr>
        <w:t xml:space="preserve">A </w:t>
      </w:r>
      <w:r w:rsidR="005B124F" w:rsidRPr="001E6E9D">
        <w:rPr>
          <w:rFonts w:asciiTheme="minorHAnsi" w:eastAsia="SimSun" w:hAnsiTheme="minorHAnsi" w:cstheme="minorHAnsi"/>
          <w:bCs/>
          <w:szCs w:val="20"/>
          <w:lang w:eastAsia="en-GB"/>
        </w:rPr>
        <w:t>Faro Energy Projetos Solares Holding S.A.</w:t>
      </w:r>
      <w:r w:rsidR="005B124F">
        <w:rPr>
          <w:rFonts w:asciiTheme="minorHAnsi" w:eastAsia="SimSun" w:hAnsiTheme="minorHAnsi" w:cstheme="minorHAnsi"/>
          <w:bCs/>
          <w:szCs w:val="20"/>
          <w:lang w:eastAsia="en-GB"/>
        </w:rPr>
        <w:t>, s</w:t>
      </w:r>
      <w:r w:rsidRPr="001E6E9D">
        <w:rPr>
          <w:rFonts w:asciiTheme="minorHAnsi" w:eastAsia="ヒラギノ角ゴ Pro W3" w:hAnsiTheme="minorHAnsi" w:cstheme="minorHAnsi"/>
          <w:iCs/>
          <w:szCs w:val="20"/>
        </w:rPr>
        <w:t>ociedade pertencente ao grupo econômico da Emissora</w:t>
      </w:r>
      <w:r w:rsidR="005B124F">
        <w:rPr>
          <w:rFonts w:asciiTheme="minorHAnsi" w:eastAsia="ヒラギノ角ゴ Pro W3" w:hAnsiTheme="minorHAnsi" w:cstheme="minorHAnsi"/>
          <w:iCs/>
          <w:szCs w:val="20"/>
        </w:rPr>
        <w:t>,</w:t>
      </w:r>
      <w:r w:rsidRPr="001E6E9D">
        <w:rPr>
          <w:rFonts w:asciiTheme="minorHAnsi" w:eastAsia="ヒラギノ角ゴ Pro W3" w:hAnsiTheme="minorHAnsi" w:cstheme="minorHAnsi"/>
          <w:iCs/>
          <w:szCs w:val="20"/>
        </w:rPr>
        <w:t xml:space="preserve"> contratou o BTG Pactual para atuar como coordenador líder em oferta pública de distribuição de certificados de recebíveis imobiliários lastreados em créditos imobiliários por ela devidos, no montante de R$ 320.000.000,00, com data de vencimento em 15/12/2038 e remuneração de IPCA + 7,5702% a.a.;</w:t>
      </w:r>
    </w:p>
    <w:p w14:paraId="5F6BDF16" w14:textId="74510D03" w:rsidR="003468A1" w:rsidRPr="001E6E9D" w:rsidRDefault="0053704D" w:rsidP="00DC7081">
      <w:pPr>
        <w:pStyle w:val="Ttulo4"/>
        <w:rPr>
          <w:rFonts w:asciiTheme="minorHAnsi" w:eastAsia="ヒラギノ角ゴ Pro W3" w:hAnsiTheme="minorHAnsi"/>
          <w:bCs/>
        </w:rPr>
      </w:pPr>
      <w:bookmarkStart w:id="246" w:name="_Ref158845017"/>
      <w:r w:rsidRPr="001E6E9D">
        <w:rPr>
          <w:rFonts w:asciiTheme="minorHAnsi" w:eastAsia="ヒラギノ角ゴ Pro W3" w:hAnsiTheme="minorHAnsi"/>
        </w:rPr>
        <w:t>Relacionamento entre os Coordenadores e o Agente Fiduciário</w:t>
      </w:r>
      <w:bookmarkEnd w:id="246"/>
    </w:p>
    <w:p w14:paraId="485A26E2" w14:textId="77777777" w:rsidR="003468A1" w:rsidRPr="001E6E9D" w:rsidRDefault="0053704D" w:rsidP="00DC7081">
      <w:pPr>
        <w:rPr>
          <w:rFonts w:asciiTheme="minorHAnsi" w:eastAsia="ヒラギノ角ゴ Pro W3" w:hAnsiTheme="minorHAnsi" w:cstheme="minorHAnsi"/>
          <w:szCs w:val="20"/>
        </w:rPr>
      </w:pPr>
      <w:r w:rsidRPr="001E6E9D">
        <w:rPr>
          <w:rFonts w:asciiTheme="minorHAnsi" w:eastAsia="ヒラギノ角ゴ Pro W3" w:hAnsiTheme="minorHAnsi" w:cstheme="minorHAnsi"/>
          <w:szCs w:val="20"/>
        </w:rPr>
        <w:t>Na data deste Prospecto, além do relacionamento decorrente da Oferta, os Coordenadores e/ou as sociedades do seu conglomerado econômico não possuem relacionamento relevante com o Agente Fiduciário.</w:t>
      </w:r>
    </w:p>
    <w:p w14:paraId="4592886A" w14:textId="77777777" w:rsidR="003468A1" w:rsidRPr="001E6E9D" w:rsidRDefault="0053704D" w:rsidP="00DC7081">
      <w:pPr>
        <w:rPr>
          <w:rFonts w:asciiTheme="minorHAnsi" w:eastAsia="ヒラギノ角ゴ Pro W3" w:hAnsiTheme="minorHAnsi" w:cstheme="minorHAnsi"/>
          <w:szCs w:val="20"/>
        </w:rPr>
      </w:pPr>
      <w:r w:rsidRPr="001E6E9D">
        <w:rPr>
          <w:rFonts w:asciiTheme="minorHAnsi" w:eastAsia="ヒラギノ角ゴ Pro W3" w:hAnsiTheme="minorHAnsi" w:cstheme="minorHAnsi"/>
          <w:szCs w:val="20"/>
        </w:rPr>
        <w:t>O Agente Fiduciário presta serviços ao mercado, inclusive, a sociedades do conglomerado econômico dos Coordenadores. Os Coordenadores utilizam-se tanto do Agente Fiduciário, quanto de outras sociedades para a prestação de serviços de agente fiduciário nas emissões de valores mobiliários em que atua.</w:t>
      </w:r>
    </w:p>
    <w:p w14:paraId="21881BF5" w14:textId="77777777" w:rsidR="003468A1" w:rsidRPr="001E6E9D" w:rsidRDefault="0053704D" w:rsidP="00DC7081">
      <w:pPr>
        <w:rPr>
          <w:rFonts w:asciiTheme="minorHAnsi" w:eastAsia="ヒラギノ角ゴ Pro W3" w:hAnsiTheme="minorHAnsi" w:cstheme="minorHAnsi"/>
          <w:szCs w:val="20"/>
          <w:lang w:eastAsia="pt-BR"/>
        </w:rPr>
      </w:pPr>
      <w:r w:rsidRPr="001E6E9D">
        <w:rPr>
          <w:rFonts w:asciiTheme="minorHAnsi" w:eastAsia="ヒラギノ角ゴ Pro W3" w:hAnsiTheme="minorHAnsi" w:cstheme="minorHAnsi"/>
          <w:szCs w:val="20"/>
        </w:rPr>
        <w:t>Não há qualquer relação ou vínculo societário</w:t>
      </w:r>
      <w:r w:rsidRPr="001E6E9D">
        <w:rPr>
          <w:rFonts w:asciiTheme="minorHAnsi" w:eastAsia="ヒラギノ角ゴ Pro W3" w:hAnsiTheme="minorHAnsi" w:cstheme="minorHAnsi"/>
          <w:szCs w:val="20"/>
          <w:lang w:eastAsia="pt-BR"/>
        </w:rPr>
        <w:t xml:space="preserve"> entre os Coordenadores e o Agente </w:t>
      </w:r>
      <w:r w:rsidRPr="001E6E9D">
        <w:rPr>
          <w:rFonts w:asciiTheme="minorHAnsi" w:eastAsia="ヒラギノ角ゴ Pro W3" w:hAnsiTheme="minorHAnsi" w:cstheme="minorHAnsi"/>
          <w:szCs w:val="20"/>
        </w:rPr>
        <w:t>Fiduciário.</w:t>
      </w:r>
    </w:p>
    <w:p w14:paraId="7DA54A7C" w14:textId="77777777" w:rsidR="003468A1" w:rsidRPr="001E6E9D" w:rsidRDefault="0053704D" w:rsidP="00DC7081">
      <w:pPr>
        <w:rPr>
          <w:rFonts w:asciiTheme="minorHAnsi" w:eastAsia="ヒラギノ角ゴ Pro W3" w:hAnsiTheme="minorHAnsi" w:cstheme="minorHAnsi"/>
          <w:szCs w:val="20"/>
        </w:rPr>
      </w:pPr>
      <w:r w:rsidRPr="001E6E9D">
        <w:rPr>
          <w:rFonts w:asciiTheme="minorHAnsi" w:eastAsia="ヒラギノ角ゴ Pro W3" w:hAnsiTheme="minorHAnsi" w:cstheme="minorHAnsi"/>
          <w:szCs w:val="20"/>
        </w:rPr>
        <w:t>O Agente Fiduciário declara, na data de divulgação deste Prospecto, que não há qualquer relacionamento ou situação entre as partes que possa configurar conflito de interesses no âmbito da Oferta.</w:t>
      </w:r>
    </w:p>
    <w:p w14:paraId="49277800" w14:textId="014990EA" w:rsidR="003468A1" w:rsidRPr="001E6E9D" w:rsidRDefault="0053704D" w:rsidP="00DC7081">
      <w:pPr>
        <w:pStyle w:val="Ttulo4"/>
        <w:rPr>
          <w:rFonts w:asciiTheme="minorHAnsi" w:eastAsia="ヒラギノ角ゴ Pro W3" w:hAnsiTheme="minorHAnsi"/>
          <w:iCs/>
        </w:rPr>
      </w:pPr>
      <w:bookmarkStart w:id="247" w:name="_Ref158845018"/>
      <w:r w:rsidRPr="001E6E9D">
        <w:rPr>
          <w:rFonts w:asciiTheme="minorHAnsi" w:eastAsia="ヒラギノ角ゴ Pro W3" w:hAnsiTheme="minorHAnsi"/>
        </w:rPr>
        <w:t xml:space="preserve">Relacionamento entre os Coordenadores e o </w:t>
      </w:r>
      <w:r w:rsidRPr="001E6E9D">
        <w:rPr>
          <w:rFonts w:asciiTheme="minorHAnsi" w:eastAsia="ヒラギノ角ゴ Pro W3" w:hAnsiTheme="minorHAnsi"/>
          <w:iCs/>
        </w:rPr>
        <w:t xml:space="preserve">Escriturador e </w:t>
      </w:r>
      <w:r w:rsidR="00827DDE" w:rsidRPr="001E6E9D">
        <w:rPr>
          <w:rFonts w:asciiTheme="minorHAnsi" w:eastAsia="ヒラギノ角ゴ Pro W3" w:hAnsiTheme="minorHAnsi"/>
          <w:iCs/>
        </w:rPr>
        <w:t xml:space="preserve">o Agente de </w:t>
      </w:r>
      <w:bookmarkEnd w:id="247"/>
      <w:r w:rsidR="00827DDE" w:rsidRPr="001E6E9D">
        <w:rPr>
          <w:rFonts w:asciiTheme="minorHAnsi" w:eastAsia="ヒラギノ角ゴ Pro W3" w:hAnsiTheme="minorHAnsi"/>
          <w:iCs/>
        </w:rPr>
        <w:t>Liquidação</w:t>
      </w:r>
    </w:p>
    <w:p w14:paraId="0A3362B5" w14:textId="7E49142E" w:rsidR="003468A1" w:rsidRPr="001E6E9D" w:rsidRDefault="0053704D" w:rsidP="00DC7081">
      <w:pPr>
        <w:rPr>
          <w:rFonts w:asciiTheme="minorHAnsi" w:eastAsia="ヒラギノ角ゴ Pro W3" w:hAnsiTheme="minorHAnsi" w:cstheme="minorHAnsi"/>
          <w:szCs w:val="20"/>
        </w:rPr>
      </w:pPr>
      <w:r w:rsidRPr="001E6E9D">
        <w:rPr>
          <w:rFonts w:asciiTheme="minorHAnsi" w:eastAsia="ヒラギノ角ゴ Pro W3" w:hAnsiTheme="minorHAnsi" w:cstheme="minorHAnsi"/>
          <w:szCs w:val="20"/>
        </w:rPr>
        <w:t xml:space="preserve">Além dos serviços relacionados à Oferta e de eventual relacionamento comercial no curso ordinário dos negócios, os Coordenadores e/ou sociedades de seu conglomerado econômico, na data de divulgação deste Prospecto, não mantém relacionamento relevante com o </w:t>
      </w:r>
      <w:r w:rsidR="00827DDE" w:rsidRPr="001E6E9D">
        <w:rPr>
          <w:rFonts w:asciiTheme="minorHAnsi" w:eastAsia="ヒラギノ角ゴ Pro W3" w:hAnsiTheme="minorHAnsi" w:cstheme="minorHAnsi"/>
          <w:szCs w:val="20"/>
        </w:rPr>
        <w:t>Agente de Liquidação</w:t>
      </w:r>
      <w:r w:rsidRPr="001E6E9D">
        <w:rPr>
          <w:rFonts w:asciiTheme="minorHAnsi" w:eastAsia="ヒラギノ角ゴ Pro W3" w:hAnsiTheme="minorHAnsi" w:cstheme="minorHAnsi"/>
          <w:szCs w:val="20"/>
        </w:rPr>
        <w:t xml:space="preserve"> e Escriturador.</w:t>
      </w:r>
    </w:p>
    <w:p w14:paraId="705E70E6" w14:textId="54982B3C" w:rsidR="003468A1" w:rsidRPr="001E6E9D" w:rsidRDefault="0053704D" w:rsidP="00DC7081">
      <w:pPr>
        <w:rPr>
          <w:rFonts w:asciiTheme="minorHAnsi" w:eastAsia="ヒラギノ角ゴ Pro W3" w:hAnsiTheme="minorHAnsi" w:cstheme="minorHAnsi"/>
          <w:szCs w:val="20"/>
        </w:rPr>
      </w:pPr>
      <w:r w:rsidRPr="001E6E9D">
        <w:rPr>
          <w:rFonts w:asciiTheme="minorHAnsi" w:eastAsia="ヒラギノ角ゴ Pro W3" w:hAnsiTheme="minorHAnsi" w:cstheme="minorHAnsi"/>
          <w:szCs w:val="20"/>
        </w:rPr>
        <w:t xml:space="preserve">Não existem situações de conflito de interesses na participação dos Coordenadores e/ou sociedades de seu conglomerado econômico na Oferta que seja decorrente de seu relacionamento com o </w:t>
      </w:r>
      <w:r w:rsidR="00827DDE" w:rsidRPr="001E6E9D">
        <w:rPr>
          <w:rFonts w:asciiTheme="minorHAnsi" w:eastAsia="ヒラギノ角ゴ Pro W3" w:hAnsiTheme="minorHAnsi" w:cstheme="minorHAnsi"/>
          <w:szCs w:val="20"/>
        </w:rPr>
        <w:t xml:space="preserve">Agente de Liquidação </w:t>
      </w:r>
      <w:r w:rsidRPr="001E6E9D">
        <w:rPr>
          <w:rFonts w:asciiTheme="minorHAnsi" w:eastAsia="ヒラギノ角ゴ Pro W3" w:hAnsiTheme="minorHAnsi" w:cstheme="minorHAnsi"/>
          <w:szCs w:val="20"/>
        </w:rPr>
        <w:t>e</w:t>
      </w:r>
      <w:r w:rsidR="0021324D" w:rsidRPr="001E6E9D">
        <w:rPr>
          <w:rFonts w:asciiTheme="minorHAnsi" w:eastAsia="ヒラギノ角ゴ Pro W3" w:hAnsiTheme="minorHAnsi" w:cstheme="minorHAnsi"/>
          <w:szCs w:val="20"/>
        </w:rPr>
        <w:t xml:space="preserve"> </w:t>
      </w:r>
      <w:r w:rsidRPr="001E6E9D">
        <w:rPr>
          <w:rFonts w:asciiTheme="minorHAnsi" w:eastAsia="ヒラギノ角ゴ Pro W3" w:hAnsiTheme="minorHAnsi" w:cstheme="minorHAnsi"/>
          <w:szCs w:val="20"/>
        </w:rPr>
        <w:t xml:space="preserve">Escriturador. </w:t>
      </w:r>
    </w:p>
    <w:p w14:paraId="721E1BC4" w14:textId="6CBF9235" w:rsidR="003468A1" w:rsidRPr="001E6E9D" w:rsidRDefault="0053704D" w:rsidP="00DC7081">
      <w:pPr>
        <w:rPr>
          <w:rFonts w:asciiTheme="minorHAnsi" w:eastAsia="ヒラギノ角ゴ Pro W3" w:hAnsiTheme="minorHAnsi" w:cstheme="minorHAnsi"/>
          <w:szCs w:val="20"/>
        </w:rPr>
      </w:pPr>
      <w:r w:rsidRPr="001E6E9D">
        <w:rPr>
          <w:rFonts w:asciiTheme="minorHAnsi" w:eastAsia="ヒラギノ角ゴ Pro W3" w:hAnsiTheme="minorHAnsi" w:cstheme="minorHAnsi"/>
          <w:szCs w:val="20"/>
        </w:rPr>
        <w:t xml:space="preserve">O </w:t>
      </w:r>
      <w:r w:rsidR="00827DDE" w:rsidRPr="001E6E9D">
        <w:rPr>
          <w:rFonts w:asciiTheme="minorHAnsi" w:eastAsia="ヒラギノ角ゴ Pro W3" w:hAnsiTheme="minorHAnsi" w:cstheme="minorHAnsi"/>
          <w:szCs w:val="20"/>
        </w:rPr>
        <w:t xml:space="preserve">Agente de Liquidação </w:t>
      </w:r>
      <w:r w:rsidRPr="001E6E9D">
        <w:rPr>
          <w:rFonts w:asciiTheme="minorHAnsi" w:eastAsia="ヒラギノ角ゴ Pro W3" w:hAnsiTheme="minorHAnsi" w:cstheme="minorHAnsi"/>
          <w:szCs w:val="20"/>
        </w:rPr>
        <w:t>e o Escriturador declaram, na data de divulgação deste Prospecto, que não há qualquer relacionamento ou situação entre as partes que possa configurar conflito de interesses no âmbito da Oferta.</w:t>
      </w:r>
    </w:p>
    <w:p w14:paraId="081C23EB" w14:textId="4A9441C5" w:rsidR="0093395C" w:rsidRPr="001E6E9D" w:rsidRDefault="0053704D" w:rsidP="00DC7081">
      <w:pPr>
        <w:pStyle w:val="Ttulo4"/>
        <w:rPr>
          <w:rFonts w:asciiTheme="minorHAnsi" w:eastAsia="ヒラギノ角ゴ Pro W3" w:hAnsiTheme="minorHAnsi"/>
        </w:rPr>
      </w:pPr>
      <w:bookmarkStart w:id="248" w:name="_Ref158845019"/>
      <w:r w:rsidRPr="001E6E9D">
        <w:rPr>
          <w:rFonts w:asciiTheme="minorHAnsi" w:eastAsia="ヒラギノ角ゴ Pro W3" w:hAnsiTheme="minorHAnsi"/>
        </w:rPr>
        <w:t xml:space="preserve">Relacionamento entre </w:t>
      </w:r>
      <w:r w:rsidR="00C41B53" w:rsidRPr="001E6E9D">
        <w:rPr>
          <w:rFonts w:asciiTheme="minorHAnsi" w:eastAsia="ヒラギノ角ゴ Pro W3" w:hAnsiTheme="minorHAnsi"/>
        </w:rPr>
        <w:t>o Coordenador Líder</w:t>
      </w:r>
      <w:r w:rsidRPr="001E6E9D">
        <w:rPr>
          <w:rFonts w:asciiTheme="minorHAnsi" w:eastAsia="ヒラギノ角ゴ Pro W3" w:hAnsiTheme="minorHAnsi"/>
        </w:rPr>
        <w:t xml:space="preserve"> e o Banco </w:t>
      </w:r>
      <w:bookmarkEnd w:id="248"/>
      <w:r w:rsidR="00C22ADC" w:rsidRPr="001E6E9D">
        <w:rPr>
          <w:rFonts w:asciiTheme="minorHAnsi" w:eastAsia="ヒラギノ角ゴ Pro W3" w:hAnsiTheme="minorHAnsi"/>
        </w:rPr>
        <w:t xml:space="preserve">Depositário </w:t>
      </w:r>
    </w:p>
    <w:p w14:paraId="0B0D6535" w14:textId="6F3A763A" w:rsidR="00C41B53" w:rsidRPr="001E6E9D" w:rsidRDefault="00C41B53" w:rsidP="00DC7081">
      <w:pPr>
        <w:rPr>
          <w:rFonts w:asciiTheme="minorHAnsi" w:eastAsia="ヒラギノ角ゴ Pro W3" w:hAnsiTheme="minorHAnsi" w:cstheme="minorHAnsi"/>
          <w:szCs w:val="20"/>
        </w:rPr>
      </w:pPr>
      <w:r w:rsidRPr="001E6E9D">
        <w:rPr>
          <w:rFonts w:asciiTheme="minorHAnsi" w:eastAsia="ヒラギノ角ゴ Pro W3" w:hAnsiTheme="minorHAnsi" w:cstheme="minorHAnsi"/>
          <w:szCs w:val="20"/>
        </w:rPr>
        <w:t xml:space="preserve">O Coordenador Líder </w:t>
      </w:r>
      <w:r w:rsidR="00F12E52" w:rsidRPr="001E6E9D">
        <w:rPr>
          <w:rFonts w:asciiTheme="minorHAnsi" w:eastAsia="ヒラギノ角ゴ Pro W3" w:hAnsiTheme="minorHAnsi" w:cstheme="minorHAnsi"/>
          <w:szCs w:val="20"/>
        </w:rPr>
        <w:t>é o</w:t>
      </w:r>
      <w:r w:rsidRPr="001E6E9D">
        <w:rPr>
          <w:rFonts w:asciiTheme="minorHAnsi" w:eastAsia="ヒラギノ角ゴ Pro W3" w:hAnsiTheme="minorHAnsi" w:cstheme="minorHAnsi"/>
          <w:szCs w:val="20"/>
        </w:rPr>
        <w:t xml:space="preserve"> Banco Administrador.</w:t>
      </w:r>
    </w:p>
    <w:p w14:paraId="433DF123" w14:textId="77777777" w:rsidR="003468A1" w:rsidRPr="001E6E9D" w:rsidRDefault="0053704D" w:rsidP="00DC7081">
      <w:pPr>
        <w:pStyle w:val="Ttulo2"/>
        <w:rPr>
          <w:rFonts w:eastAsia="ヒラギノ角ゴ Pro W3"/>
        </w:rPr>
      </w:pPr>
      <w:bookmarkStart w:id="249" w:name="_Ref158845020"/>
      <w:bookmarkStart w:id="250" w:name="_Toc159073498"/>
      <w:bookmarkStart w:id="251" w:name="_Toc184129240"/>
      <w:r w:rsidRPr="001E6E9D">
        <w:rPr>
          <w:rFonts w:eastAsia="ヒラギノ角ゴ Pro W3"/>
        </w:rPr>
        <w:t>8.2.</w:t>
      </w:r>
      <w:r w:rsidR="0093395C" w:rsidRPr="001E6E9D">
        <w:rPr>
          <w:rFonts w:eastAsia="ヒラギノ角ゴ Pro W3"/>
        </w:rPr>
        <w:t xml:space="preserve"> </w:t>
      </w:r>
      <w:r w:rsidRPr="001E6E9D">
        <w:rPr>
          <w:rFonts w:eastAsia="ヒラギノ角ゴ Pro W3"/>
        </w:rPr>
        <w:t>Em relação à subseção 3.5, quando aplicável, apresentação: (i) das razões que justificam a operação; e (ii) da manifestação do credor acerca de potencial conflito de interesse decorrente de sua participação na oferta.</w:t>
      </w:r>
      <w:bookmarkEnd w:id="249"/>
      <w:bookmarkEnd w:id="250"/>
      <w:bookmarkEnd w:id="251"/>
    </w:p>
    <w:p w14:paraId="3A589226" w14:textId="77777777" w:rsidR="003468A1" w:rsidRPr="001E6E9D" w:rsidRDefault="0053704D" w:rsidP="00DC7081">
      <w:pPr>
        <w:tabs>
          <w:tab w:val="left" w:pos="851"/>
        </w:tabs>
        <w:outlineLvl w:val="2"/>
        <w:rPr>
          <w:rFonts w:asciiTheme="minorHAnsi" w:eastAsia="ヒラギノ角ゴ Pro W3" w:hAnsiTheme="minorHAnsi" w:cstheme="minorHAnsi"/>
          <w:b/>
          <w:bCs/>
          <w:i/>
          <w:iCs/>
          <w:szCs w:val="20"/>
          <w:u w:val="single"/>
          <w:lang w:eastAsia="pt-BR"/>
        </w:rPr>
      </w:pPr>
      <w:r w:rsidRPr="001E6E9D">
        <w:rPr>
          <w:rFonts w:asciiTheme="minorHAnsi" w:eastAsia="ヒラギノ角ゴ Pro W3" w:hAnsiTheme="minorHAnsi" w:cstheme="minorHAnsi"/>
          <w:iCs/>
          <w:szCs w:val="20"/>
        </w:rPr>
        <w:t>Não aplicável, pois, na data de divulgação deste Prospecto, não há operações vinculadas à Oferta entre a Emissora e os Coordenadores, assim entendidas as dívidas contratadas junto aos Coordenadores ou empresas de seu conglomerado ou grupo econômico, à exceção dos serviços relacionados à Oferta e de eventual relacionamento comercial entre a Emissora e os Coordenadores no curso ordinário dos negócios.</w:t>
      </w:r>
    </w:p>
    <w:p w14:paraId="515D3DAF" w14:textId="77777777" w:rsidR="003468A1" w:rsidRPr="001E6E9D" w:rsidRDefault="0093395C" w:rsidP="00DC7081">
      <w:pPr>
        <w:pStyle w:val="Ttulo1"/>
        <w:rPr>
          <w:rFonts w:eastAsiaTheme="majorEastAsia"/>
          <w:bCs/>
          <w:iCs/>
        </w:rPr>
      </w:pPr>
      <w:bookmarkStart w:id="252" w:name="_DV_M28"/>
      <w:bookmarkStart w:id="253" w:name="_DV_M30"/>
      <w:bookmarkStart w:id="254" w:name="_Ref158845021"/>
      <w:bookmarkStart w:id="255" w:name="_Toc159073499"/>
      <w:bookmarkStart w:id="256" w:name="_Toc184129241"/>
      <w:bookmarkEnd w:id="252"/>
      <w:bookmarkEnd w:id="253"/>
      <w:r w:rsidRPr="001E6E9D">
        <w:lastRenderedPageBreak/>
        <w:t>9</w:t>
      </w:r>
      <w:r w:rsidRPr="001E6E9D">
        <w:rPr>
          <w:i/>
        </w:rPr>
        <w:t xml:space="preserve">. </w:t>
      </w:r>
      <w:r w:rsidR="0053704D" w:rsidRPr="001E6E9D">
        <w:t>CONTRATO DE DISTRIBUIÇÃO DE VALORES MOBILIÁRIOS</w:t>
      </w:r>
      <w:bookmarkEnd w:id="254"/>
      <w:bookmarkEnd w:id="255"/>
      <w:bookmarkEnd w:id="256"/>
    </w:p>
    <w:p w14:paraId="075A1B3D" w14:textId="77777777" w:rsidR="00065DBC" w:rsidRPr="001E6E9D" w:rsidRDefault="0053704D" w:rsidP="00DC7081">
      <w:pPr>
        <w:pStyle w:val="Ttulo2"/>
        <w:rPr>
          <w:rFonts w:eastAsia="ヒラギノ角ゴ Pro W3"/>
        </w:rPr>
      </w:pPr>
      <w:bookmarkStart w:id="257" w:name="_Ref158845022"/>
      <w:bookmarkStart w:id="258" w:name="_Toc159073500"/>
      <w:bookmarkStart w:id="259" w:name="_Toc184129242"/>
      <w:bookmarkStart w:id="260" w:name="_Ref124160306"/>
      <w:bookmarkStart w:id="261" w:name="_Toc124178561"/>
      <w:r w:rsidRPr="001E6E9D">
        <w:rPr>
          <w:rFonts w:eastAsia="ヒラギノ角ゴ Pro W3"/>
        </w:rPr>
        <w:t>9.1.</w:t>
      </w:r>
      <w:r w:rsidR="0093395C" w:rsidRPr="001E6E9D">
        <w:rPr>
          <w:rFonts w:eastAsia="ヒラギノ角ゴ Pro W3"/>
        </w:rPr>
        <w:t xml:space="preserve"> </w:t>
      </w:r>
      <w:r w:rsidRPr="001E6E9D">
        <w:rPr>
          <w:rFonts w:eastAsia="ヒラギノ角ゴ Pro W3"/>
        </w:rPr>
        <w:t>Condições do contrato de distribuição no que concerne à distribuição dos valores mobiliários junto ao público investidor em geral e eventual garantia de subscrição prestada pelos coordenadores e demais consorciados, especificando a quantidade que cabe a cada um, se for o caso, além de outras cláusulas consideradas de relevância para o investidor, indicando o local onde a cópia do contrato está disponível para consulta ou reprodução</w:t>
      </w:r>
      <w:bookmarkEnd w:id="257"/>
      <w:bookmarkEnd w:id="258"/>
      <w:bookmarkEnd w:id="259"/>
    </w:p>
    <w:p w14:paraId="220B3D1C" w14:textId="77777777" w:rsidR="00065DBC" w:rsidRPr="001E6E9D" w:rsidRDefault="0053704D" w:rsidP="00DC7081">
      <w:pPr>
        <w:rPr>
          <w:rFonts w:asciiTheme="minorHAnsi" w:eastAsia="Times New Roman" w:hAnsiTheme="minorHAnsi" w:cstheme="minorHAnsi"/>
          <w:spacing w:val="-4"/>
          <w:szCs w:val="20"/>
          <w:lang w:eastAsia="pt-BR"/>
        </w:rPr>
      </w:pPr>
      <w:r w:rsidRPr="001E6E9D">
        <w:rPr>
          <w:rFonts w:asciiTheme="minorHAnsi" w:eastAsia="Times New Roman" w:hAnsiTheme="minorHAnsi" w:cstheme="minorHAnsi"/>
          <w:szCs w:val="20"/>
          <w:lang w:eastAsia="pt-BR"/>
        </w:rPr>
        <w:t>O Contrato de Distribuição</w:t>
      </w:r>
      <w:r w:rsidRPr="001E6E9D">
        <w:rPr>
          <w:rFonts w:asciiTheme="minorHAnsi" w:eastAsia="Times New Roman" w:hAnsiTheme="minorHAnsi" w:cstheme="minorHAnsi"/>
          <w:spacing w:val="-4"/>
          <w:szCs w:val="20"/>
          <w:lang w:eastAsia="pt-BR"/>
        </w:rPr>
        <w:t xml:space="preserve"> disciplina a forma de colocação das Debêntures, bem como a relação existente entre os Coordenadores e a Emissora e as Fiadoras.</w:t>
      </w:r>
    </w:p>
    <w:p w14:paraId="01360D87" w14:textId="016ACF31" w:rsidR="00065DBC" w:rsidRPr="001E6E9D" w:rsidRDefault="0023236A" w:rsidP="00DC7081">
      <w:pPr>
        <w:rPr>
          <w:rFonts w:asciiTheme="minorHAnsi" w:hAnsiTheme="minorHAnsi" w:cstheme="minorHAnsi"/>
          <w:szCs w:val="20"/>
        </w:rPr>
      </w:pPr>
      <w:r w:rsidRPr="001E6E9D">
        <w:rPr>
          <w:rFonts w:asciiTheme="minorHAnsi" w:hAnsiTheme="minorHAnsi" w:cstheme="minorHAnsi"/>
          <w:szCs w:val="20"/>
        </w:rPr>
        <w:t xml:space="preserve">O cumprimento, por parte dos Coordenadores, de todos os deveres e obrigações assumidos no </w:t>
      </w:r>
      <w:r w:rsidR="00271737" w:rsidRPr="001E6E9D">
        <w:rPr>
          <w:rFonts w:asciiTheme="minorHAnsi" w:eastAsia="Times New Roman" w:hAnsiTheme="minorHAnsi" w:cstheme="minorHAnsi"/>
          <w:szCs w:val="20"/>
          <w:lang w:eastAsia="pt-BR"/>
        </w:rPr>
        <w:t>Contrato de Distribuição</w:t>
      </w:r>
      <w:r w:rsidRPr="001E6E9D">
        <w:rPr>
          <w:rFonts w:asciiTheme="minorHAnsi" w:hAnsiTheme="minorHAnsi" w:cstheme="minorHAnsi"/>
          <w:szCs w:val="20"/>
        </w:rPr>
        <w:t xml:space="preserve"> relacionados à Emissão, está condicionado ao atendimento das seguintes condições precedentes (condições suspensivas nos termos do artigo 125 do Código Civil), sem prejuízo de outras que vierem a ser convencionadas entre as Partes nos documentos a serem celebrados posteriormente para regular a Emissão, sem os quais o </w:t>
      </w:r>
      <w:r w:rsidR="00271737" w:rsidRPr="001E6E9D">
        <w:rPr>
          <w:rFonts w:asciiTheme="minorHAnsi" w:eastAsia="Times New Roman" w:hAnsiTheme="minorHAnsi" w:cstheme="minorHAnsi"/>
          <w:szCs w:val="20"/>
          <w:lang w:eastAsia="pt-BR"/>
        </w:rPr>
        <w:t>Contrato de Distribuição</w:t>
      </w:r>
      <w:r w:rsidRPr="001E6E9D">
        <w:rPr>
          <w:rFonts w:asciiTheme="minorHAnsi" w:hAnsiTheme="minorHAnsi" w:cstheme="minorHAnsi"/>
          <w:szCs w:val="20"/>
        </w:rPr>
        <w:t xml:space="preserve"> não gerará quaisquer efeitos e a Garantia Firme deixará de existir (</w:t>
      </w:r>
      <w:r w:rsidR="000D5E35" w:rsidRPr="001E6E9D">
        <w:rPr>
          <w:rFonts w:asciiTheme="minorHAnsi" w:hAnsiTheme="minorHAnsi" w:cstheme="minorHAnsi"/>
          <w:szCs w:val="20"/>
        </w:rPr>
        <w:t>“</w:t>
      </w:r>
      <w:r w:rsidRPr="001E6E9D">
        <w:rPr>
          <w:rFonts w:asciiTheme="minorHAnsi" w:hAnsiTheme="minorHAnsi" w:cstheme="minorHAnsi"/>
          <w:bCs/>
          <w:szCs w:val="20"/>
          <w:u w:val="single"/>
        </w:rPr>
        <w:t>Condições Precedentes</w:t>
      </w:r>
      <w:r w:rsidRPr="001E6E9D">
        <w:rPr>
          <w:rFonts w:asciiTheme="minorHAnsi" w:hAnsiTheme="minorHAnsi" w:cstheme="minorHAnsi"/>
          <w:szCs w:val="20"/>
        </w:rPr>
        <w:t xml:space="preserve">”): </w:t>
      </w:r>
    </w:p>
    <w:p w14:paraId="6432D07E" w14:textId="6F2B17B7"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fornecimento, pela Emissora, </w:t>
      </w:r>
      <w:r w:rsidR="00ED7F87" w:rsidRPr="001E6E9D">
        <w:rPr>
          <w:rFonts w:asciiTheme="minorHAnsi" w:hAnsiTheme="minorHAnsi" w:cstheme="minorHAnsi"/>
          <w:kern w:val="0"/>
          <w:szCs w:val="20"/>
        </w:rPr>
        <w:t>pelas Fiadoras</w:t>
      </w:r>
      <w:r w:rsidR="00ED7F87" w:rsidRPr="001E6E9D">
        <w:rPr>
          <w:rStyle w:val="NenhumA"/>
          <w:rFonts w:asciiTheme="minorHAnsi" w:hAnsiTheme="minorHAnsi" w:cstheme="minorHAnsi"/>
          <w:kern w:val="0"/>
          <w:szCs w:val="20"/>
        </w:rPr>
        <w:t xml:space="preserve"> </w:t>
      </w:r>
      <w:r w:rsidR="0023236A" w:rsidRPr="001E6E9D">
        <w:rPr>
          <w:rStyle w:val="NenhumA"/>
          <w:rFonts w:asciiTheme="minorHAnsi" w:hAnsiTheme="minorHAnsi" w:cstheme="minorHAnsi"/>
          <w:kern w:val="0"/>
          <w:szCs w:val="20"/>
        </w:rPr>
        <w:t xml:space="preserve">e pelas Acionistas </w:t>
      </w:r>
      <w:r w:rsidR="0023236A" w:rsidRPr="001E6E9D">
        <w:rPr>
          <w:rFonts w:asciiTheme="minorHAnsi" w:hAnsiTheme="minorHAnsi" w:cstheme="minorHAnsi"/>
          <w:kern w:val="0"/>
          <w:szCs w:val="20"/>
        </w:rPr>
        <w:t>aos Coordenadores e ao assessor legal da Emissão (</w:t>
      </w:r>
      <w:r w:rsidR="000D5E35" w:rsidRPr="001E6E9D">
        <w:rPr>
          <w:rFonts w:asciiTheme="minorHAnsi" w:hAnsiTheme="minorHAnsi" w:cstheme="minorHAnsi"/>
          <w:kern w:val="0"/>
          <w:szCs w:val="20"/>
        </w:rPr>
        <w:t>“</w:t>
      </w:r>
      <w:r w:rsidR="0023236A" w:rsidRPr="001E6E9D">
        <w:rPr>
          <w:rFonts w:asciiTheme="minorHAnsi" w:hAnsiTheme="minorHAnsi" w:cstheme="minorHAnsi"/>
          <w:bCs/>
          <w:kern w:val="0"/>
          <w:szCs w:val="20"/>
          <w:u w:val="single"/>
        </w:rPr>
        <w:t>Assessor Legal</w:t>
      </w:r>
      <w:r w:rsidR="0023236A" w:rsidRPr="001E6E9D">
        <w:rPr>
          <w:rFonts w:asciiTheme="minorHAnsi" w:hAnsiTheme="minorHAnsi" w:cstheme="minorHAnsi"/>
          <w:kern w:val="0"/>
          <w:szCs w:val="20"/>
        </w:rPr>
        <w:t xml:space="preserve">”), de todas as informações, declarações e garantias suficientes, verdadeiras, precisas, consistentes e atuais para o atendimento aos requisitos da Emissão. Qualquer alteração, incongruência, insuficiência, inveracidade, imprecisão, inconsistência ou desatualização verificada nas informações, declarações e garantias fornecidas deverá ser analisada pelos Coordenadores, visando decidir, a seu exclusivo critério, sobre a continuidade do negócio da Emissão; </w:t>
      </w:r>
    </w:p>
    <w:p w14:paraId="0D6ACA96" w14:textId="1A06D611"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negociação, preparação e formalização de toda a documentação necessária à Emissão em forma e substância satisfatórias aos Coordenadores e ao Assessor Legal, incluindo a Escritura de Emissão, </w:t>
      </w:r>
      <w:r w:rsidR="0023236A" w:rsidRPr="001E6E9D">
        <w:rPr>
          <w:rStyle w:val="NenhumA"/>
          <w:rFonts w:asciiTheme="minorHAnsi" w:eastAsia="Garamond" w:hAnsiTheme="minorHAnsi" w:cstheme="minorHAnsi"/>
          <w:kern w:val="0"/>
          <w:szCs w:val="20"/>
        </w:rPr>
        <w:t>os Contratos de Garantia</w:t>
      </w:r>
      <w:r w:rsidR="0023236A" w:rsidRPr="001E6E9D">
        <w:rPr>
          <w:rFonts w:asciiTheme="minorHAnsi" w:hAnsiTheme="minorHAnsi" w:cstheme="minorHAnsi"/>
          <w:kern w:val="0"/>
          <w:szCs w:val="20"/>
        </w:rPr>
        <w:t xml:space="preserve">, o </w:t>
      </w:r>
      <w:r w:rsidR="00271737" w:rsidRPr="001E6E9D">
        <w:rPr>
          <w:rFonts w:asciiTheme="minorHAnsi" w:hAnsiTheme="minorHAnsi" w:cstheme="minorHAnsi"/>
          <w:kern w:val="0"/>
          <w:szCs w:val="20"/>
          <w:lang w:eastAsia="pt-BR"/>
        </w:rPr>
        <w:t>Contrato de Distribuição</w:t>
      </w:r>
      <w:r w:rsidR="0023236A" w:rsidRPr="001E6E9D">
        <w:rPr>
          <w:rFonts w:asciiTheme="minorHAnsi" w:hAnsiTheme="minorHAnsi" w:cstheme="minorHAnsi"/>
          <w:kern w:val="0"/>
          <w:szCs w:val="20"/>
        </w:rPr>
        <w:t xml:space="preserve">, e demais documentos da Oferta, os quais conterão todas as condições da Emissão, sem prejuízo de outras que vierem a ser estabelecidas entre as Partes; </w:t>
      </w:r>
    </w:p>
    <w:p w14:paraId="44CD3856" w14:textId="6BE70DBC"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(iii)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 registro para colocação e negociação das Debêntures junto à B3, devendo a Emissora entregar todos os documentos e informações requeridas pela B3 por ocasião do pedido de registro para distribuição e negociação das Debêntures, assim como após sua admissão para distribuição e negociação no ambiente desta entidade, em atendimento às regras por ela estabelecidas; </w:t>
      </w:r>
    </w:p>
    <w:p w14:paraId="14949C71" w14:textId="6339CAE7"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(iv)</w:t>
      </w:r>
      <w:r w:rsidRPr="001E6E9D">
        <w:rPr>
          <w:rFonts w:asciiTheme="minorHAnsi" w:hAnsiTheme="minorHAnsi" w:cstheme="minorHAnsi"/>
          <w:b/>
          <w:bCs/>
          <w:color w:val="000000"/>
          <w:kern w:val="0"/>
          <w:szCs w:val="20"/>
        </w:rPr>
        <w:tab/>
      </w:r>
      <w:r w:rsidR="0023236A" w:rsidRPr="001E6E9D">
        <w:rPr>
          <w:rFonts w:asciiTheme="minorHAnsi" w:hAnsiTheme="minorHAnsi" w:cstheme="minorHAnsi"/>
          <w:iCs/>
          <w:kern w:val="0"/>
          <w:szCs w:val="20"/>
        </w:rPr>
        <w:t>obtenção do registro das Debêntures na CVM;</w:t>
      </w:r>
    </w:p>
    <w:p w14:paraId="35138871" w14:textId="1DEA2685"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(v)</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 cumprimento das obrigações pela Emissora conforme descritas n</w:t>
      </w:r>
      <w:r w:rsidR="00271737" w:rsidRPr="001E6E9D">
        <w:rPr>
          <w:rFonts w:asciiTheme="minorHAnsi" w:hAnsiTheme="minorHAnsi" w:cstheme="minorHAnsi"/>
          <w:kern w:val="0"/>
          <w:szCs w:val="20"/>
        </w:rPr>
        <w:t>o</w:t>
      </w:r>
      <w:r w:rsidR="0023236A" w:rsidRPr="001E6E9D">
        <w:rPr>
          <w:rFonts w:asciiTheme="minorHAnsi" w:hAnsiTheme="minorHAnsi" w:cstheme="minorHAnsi"/>
          <w:kern w:val="0"/>
          <w:szCs w:val="20"/>
        </w:rPr>
        <w:t xml:space="preserve"> </w:t>
      </w:r>
      <w:r w:rsidR="00271737" w:rsidRPr="001E6E9D">
        <w:rPr>
          <w:rFonts w:asciiTheme="minorHAnsi" w:hAnsiTheme="minorHAnsi" w:cstheme="minorHAnsi"/>
          <w:kern w:val="0"/>
          <w:szCs w:val="20"/>
          <w:lang w:eastAsia="pt-BR"/>
        </w:rPr>
        <w:t>Contrato de Distribuição</w:t>
      </w:r>
      <w:r w:rsidR="00ED7F87" w:rsidRPr="001E6E9D">
        <w:rPr>
          <w:rFonts w:asciiTheme="minorHAnsi" w:hAnsiTheme="minorHAnsi" w:cstheme="minorHAnsi"/>
          <w:kern w:val="0"/>
          <w:szCs w:val="20"/>
          <w:lang w:eastAsia="pt-BR"/>
        </w:rPr>
        <w:t>, na Escritura de Emissão e nos demais documentos da Oferta</w:t>
      </w:r>
      <w:r w:rsidR="0023236A" w:rsidRPr="001E6E9D">
        <w:rPr>
          <w:rFonts w:asciiTheme="minorHAnsi" w:hAnsiTheme="minorHAnsi" w:cstheme="minorHAnsi"/>
          <w:kern w:val="0"/>
          <w:szCs w:val="20"/>
        </w:rPr>
        <w:t>;</w:t>
      </w:r>
    </w:p>
    <w:p w14:paraId="6E40C596" w14:textId="3AD48AD8"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(vi)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cumprimento, pela Emissora, de todas as obrigações previstas na Resolução CVM 160, incluindo, sem limitação, a obrigação disposta no artigo 11 da referida norma de não se manifestar, na mídia, sobre a Emissão;</w:t>
      </w:r>
    </w:p>
    <w:p w14:paraId="177588CB" w14:textId="42981BC4"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(vii)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cumprimento, pela Emissora e pelas </w:t>
      </w:r>
      <w:r w:rsidR="00ED7F87" w:rsidRPr="001E6E9D">
        <w:rPr>
          <w:rFonts w:asciiTheme="minorHAnsi" w:hAnsiTheme="minorHAnsi" w:cstheme="minorHAnsi"/>
          <w:kern w:val="0"/>
          <w:szCs w:val="20"/>
        </w:rPr>
        <w:t>Fiadoras</w:t>
      </w:r>
      <w:r w:rsidR="0023236A" w:rsidRPr="001E6E9D">
        <w:rPr>
          <w:rFonts w:asciiTheme="minorHAnsi" w:hAnsiTheme="minorHAnsi" w:cstheme="minorHAnsi"/>
          <w:kern w:val="0"/>
          <w:szCs w:val="20"/>
        </w:rPr>
        <w:t>, das normas, leis e regulamentação aplicáveis à Emissão;</w:t>
      </w:r>
    </w:p>
    <w:p w14:paraId="0C9E5E21" w14:textId="754EE129"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w:t>
      </w:r>
      <w:r w:rsidR="00674DAF" w:rsidRPr="001E6E9D">
        <w:rPr>
          <w:rFonts w:asciiTheme="minorHAnsi" w:hAnsiTheme="minorHAnsi" w:cstheme="minorHAnsi"/>
          <w:b/>
          <w:bCs/>
          <w:color w:val="000000"/>
          <w:kern w:val="0"/>
          <w:szCs w:val="20"/>
        </w:rPr>
        <w:t>viii</w:t>
      </w:r>
      <w:r w:rsidRPr="001E6E9D">
        <w:rPr>
          <w:rFonts w:asciiTheme="minorHAnsi" w:hAnsiTheme="minorHAnsi" w:cstheme="minorHAnsi"/>
          <w:b/>
          <w:bCs/>
          <w:color w:val="000000"/>
          <w:kern w:val="0"/>
          <w:szCs w:val="20"/>
        </w:rPr>
        <w:t>)</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realização e conclusão satisfatória, pelo Assessor Legal e a critério dos Coordenadores, do levantamento de informações e do processo de </w:t>
      </w:r>
      <w:r w:rsidR="0023236A" w:rsidRPr="001E6E9D">
        <w:rPr>
          <w:rFonts w:asciiTheme="minorHAnsi" w:hAnsiTheme="minorHAnsi" w:cstheme="minorHAnsi"/>
          <w:i/>
          <w:kern w:val="0"/>
          <w:szCs w:val="20"/>
        </w:rPr>
        <w:t>due diligence</w:t>
      </w:r>
      <w:r w:rsidR="0023236A" w:rsidRPr="001E6E9D">
        <w:rPr>
          <w:rFonts w:asciiTheme="minorHAnsi" w:hAnsiTheme="minorHAnsi" w:cstheme="minorHAnsi"/>
          <w:kern w:val="0"/>
          <w:szCs w:val="20"/>
        </w:rPr>
        <w:t>, cujo escopo será determinado pelos Coordenadores e pelo Assessor Legal, observadas as disposições da Resolução CVM 160, conforme padrão usualmente utilizado pelo mercado de capitais em ofertas públicas;</w:t>
      </w:r>
    </w:p>
    <w:p w14:paraId="03285866" w14:textId="799127EC"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w:t>
      </w:r>
      <w:r w:rsidR="00674DAF" w:rsidRPr="001E6E9D">
        <w:rPr>
          <w:rFonts w:asciiTheme="minorHAnsi" w:hAnsiTheme="minorHAnsi" w:cstheme="minorHAnsi"/>
          <w:b/>
          <w:bCs/>
          <w:color w:val="000000"/>
          <w:kern w:val="0"/>
          <w:szCs w:val="20"/>
        </w:rPr>
        <w:t>i</w:t>
      </w:r>
      <w:r w:rsidRPr="001E6E9D">
        <w:rPr>
          <w:rFonts w:asciiTheme="minorHAnsi" w:hAnsiTheme="minorHAnsi" w:cstheme="minorHAnsi"/>
          <w:b/>
          <w:bCs/>
          <w:color w:val="000000"/>
          <w:kern w:val="0"/>
          <w:szCs w:val="20"/>
        </w:rPr>
        <w:t>x)</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verificação de que todas e quaisquer obrigações pecuniárias assumidas pela Emissora e/ou </w:t>
      </w:r>
      <w:r w:rsidR="00ED7F87" w:rsidRPr="001E6E9D">
        <w:rPr>
          <w:rFonts w:asciiTheme="minorHAnsi" w:hAnsiTheme="minorHAnsi" w:cstheme="minorHAnsi"/>
          <w:kern w:val="0"/>
          <w:szCs w:val="20"/>
        </w:rPr>
        <w:t>pelas Fiadoras, suas controladas e controladoras</w:t>
      </w:r>
      <w:r w:rsidR="0023236A" w:rsidRPr="001E6E9D">
        <w:rPr>
          <w:rFonts w:asciiTheme="minorHAnsi" w:hAnsiTheme="minorHAnsi" w:cstheme="minorHAnsi"/>
          <w:kern w:val="0"/>
          <w:szCs w:val="20"/>
        </w:rPr>
        <w:t xml:space="preserve"> (diretas ou indiretas), perante os Coordenadores ou perante as empresas pertencentes ao seu grupo econômico, advindas de quaisquer contratos, termos ou compromissos, estão devidamente adimplidas; </w:t>
      </w:r>
    </w:p>
    <w:p w14:paraId="095B5FEF" w14:textId="5DB5438E"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 obtenção e/ou cumprimento, por parte da Emissora e/ou das Acionistas e/ou </w:t>
      </w:r>
      <w:r w:rsidR="00ED7F87" w:rsidRPr="001E6E9D">
        <w:rPr>
          <w:rFonts w:asciiTheme="minorHAnsi" w:hAnsiTheme="minorHAnsi" w:cstheme="minorHAnsi"/>
          <w:kern w:val="0"/>
          <w:szCs w:val="20"/>
        </w:rPr>
        <w:t>pelas Fiadoras</w:t>
      </w:r>
      <w:r w:rsidR="0023236A" w:rsidRPr="001E6E9D">
        <w:rPr>
          <w:rFonts w:asciiTheme="minorHAnsi" w:hAnsiTheme="minorHAnsi" w:cstheme="minorHAnsi"/>
          <w:kern w:val="0"/>
          <w:szCs w:val="20"/>
        </w:rPr>
        <w:t>, de todas e quaisquer aprovações societárias, regulamentares e/ou de terceiros, inclusive credores, necessárias à realização, efetivação, formalização, liquidação, boa ordem e transparência da Emissão;</w:t>
      </w:r>
      <w:r w:rsidR="0023236A" w:rsidRPr="001E6E9D">
        <w:rPr>
          <w:rFonts w:asciiTheme="minorHAnsi" w:eastAsia="Calibri" w:hAnsiTheme="minorHAnsi" w:cstheme="minorHAnsi"/>
          <w:kern w:val="0"/>
          <w:szCs w:val="20"/>
        </w:rPr>
        <w:t xml:space="preserve"> </w:t>
      </w:r>
    </w:p>
    <w:p w14:paraId="6041CED9" w14:textId="0DED90EE" w:rsidR="00065DBC" w:rsidRPr="001E6E9D" w:rsidRDefault="00065DBC" w:rsidP="001F7A69">
      <w:pPr>
        <w:pStyle w:val="Level4"/>
        <w:keepNext/>
        <w:keepLines/>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lastRenderedPageBreak/>
        <w:t>(xi)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recebimento, pelos Coordenadores, de checklist de cumprimento das disposições vigentes do Código ANBIMA, das Regras e Procedimentos de Ofertas Públicas e das demais regras e procedimentos, deliberações e normativos da ANBIMA vinculados e aplicáveis ao Código ANBIMA, a ser enviado pelos Assessores Legais dos Coordenadores, antes da data de publicação do Aviso ao Mercado (conforme abaixo definido) e atualizado pelos Assessores Legais dos Coordenadores antes da data de liquidação da Oferta;</w:t>
      </w:r>
    </w:p>
    <w:p w14:paraId="7E21D392" w14:textId="566CA325"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arquivamento e publicação das Aprovações Societárias, nos termos da legislação aplicável; </w:t>
      </w:r>
      <w:r w:rsidRPr="001E6E9D">
        <w:rPr>
          <w:rFonts w:asciiTheme="minorHAnsi" w:hAnsiTheme="minorHAnsi" w:cstheme="minorHAnsi"/>
          <w:b/>
          <w:bCs/>
          <w:color w:val="000000"/>
          <w:kern w:val="0"/>
          <w:szCs w:val="20"/>
        </w:rPr>
        <w:t>(</w:t>
      </w:r>
      <w:r w:rsidR="00674DAF" w:rsidRPr="001E6E9D">
        <w:rPr>
          <w:rFonts w:asciiTheme="minorHAnsi" w:hAnsiTheme="minorHAnsi" w:cstheme="minorHAnsi"/>
          <w:b/>
          <w:bCs/>
          <w:color w:val="000000"/>
          <w:kern w:val="0"/>
          <w:szCs w:val="20"/>
        </w:rPr>
        <w:t>xiii</w:t>
      </w:r>
      <w:r w:rsidRPr="001E6E9D">
        <w:rPr>
          <w:rFonts w:asciiTheme="minorHAnsi" w:hAnsiTheme="minorHAnsi" w:cstheme="minorHAnsi"/>
          <w:b/>
          <w:bCs/>
          <w:color w:val="000000"/>
          <w:kern w:val="0"/>
          <w:szCs w:val="20"/>
        </w:rPr>
        <w:t>)</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formalização e registro nos órgãos e/ou nos cartórios competentes, conforme aplicável, da Escritura de Emissão e dos </w:t>
      </w:r>
      <w:r w:rsidR="00ED7F87" w:rsidRPr="001E6E9D">
        <w:rPr>
          <w:rFonts w:asciiTheme="minorHAnsi" w:hAnsiTheme="minorHAnsi" w:cstheme="minorHAnsi"/>
          <w:kern w:val="0"/>
          <w:szCs w:val="20"/>
        </w:rPr>
        <w:t>Contratos de Garantias</w:t>
      </w:r>
      <w:r w:rsidR="0023236A" w:rsidRPr="001E6E9D">
        <w:rPr>
          <w:rFonts w:asciiTheme="minorHAnsi" w:hAnsiTheme="minorHAnsi" w:cstheme="minorHAnsi"/>
          <w:kern w:val="0"/>
          <w:szCs w:val="20"/>
        </w:rPr>
        <w:t>;</w:t>
      </w:r>
    </w:p>
    <w:p w14:paraId="110D94D4" w14:textId="02FE4673"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w:t>
      </w:r>
      <w:r w:rsidR="00674DAF" w:rsidRPr="001E6E9D">
        <w:rPr>
          <w:rFonts w:asciiTheme="minorHAnsi" w:hAnsiTheme="minorHAnsi" w:cstheme="minorHAnsi"/>
          <w:b/>
          <w:bCs/>
          <w:color w:val="000000"/>
          <w:kern w:val="0"/>
          <w:szCs w:val="20"/>
        </w:rPr>
        <w:t>xiv</w:t>
      </w:r>
      <w:r w:rsidRPr="001E6E9D">
        <w:rPr>
          <w:rFonts w:asciiTheme="minorHAnsi" w:hAnsiTheme="minorHAnsi" w:cstheme="minorHAnsi"/>
          <w:b/>
          <w:bCs/>
          <w:color w:val="000000"/>
          <w:kern w:val="0"/>
          <w:szCs w:val="20"/>
        </w:rPr>
        <w:t>)</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encaminhamento pelo</w:t>
      </w:r>
      <w:r w:rsidR="00ED7F87" w:rsidRPr="001E6E9D">
        <w:rPr>
          <w:rFonts w:asciiTheme="minorHAnsi" w:hAnsiTheme="minorHAnsi" w:cstheme="minorHAnsi"/>
          <w:kern w:val="0"/>
          <w:szCs w:val="20"/>
        </w:rPr>
        <w:t>s</w:t>
      </w:r>
      <w:r w:rsidR="0023236A" w:rsidRPr="001E6E9D">
        <w:rPr>
          <w:rFonts w:asciiTheme="minorHAnsi" w:hAnsiTheme="minorHAnsi" w:cstheme="minorHAnsi"/>
          <w:kern w:val="0"/>
          <w:szCs w:val="20"/>
        </w:rPr>
        <w:t xml:space="preserve"> Assessor</w:t>
      </w:r>
      <w:r w:rsidR="00ED7F87" w:rsidRPr="001E6E9D">
        <w:rPr>
          <w:rFonts w:asciiTheme="minorHAnsi" w:hAnsiTheme="minorHAnsi" w:cstheme="minorHAnsi"/>
          <w:kern w:val="0"/>
          <w:szCs w:val="20"/>
        </w:rPr>
        <w:t>es</w:t>
      </w:r>
      <w:r w:rsidR="0023236A" w:rsidRPr="001E6E9D">
        <w:rPr>
          <w:rFonts w:asciiTheme="minorHAnsi" w:hAnsiTheme="minorHAnsi" w:cstheme="minorHAnsi"/>
          <w:kern w:val="0"/>
          <w:szCs w:val="20"/>
        </w:rPr>
        <w:t xml:space="preserve"> </w:t>
      </w:r>
      <w:r w:rsidR="00ED7F87" w:rsidRPr="001E6E9D">
        <w:rPr>
          <w:rFonts w:asciiTheme="minorHAnsi" w:hAnsiTheme="minorHAnsi" w:cstheme="minorHAnsi"/>
          <w:kern w:val="0"/>
          <w:szCs w:val="20"/>
        </w:rPr>
        <w:t>Legais</w:t>
      </w:r>
      <w:r w:rsidR="0023236A" w:rsidRPr="001E6E9D">
        <w:rPr>
          <w:rFonts w:asciiTheme="minorHAnsi" w:hAnsiTheme="minorHAnsi" w:cstheme="minorHAnsi"/>
          <w:kern w:val="0"/>
          <w:szCs w:val="20"/>
        </w:rPr>
        <w:t xml:space="preserve">, até 3 (três) dias úteis da data prevista para o início da distribuição das Debêntures, da redação preliminar das </w:t>
      </w:r>
      <w:r w:rsidR="00ED7F87" w:rsidRPr="001E6E9D">
        <w:rPr>
          <w:rFonts w:asciiTheme="minorHAnsi" w:hAnsiTheme="minorHAnsi" w:cstheme="minorHAnsi"/>
          <w:i/>
          <w:iCs/>
          <w:kern w:val="0"/>
          <w:szCs w:val="20"/>
        </w:rPr>
        <w:t>Legal Opinions</w:t>
      </w:r>
      <w:r w:rsidR="00ED7F87" w:rsidRPr="001E6E9D">
        <w:rPr>
          <w:rFonts w:asciiTheme="minorHAnsi" w:hAnsiTheme="minorHAnsi" w:cstheme="minorHAnsi"/>
          <w:kern w:val="0"/>
          <w:szCs w:val="20"/>
        </w:rPr>
        <w:t xml:space="preserve"> </w:t>
      </w:r>
      <w:r w:rsidR="0023236A" w:rsidRPr="001E6E9D">
        <w:rPr>
          <w:rFonts w:asciiTheme="minorHAnsi" w:hAnsiTheme="minorHAnsi" w:cstheme="minorHAnsi"/>
          <w:kern w:val="0"/>
          <w:szCs w:val="20"/>
        </w:rPr>
        <w:t xml:space="preserve">que deverão ser emitidas </w:t>
      </w:r>
      <w:r w:rsidR="00ED7F87" w:rsidRPr="001E6E9D">
        <w:rPr>
          <w:rFonts w:asciiTheme="minorHAnsi" w:hAnsiTheme="minorHAnsi" w:cstheme="minorHAnsi"/>
          <w:kern w:val="0"/>
          <w:szCs w:val="20"/>
        </w:rPr>
        <w:t>pelos Assessores Legais</w:t>
      </w:r>
      <w:r w:rsidR="0023236A" w:rsidRPr="001E6E9D">
        <w:rPr>
          <w:rFonts w:asciiTheme="minorHAnsi" w:hAnsiTheme="minorHAnsi" w:cstheme="minorHAnsi"/>
          <w:kern w:val="0"/>
          <w:szCs w:val="20"/>
        </w:rPr>
        <w:t>;</w:t>
      </w:r>
    </w:p>
    <w:p w14:paraId="6991849E" w14:textId="6FE15396"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(xv)</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entrega, aos Coordenadores, de opinião legal firmada pelo Assessor Legal, em termos satisfatórios aos Coordenadores, com a finalidade de: </w:t>
      </w:r>
      <w:r w:rsidR="0023236A" w:rsidRPr="001E6E9D">
        <w:rPr>
          <w:rFonts w:asciiTheme="minorHAnsi" w:hAnsiTheme="minorHAnsi" w:cstheme="minorHAnsi"/>
          <w:b/>
          <w:bCs/>
          <w:kern w:val="0"/>
          <w:szCs w:val="20"/>
        </w:rPr>
        <w:t>(a)</w:t>
      </w:r>
      <w:r w:rsidR="0023236A" w:rsidRPr="001E6E9D">
        <w:rPr>
          <w:rFonts w:asciiTheme="minorHAnsi" w:hAnsiTheme="minorHAnsi" w:cstheme="minorHAnsi"/>
          <w:kern w:val="0"/>
          <w:szCs w:val="20"/>
        </w:rPr>
        <w:t xml:space="preserve"> atender ao dever de diligência exigida pela regulamentação em vigor; e </w:t>
      </w:r>
      <w:r w:rsidR="0023236A" w:rsidRPr="001E6E9D">
        <w:rPr>
          <w:rFonts w:asciiTheme="minorHAnsi" w:hAnsiTheme="minorHAnsi" w:cstheme="minorHAnsi"/>
          <w:b/>
          <w:bCs/>
          <w:kern w:val="0"/>
          <w:szCs w:val="20"/>
        </w:rPr>
        <w:t>(b)</w:t>
      </w:r>
      <w:r w:rsidR="0023236A" w:rsidRPr="001E6E9D">
        <w:rPr>
          <w:rFonts w:asciiTheme="minorHAnsi" w:hAnsiTheme="minorHAnsi" w:cstheme="minorHAnsi"/>
          <w:kern w:val="0"/>
          <w:szCs w:val="20"/>
        </w:rPr>
        <w:t xml:space="preserve"> atestar a validade, legalidade e exequibilidade dos documentos da Emissão; </w:t>
      </w:r>
    </w:p>
    <w:p w14:paraId="32BD51F4" w14:textId="56A37D04"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(xvi)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obtenção, pelos Coordenadores, de declaração de veracidade assinada pela Emissora e </w:t>
      </w:r>
      <w:r w:rsidR="00ED7F87" w:rsidRPr="001E6E9D">
        <w:rPr>
          <w:rFonts w:asciiTheme="minorHAnsi" w:hAnsiTheme="minorHAnsi" w:cstheme="minorHAnsi"/>
          <w:kern w:val="0"/>
          <w:szCs w:val="20"/>
        </w:rPr>
        <w:t>pelas Fiadoras</w:t>
      </w:r>
      <w:r w:rsidR="0023236A" w:rsidRPr="001E6E9D">
        <w:rPr>
          <w:rFonts w:asciiTheme="minorHAnsi" w:hAnsiTheme="minorHAnsi" w:cstheme="minorHAnsi"/>
          <w:kern w:val="0"/>
          <w:szCs w:val="20"/>
        </w:rPr>
        <w:t xml:space="preserve">, atestando que, na data do início da distribuição pública das Debêntures e nada data da liquidação, todas as informações por ela prestadas para consecução da Oferta são suficientes, verdadeiras, consistentes, precisas e atuais, permitindo aos investidores uma tomada de decisão fundamentada a respeito da Emissão, nos termos do artigo 24 da Resolução CVM 160; </w:t>
      </w:r>
    </w:p>
    <w:p w14:paraId="58410965" w14:textId="58FFE402"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w:t>
      </w:r>
      <w:r w:rsidR="00674DAF" w:rsidRPr="001E6E9D">
        <w:rPr>
          <w:rFonts w:asciiTheme="minorHAnsi" w:hAnsiTheme="minorHAnsi" w:cstheme="minorHAnsi"/>
          <w:b/>
          <w:bCs/>
          <w:color w:val="000000"/>
          <w:kern w:val="0"/>
          <w:szCs w:val="20"/>
        </w:rPr>
        <w:t>xvii</w:t>
      </w:r>
      <w:r w:rsidRPr="001E6E9D">
        <w:rPr>
          <w:rFonts w:asciiTheme="minorHAnsi" w:hAnsiTheme="minorHAnsi" w:cstheme="minorHAnsi"/>
          <w:b/>
          <w:bCs/>
          <w:color w:val="000000"/>
          <w:kern w:val="0"/>
          <w:szCs w:val="20"/>
        </w:rPr>
        <w:t>)</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que os documentos apresentados pela Emissora para consecução da Oferta não contenham impropriedades que possam prejudicar a regularidade da Emissão e/ou o estabelecido nos documentos da Emissão; </w:t>
      </w:r>
    </w:p>
    <w:p w14:paraId="22BC00D2" w14:textId="6BDB0D98"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w:t>
      </w:r>
      <w:r w:rsidR="00674DAF" w:rsidRPr="001E6E9D">
        <w:rPr>
          <w:rFonts w:asciiTheme="minorHAnsi" w:hAnsiTheme="minorHAnsi" w:cstheme="minorHAnsi"/>
          <w:b/>
          <w:bCs/>
          <w:color w:val="000000"/>
          <w:kern w:val="0"/>
          <w:szCs w:val="20"/>
        </w:rPr>
        <w:t>xviii</w:t>
      </w:r>
      <w:r w:rsidRPr="001E6E9D">
        <w:rPr>
          <w:rFonts w:asciiTheme="minorHAnsi" w:hAnsiTheme="minorHAnsi" w:cstheme="minorHAnsi"/>
          <w:b/>
          <w:bCs/>
          <w:color w:val="000000"/>
          <w:kern w:val="0"/>
          <w:szCs w:val="20"/>
        </w:rPr>
        <w:t>)</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inexistência de pendências judiciais, arbitrais e/ou administrativas que não tenham sido reveladas aos Coordenadores nas demonstrações financeiras e/ou no processo de </w:t>
      </w:r>
      <w:r w:rsidR="0023236A" w:rsidRPr="001E6E9D">
        <w:rPr>
          <w:rFonts w:asciiTheme="minorHAnsi" w:hAnsiTheme="minorHAnsi" w:cstheme="minorHAnsi"/>
          <w:i/>
          <w:kern w:val="0"/>
          <w:szCs w:val="20"/>
        </w:rPr>
        <w:t>due diligence</w:t>
      </w:r>
      <w:r w:rsidR="0023236A" w:rsidRPr="001E6E9D">
        <w:rPr>
          <w:rFonts w:asciiTheme="minorHAnsi" w:hAnsiTheme="minorHAnsi" w:cstheme="minorHAnsi"/>
          <w:kern w:val="0"/>
          <w:szCs w:val="20"/>
        </w:rPr>
        <w:t xml:space="preserve"> da Emissora, que possam afetar substancial e/ou adversamente a situação econômica, financeira, jurídica, reputacional da Emissora e/ou a Oferta; </w:t>
      </w:r>
    </w:p>
    <w:p w14:paraId="1BFFBB2F" w14:textId="4DA57D80"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w:t>
      </w:r>
      <w:r w:rsidR="00674DAF" w:rsidRPr="001E6E9D">
        <w:rPr>
          <w:rFonts w:asciiTheme="minorHAnsi" w:hAnsiTheme="minorHAnsi" w:cstheme="minorHAnsi"/>
          <w:b/>
          <w:bCs/>
          <w:color w:val="000000"/>
          <w:kern w:val="0"/>
          <w:szCs w:val="20"/>
        </w:rPr>
        <w:t>xix</w:t>
      </w:r>
      <w:r w:rsidRPr="001E6E9D">
        <w:rPr>
          <w:rFonts w:asciiTheme="minorHAnsi" w:hAnsiTheme="minorHAnsi" w:cstheme="minorHAnsi"/>
          <w:b/>
          <w:bCs/>
          <w:color w:val="000000"/>
          <w:kern w:val="0"/>
          <w:szCs w:val="20"/>
        </w:rPr>
        <w:t>)</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manutenção de toda estrutura de contratos e demais acordos existentes e relevantes que dão à Emissora condição fundamental de funcionamento; </w:t>
      </w:r>
    </w:p>
    <w:p w14:paraId="31F556DF" w14:textId="60CC65F3"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w:t>
      </w:r>
      <w:r w:rsidR="00674DAF" w:rsidRPr="001E6E9D">
        <w:rPr>
          <w:rFonts w:asciiTheme="minorHAnsi" w:hAnsiTheme="minorHAnsi" w:cstheme="minorHAnsi"/>
          <w:b/>
          <w:bCs/>
          <w:color w:val="000000"/>
          <w:kern w:val="0"/>
          <w:szCs w:val="20"/>
        </w:rPr>
        <w:t>xx</w:t>
      </w:r>
      <w:r w:rsidRPr="001E6E9D">
        <w:rPr>
          <w:rFonts w:asciiTheme="minorHAnsi" w:hAnsiTheme="minorHAnsi" w:cstheme="minorHAnsi"/>
          <w:b/>
          <w:bCs/>
          <w:color w:val="000000"/>
          <w:kern w:val="0"/>
          <w:szCs w:val="20"/>
        </w:rPr>
        <w:t>)</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não ocorrência de um Efeito Adverso Relevante (conforme definido na Escritura de Emissão); </w:t>
      </w:r>
    </w:p>
    <w:p w14:paraId="5CE23A7D" w14:textId="25459DDD"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(xxi)</w:t>
      </w:r>
      <w:r w:rsidRPr="001E6E9D">
        <w:rPr>
          <w:rFonts w:asciiTheme="minorHAnsi" w:hAnsiTheme="minorHAnsi" w:cstheme="minorHAnsi"/>
          <w:b/>
          <w:bCs/>
          <w:color w:val="000000"/>
          <w:kern w:val="0"/>
          <w:szCs w:val="20"/>
        </w:rPr>
        <w:tab/>
      </w:r>
      <w:r w:rsidR="0023236A" w:rsidRPr="001E6E9D">
        <w:rPr>
          <w:rFonts w:asciiTheme="minorHAnsi" w:hAnsiTheme="minorHAnsi" w:cstheme="minorHAnsi"/>
          <w:b/>
          <w:bCs/>
          <w:kern w:val="0"/>
          <w:szCs w:val="20"/>
        </w:rPr>
        <w:t>(a)</w:t>
      </w:r>
      <w:r w:rsidR="0023236A" w:rsidRPr="001E6E9D">
        <w:rPr>
          <w:rFonts w:asciiTheme="minorHAnsi" w:hAnsiTheme="minorHAnsi" w:cstheme="minorHAnsi"/>
          <w:kern w:val="0"/>
          <w:szCs w:val="20"/>
        </w:rPr>
        <w:t xml:space="preserve"> não ocorrência de um evento de Resilição Involuntária e/ou Resilição Voluntária descritos no </w:t>
      </w:r>
      <w:r w:rsidR="00271737" w:rsidRPr="001E6E9D">
        <w:rPr>
          <w:rFonts w:asciiTheme="minorHAnsi" w:hAnsiTheme="minorHAnsi" w:cstheme="minorHAnsi"/>
          <w:kern w:val="0"/>
          <w:szCs w:val="20"/>
          <w:lang w:eastAsia="pt-BR"/>
        </w:rPr>
        <w:t>Contrato de Distribuição</w:t>
      </w:r>
      <w:r w:rsidR="0023236A" w:rsidRPr="001E6E9D">
        <w:rPr>
          <w:rFonts w:asciiTheme="minorHAnsi" w:hAnsiTheme="minorHAnsi" w:cstheme="minorHAnsi"/>
          <w:kern w:val="0"/>
          <w:szCs w:val="20"/>
        </w:rPr>
        <w:t xml:space="preserve">; </w:t>
      </w:r>
      <w:r w:rsidR="00ED7F87" w:rsidRPr="001E6E9D">
        <w:rPr>
          <w:rFonts w:asciiTheme="minorHAnsi" w:hAnsiTheme="minorHAnsi" w:cstheme="minorHAnsi"/>
          <w:kern w:val="0"/>
          <w:szCs w:val="20"/>
        </w:rPr>
        <w:t xml:space="preserve">e/ou </w:t>
      </w:r>
      <w:r w:rsidR="0023236A" w:rsidRPr="001E6E9D">
        <w:rPr>
          <w:rFonts w:asciiTheme="minorHAnsi" w:hAnsiTheme="minorHAnsi" w:cstheme="minorHAnsi"/>
          <w:b/>
          <w:bCs/>
          <w:kern w:val="0"/>
          <w:szCs w:val="20"/>
        </w:rPr>
        <w:t>(b)</w:t>
      </w:r>
      <w:r w:rsidR="0023236A" w:rsidRPr="001E6E9D">
        <w:rPr>
          <w:rFonts w:asciiTheme="minorHAnsi" w:hAnsiTheme="minorHAnsi" w:cstheme="minorHAnsi"/>
          <w:kern w:val="0"/>
          <w:szCs w:val="20"/>
        </w:rPr>
        <w:t xml:space="preserve"> não ocorrência de qualquer das hipóteses de vencimento antecipado estabelecidas na Escritura de Emissão, em todos os casos, sempre observados eventuais prazos de cura aplicáveis, sendo que, se curados, a condição constante deste item será considerada cumprida;</w:t>
      </w:r>
    </w:p>
    <w:p w14:paraId="5E19542E" w14:textId="466B9A1E"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iCs/>
          <w:kern w:val="0"/>
          <w:szCs w:val="20"/>
        </w:rPr>
      </w:pPr>
      <w:bookmarkStart w:id="262" w:name="_Ref92233480"/>
      <w:r w:rsidRPr="001E6E9D">
        <w:rPr>
          <w:rFonts w:asciiTheme="minorHAnsi" w:hAnsiTheme="minorHAnsi" w:cstheme="minorHAnsi"/>
          <w:b/>
          <w:bCs/>
          <w:iCs/>
          <w:color w:val="000000"/>
          <w:kern w:val="0"/>
          <w:szCs w:val="20"/>
        </w:rPr>
        <w:t>(xxiv)</w:t>
      </w:r>
      <w:r w:rsidRPr="001E6E9D">
        <w:rPr>
          <w:rFonts w:asciiTheme="minorHAnsi" w:hAnsiTheme="minorHAnsi" w:cstheme="minorHAnsi"/>
          <w:b/>
          <w:bCs/>
          <w:iCs/>
          <w:color w:val="000000"/>
          <w:kern w:val="0"/>
          <w:szCs w:val="20"/>
        </w:rPr>
        <w:tab/>
      </w:r>
      <w:r w:rsidR="0023236A" w:rsidRPr="001E6E9D">
        <w:rPr>
          <w:rFonts w:asciiTheme="minorHAnsi" w:hAnsiTheme="minorHAnsi" w:cstheme="minorHAnsi"/>
          <w:iCs/>
          <w:kern w:val="0"/>
          <w:szCs w:val="20"/>
        </w:rPr>
        <w:t xml:space="preserve">não </w:t>
      </w:r>
      <w:r w:rsidR="0023236A" w:rsidRPr="001E6E9D">
        <w:rPr>
          <w:rFonts w:asciiTheme="minorHAnsi" w:hAnsiTheme="minorHAnsi" w:cstheme="minorHAnsi"/>
          <w:kern w:val="0"/>
          <w:szCs w:val="20"/>
        </w:rPr>
        <w:t>ocorrência</w:t>
      </w:r>
      <w:r w:rsidR="0023236A" w:rsidRPr="001E6E9D">
        <w:rPr>
          <w:rFonts w:asciiTheme="minorHAnsi" w:hAnsiTheme="minorHAnsi" w:cstheme="minorHAnsi"/>
          <w:iCs/>
          <w:kern w:val="0"/>
          <w:szCs w:val="20"/>
        </w:rPr>
        <w:t xml:space="preserve"> de qualquer alteração, transferência ou a cessão, direta ou indireta, do controle societário/acionário da Emissora, ou ainda a incorporação, fusão ou cisão da Emissora ou qualquer tipo de reorganização societária;</w:t>
      </w:r>
    </w:p>
    <w:bookmarkEnd w:id="262"/>
    <w:p w14:paraId="2193DF72" w14:textId="26AC98B8"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(xxv)</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recolhimento, pela Emissora, de quaisquer taxas ou tributos incidentes em razão da Emissão, inclusive para fins de registro da Oferta perante a B3;</w:t>
      </w:r>
    </w:p>
    <w:p w14:paraId="11AD4BD0" w14:textId="526A758F"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(xxvii)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pagamento da taxa de fiscalização da CVM, até a Data de Liquidação, nos termos da Medida Provisória nº 1.072 de 2021 e do Ofício Circular SRE nº 01 de 2022;</w:t>
      </w:r>
    </w:p>
    <w:p w14:paraId="450E25B7" w14:textId="630AB3D4"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bookmarkStart w:id="263" w:name="_Hlk118887988"/>
      <w:r w:rsidRPr="001E6E9D">
        <w:rPr>
          <w:rFonts w:asciiTheme="minorHAnsi" w:hAnsiTheme="minorHAnsi" w:cstheme="minorHAnsi"/>
          <w:b/>
          <w:bCs/>
          <w:color w:val="000000"/>
          <w:kern w:val="0"/>
          <w:szCs w:val="20"/>
        </w:rPr>
        <w:t>(xxviii)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divulgação, na página da rede mundial de computadores da Emissora, de suas demonstrações financeiras auditadas referentes ao exercício social encerrado em </w:t>
      </w:r>
      <w:r w:rsidR="0023236A" w:rsidRPr="001E6E9D">
        <w:rPr>
          <w:rFonts w:asciiTheme="minorHAnsi" w:hAnsiTheme="minorHAnsi" w:cstheme="minorHAnsi"/>
          <w:iCs/>
          <w:kern w:val="0"/>
          <w:szCs w:val="20"/>
        </w:rPr>
        <w:t>31 de dezembro de 2023</w:t>
      </w:r>
      <w:r w:rsidR="0023236A" w:rsidRPr="001E6E9D">
        <w:rPr>
          <w:rFonts w:asciiTheme="minorHAnsi" w:hAnsiTheme="minorHAnsi" w:cstheme="minorHAnsi"/>
          <w:kern w:val="0"/>
          <w:szCs w:val="20"/>
        </w:rPr>
        <w:t>, sendo que a liquidação financeira da Emissão somente ocorrerá após verificada referida divulgação;</w:t>
      </w:r>
      <w:bookmarkEnd w:id="263"/>
    </w:p>
    <w:p w14:paraId="39B83D5F" w14:textId="34A07855" w:rsidR="00065DBC" w:rsidRPr="001E6E9D" w:rsidRDefault="00065DBC" w:rsidP="001F7A69">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(xxix)</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inexistência de descumprimento, pela Emissora, </w:t>
      </w:r>
      <w:r w:rsidR="00ED7F87" w:rsidRPr="001E6E9D">
        <w:rPr>
          <w:rFonts w:asciiTheme="minorHAnsi" w:hAnsiTheme="minorHAnsi" w:cstheme="minorHAnsi"/>
          <w:kern w:val="0"/>
          <w:szCs w:val="20"/>
        </w:rPr>
        <w:t>pelas Fiadoras</w:t>
      </w:r>
      <w:r w:rsidR="0023236A" w:rsidRPr="001E6E9D">
        <w:rPr>
          <w:rFonts w:asciiTheme="minorHAnsi" w:hAnsiTheme="minorHAnsi" w:cstheme="minorHAnsi"/>
          <w:kern w:val="0"/>
          <w:szCs w:val="20"/>
        </w:rPr>
        <w:t xml:space="preserve"> e/ou por suas respectivas sociedades controladas, controladoras ou sob controle comum (</w:t>
      </w:r>
      <w:r w:rsidR="000D5E35" w:rsidRPr="001E6E9D">
        <w:rPr>
          <w:rFonts w:asciiTheme="minorHAnsi" w:hAnsiTheme="minorHAnsi" w:cstheme="minorHAnsi"/>
          <w:kern w:val="0"/>
          <w:szCs w:val="20"/>
        </w:rPr>
        <w:t>“</w:t>
      </w:r>
      <w:r w:rsidR="0023236A" w:rsidRPr="001E6E9D">
        <w:rPr>
          <w:rFonts w:asciiTheme="minorHAnsi" w:hAnsiTheme="minorHAnsi" w:cstheme="minorHAnsi"/>
          <w:kern w:val="0"/>
          <w:szCs w:val="20"/>
          <w:u w:val="single"/>
        </w:rPr>
        <w:t>Afiliadas</w:t>
      </w:r>
      <w:r w:rsidR="0023236A" w:rsidRPr="001E6E9D">
        <w:rPr>
          <w:rFonts w:asciiTheme="minorHAnsi" w:hAnsiTheme="minorHAnsi" w:cstheme="minorHAnsi"/>
          <w:kern w:val="0"/>
          <w:szCs w:val="20"/>
        </w:rPr>
        <w:t>”), da legislação em vigor, em especial a Legislação Socioambiental e as leis que importem discriminação de raça ou de gênero, trabalho infantil, trabalho análogo ao escravo, proveito criminoso da prostituição, violação aos direitos silvícolas, ao direito sobre as áreas de ocupação indígena ou crimes contra o meio ambiente (</w:t>
      </w:r>
      <w:r w:rsidR="000D5E35" w:rsidRPr="001E6E9D">
        <w:rPr>
          <w:rFonts w:asciiTheme="minorHAnsi" w:hAnsiTheme="minorHAnsi" w:cstheme="minorHAnsi"/>
          <w:kern w:val="0"/>
          <w:szCs w:val="20"/>
        </w:rPr>
        <w:t>“</w:t>
      </w:r>
      <w:r w:rsidR="0023236A" w:rsidRPr="001E6E9D">
        <w:rPr>
          <w:rFonts w:asciiTheme="minorHAnsi" w:hAnsiTheme="minorHAnsi" w:cstheme="minorHAnsi"/>
          <w:kern w:val="0"/>
          <w:szCs w:val="20"/>
          <w:u w:val="single"/>
        </w:rPr>
        <w:t>Leis de Proteção Social</w:t>
      </w:r>
      <w:r w:rsidR="0023236A" w:rsidRPr="001E6E9D">
        <w:rPr>
          <w:rFonts w:asciiTheme="minorHAnsi" w:hAnsiTheme="minorHAnsi" w:cstheme="minorHAnsi"/>
          <w:kern w:val="0"/>
          <w:szCs w:val="20"/>
        </w:rPr>
        <w:t>”);</w:t>
      </w:r>
    </w:p>
    <w:p w14:paraId="53C0A78A" w14:textId="51F42241"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lastRenderedPageBreak/>
        <w:t>(xxx)</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inexistência de violação, pela Emissora, </w:t>
      </w:r>
      <w:r w:rsidR="00ED7F87" w:rsidRPr="001E6E9D">
        <w:rPr>
          <w:rFonts w:asciiTheme="minorHAnsi" w:hAnsiTheme="minorHAnsi" w:cstheme="minorHAnsi"/>
          <w:kern w:val="0"/>
          <w:szCs w:val="20"/>
        </w:rPr>
        <w:t>pelas Fiadoras</w:t>
      </w:r>
      <w:r w:rsidR="0023236A" w:rsidRPr="001E6E9D">
        <w:rPr>
          <w:rFonts w:asciiTheme="minorHAnsi" w:hAnsiTheme="minorHAnsi" w:cstheme="minorHAnsi"/>
          <w:kern w:val="0"/>
          <w:szCs w:val="20"/>
        </w:rPr>
        <w:t xml:space="preserve"> e/ou por suas Afiliadas, de qualquer dispositivo previsto nas disposições legais e regulamentares relacionadas à prática de corrupção e atos lesivos à administração pública e ao patrimônio público, incluindo, mas não se limitando às </w:t>
      </w:r>
      <w:r w:rsidR="0023236A" w:rsidRPr="001E6E9D">
        <w:rPr>
          <w:rStyle w:val="NenhumA"/>
          <w:rFonts w:asciiTheme="minorHAnsi" w:hAnsiTheme="minorHAnsi" w:cstheme="minorHAnsi"/>
          <w:kern w:val="0"/>
          <w:szCs w:val="20"/>
        </w:rPr>
        <w:t>Legislação Anticorrupção (conforme abaixo definido)</w:t>
      </w:r>
      <w:r w:rsidR="0023236A" w:rsidRPr="001E6E9D">
        <w:rPr>
          <w:rFonts w:asciiTheme="minorHAnsi" w:hAnsiTheme="minorHAnsi" w:cstheme="minorHAnsi"/>
          <w:kern w:val="0"/>
          <w:szCs w:val="20"/>
        </w:rPr>
        <w:t xml:space="preserve">; </w:t>
      </w:r>
    </w:p>
    <w:p w14:paraId="05FB5783" w14:textId="73699F47"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(xxxi)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não ocorrência de </w:t>
      </w:r>
      <w:r w:rsidR="0023236A" w:rsidRPr="001E6E9D">
        <w:rPr>
          <w:rFonts w:asciiTheme="minorHAnsi" w:eastAsia="Arial Unicode MS" w:hAnsiTheme="minorHAnsi" w:cstheme="minorHAnsi"/>
          <w:kern w:val="0"/>
          <w:szCs w:val="20"/>
        </w:rPr>
        <w:t>(a) liquidação, dissolução, encerramento das atividades, extinção ou decretação de falência da Emissora e/ou das Fiadoras, ou qualquer outra modalidade com efeito prático similar prevista em lei específica; (b</w:t>
      </w:r>
      <w:r w:rsidR="0023236A" w:rsidRPr="001E6E9D">
        <w:rPr>
          <w:rFonts w:asciiTheme="minorHAnsi" w:hAnsiTheme="minorHAnsi" w:cstheme="minorHAnsi"/>
          <w:kern w:val="0"/>
          <w:szCs w:val="20"/>
        </w:rPr>
        <w:t xml:space="preserve">) pedido de autofalência da Emissora e/ou das Fiadoras e/ou subsidiárias da Emissora; (c) pedido de falência formulado por terceiros em face da Emissora e/ou das Fiadoras e não devidamente elidido ou contestado por elas no prazo legal aplicável ou de outra forma sanado; (d) propositura, pela Emissora e/ou pelas Fiadoras de mediação, conciliação ou plano de recuperação judicial ou extrajudicial ou qualquer outra modalidade de concurso de credores prevista em lei específica, a qualquer credor ou classe de credores, independentemente de ter sido requerida ou obtida homologação judicial do referido plano; (e) ingresso pela Emissora e/ou pelas Fiadoras com requerimento de recuperação judicial, independentemente de deferimento do processamento da recuperação ou de sua concessão pelo juiz competente; (f) ingresso pela Emissora e/ou pelas Fiadoras de quaisquer medidas antecipatórias para quaisquer dos procedimentos previstos nos itens acima e/ou quaisquer medidas com efeitos similares que visem a suspensão de quaisquer créditos devidos pela Emissora e/ou pelas Fiadoras; e/ou (g) encerramento das atividades da Emissora e/ou das Fiadoras; </w:t>
      </w:r>
    </w:p>
    <w:p w14:paraId="6F88309E" w14:textId="1471F8FC"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(xxxii)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aprovações pelas áreas internas dos Coordenadores, responsáveis pela análise e aprovação da Emissão, tais como, mas não limitadas a crédito, jurídico, socioambiental, contabilidade, risco e compliance, além de regras internas da organização;</w:t>
      </w:r>
    </w:p>
    <w:p w14:paraId="4384915D" w14:textId="69523B81" w:rsidR="00ED7F87" w:rsidRPr="001E6E9D" w:rsidRDefault="00ED7F87" w:rsidP="001F7A69">
      <w:pPr>
        <w:pStyle w:val="Level4"/>
        <w:autoSpaceDE w:val="0"/>
        <w:autoSpaceDN w:val="0"/>
        <w:adjustRightInd w:val="0"/>
        <w:spacing w:after="160" w:line="240" w:lineRule="auto"/>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(xxxii)</w:t>
      </w:r>
      <w:r w:rsidRPr="001E6E9D">
        <w:rPr>
          <w:rFonts w:asciiTheme="minorHAnsi" w:hAnsiTheme="minorHAnsi" w:cstheme="minorHAnsi"/>
          <w:b/>
          <w:bCs/>
          <w:color w:val="000000"/>
          <w:kern w:val="0"/>
          <w:szCs w:val="20"/>
        </w:rPr>
        <w:tab/>
      </w:r>
      <w:r w:rsidRPr="001E6E9D">
        <w:rPr>
          <w:rFonts w:asciiTheme="minorHAnsi" w:hAnsiTheme="minorHAnsi" w:cstheme="minorHAnsi"/>
          <w:kern w:val="0"/>
          <w:szCs w:val="20"/>
        </w:rPr>
        <w:t>protocolo dos formulários com as informações individualizadas dos Projetos perante o MME;</w:t>
      </w:r>
    </w:p>
    <w:p w14:paraId="331A2B7E" w14:textId="131C5BA2"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(xxxiv)</w:t>
      </w:r>
      <w:r w:rsidRPr="001E6E9D">
        <w:rPr>
          <w:rFonts w:asciiTheme="minorHAnsi" w:hAnsiTheme="minorHAnsi" w:cstheme="minorHAnsi"/>
          <w:b/>
          <w:bCs/>
          <w:color w:val="000000"/>
          <w:kern w:val="0"/>
          <w:szCs w:val="20"/>
        </w:rPr>
        <w:tab/>
      </w:r>
      <w:r w:rsidR="0023236A" w:rsidRPr="001E6E9D">
        <w:rPr>
          <w:rFonts w:asciiTheme="minorHAnsi" w:hAnsiTheme="minorHAnsi" w:cstheme="minorHAnsi"/>
          <w:bCs/>
          <w:kern w:val="0"/>
          <w:szCs w:val="20"/>
        </w:rPr>
        <w:t xml:space="preserve">conclusão do levantamento de informações e do processo </w:t>
      </w:r>
      <w:r w:rsidR="0023236A" w:rsidRPr="001E6E9D">
        <w:rPr>
          <w:rFonts w:asciiTheme="minorHAnsi" w:hAnsiTheme="minorHAnsi" w:cstheme="minorHAnsi"/>
          <w:kern w:val="0"/>
          <w:szCs w:val="20"/>
        </w:rPr>
        <w:t xml:space="preserve">de </w:t>
      </w:r>
      <w:r w:rsidR="0023236A" w:rsidRPr="001E6E9D">
        <w:rPr>
          <w:rFonts w:asciiTheme="minorHAnsi" w:hAnsiTheme="minorHAnsi" w:cstheme="minorHAnsi"/>
          <w:i/>
          <w:kern w:val="0"/>
          <w:szCs w:val="20"/>
        </w:rPr>
        <w:t>Back-</w:t>
      </w:r>
      <w:r w:rsidR="0023236A" w:rsidRPr="001E6E9D">
        <w:rPr>
          <w:rFonts w:asciiTheme="minorHAnsi" w:hAnsiTheme="minorHAnsi" w:cstheme="minorHAnsi"/>
          <w:kern w:val="0"/>
          <w:szCs w:val="20"/>
        </w:rPr>
        <w:t>up do material publicitário da Oferta. Para fins d</w:t>
      </w:r>
      <w:r w:rsidR="00271737" w:rsidRPr="001E6E9D">
        <w:rPr>
          <w:rFonts w:asciiTheme="minorHAnsi" w:hAnsiTheme="minorHAnsi" w:cstheme="minorHAnsi"/>
          <w:kern w:val="0"/>
          <w:szCs w:val="20"/>
        </w:rPr>
        <w:t>o</w:t>
      </w:r>
      <w:r w:rsidR="0023236A" w:rsidRPr="001E6E9D">
        <w:rPr>
          <w:rFonts w:asciiTheme="minorHAnsi" w:hAnsiTheme="minorHAnsi" w:cstheme="minorHAnsi"/>
          <w:kern w:val="0"/>
          <w:szCs w:val="20"/>
        </w:rPr>
        <w:t xml:space="preserve"> </w:t>
      </w:r>
      <w:r w:rsidR="00271737" w:rsidRPr="001E6E9D">
        <w:rPr>
          <w:rFonts w:asciiTheme="minorHAnsi" w:hAnsiTheme="minorHAnsi" w:cstheme="minorHAnsi"/>
          <w:kern w:val="0"/>
          <w:szCs w:val="20"/>
          <w:lang w:eastAsia="pt-BR"/>
        </w:rPr>
        <w:t>Contrato de Distribuição e deste Prospecto</w:t>
      </w:r>
      <w:r w:rsidR="0023236A" w:rsidRPr="001E6E9D">
        <w:rPr>
          <w:rFonts w:asciiTheme="minorHAnsi" w:hAnsiTheme="minorHAnsi" w:cstheme="minorHAnsi"/>
          <w:kern w:val="0"/>
          <w:szCs w:val="20"/>
        </w:rPr>
        <w:t xml:space="preserve">, </w:t>
      </w:r>
      <w:r w:rsidR="000D5E35" w:rsidRPr="001E6E9D">
        <w:rPr>
          <w:rFonts w:asciiTheme="minorHAnsi" w:hAnsiTheme="minorHAnsi" w:cstheme="minorHAnsi"/>
          <w:kern w:val="0"/>
          <w:szCs w:val="20"/>
        </w:rPr>
        <w:t>“</w:t>
      </w:r>
      <w:r w:rsidR="0023236A" w:rsidRPr="001E6E9D">
        <w:rPr>
          <w:rFonts w:asciiTheme="minorHAnsi" w:hAnsiTheme="minorHAnsi" w:cstheme="minorHAnsi"/>
          <w:b/>
          <w:bCs/>
          <w:i/>
          <w:iCs/>
          <w:kern w:val="0"/>
          <w:szCs w:val="20"/>
        </w:rPr>
        <w:t>Back-up</w:t>
      </w:r>
      <w:r w:rsidR="0023236A" w:rsidRPr="001E6E9D">
        <w:rPr>
          <w:rFonts w:asciiTheme="minorHAnsi" w:hAnsiTheme="minorHAnsi" w:cstheme="minorHAnsi"/>
          <w:kern w:val="0"/>
          <w:szCs w:val="20"/>
        </w:rPr>
        <w:t>” significa a verificação das informações setoriais, qualitativas, gerenciais, entre outras, da Emissora, conforme padrões de mercado, constantes materiais publicitários a serem utilizados no âmbito da Oferta</w:t>
      </w:r>
    </w:p>
    <w:p w14:paraId="2D489DCB" w14:textId="2964F0D9"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(xxxv)</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assinatura do questionário de </w:t>
      </w:r>
      <w:r w:rsidR="0023236A" w:rsidRPr="001E6E9D">
        <w:rPr>
          <w:rFonts w:asciiTheme="minorHAnsi" w:hAnsiTheme="minorHAnsi" w:cstheme="minorHAnsi"/>
          <w:i/>
          <w:iCs/>
          <w:kern w:val="0"/>
          <w:szCs w:val="20"/>
        </w:rPr>
        <w:t xml:space="preserve">Bringdown Due Diligence </w:t>
      </w:r>
      <w:r w:rsidR="0023236A" w:rsidRPr="001E6E9D">
        <w:rPr>
          <w:rFonts w:asciiTheme="minorHAnsi" w:hAnsiTheme="minorHAnsi" w:cstheme="minorHAnsi"/>
          <w:kern w:val="0"/>
          <w:szCs w:val="20"/>
        </w:rPr>
        <w:t xml:space="preserve">previamente </w:t>
      </w:r>
      <w:r w:rsidR="0023236A" w:rsidRPr="001E6E9D">
        <w:rPr>
          <w:rFonts w:asciiTheme="minorHAnsi" w:hAnsiTheme="minorHAnsi" w:cstheme="minorHAnsi"/>
          <w:b/>
          <w:bCs/>
          <w:kern w:val="0"/>
          <w:szCs w:val="20"/>
        </w:rPr>
        <w:t>(a)</w:t>
      </w:r>
      <w:r w:rsidR="0023236A" w:rsidRPr="001E6E9D">
        <w:rPr>
          <w:rFonts w:asciiTheme="minorHAnsi" w:hAnsiTheme="minorHAnsi" w:cstheme="minorHAnsi"/>
          <w:kern w:val="0"/>
          <w:szCs w:val="20"/>
        </w:rPr>
        <w:t xml:space="preserve"> à realização das reuniões de </w:t>
      </w:r>
      <w:r w:rsidR="0023236A" w:rsidRPr="001E6E9D">
        <w:rPr>
          <w:rFonts w:asciiTheme="minorHAnsi" w:hAnsiTheme="minorHAnsi" w:cstheme="minorHAnsi"/>
          <w:i/>
          <w:iCs/>
          <w:kern w:val="0"/>
          <w:szCs w:val="20"/>
        </w:rPr>
        <w:t>Roadshow</w:t>
      </w:r>
      <w:r w:rsidR="0023236A" w:rsidRPr="001E6E9D">
        <w:rPr>
          <w:rFonts w:asciiTheme="minorHAnsi" w:hAnsiTheme="minorHAnsi" w:cstheme="minorHAnsi"/>
          <w:kern w:val="0"/>
          <w:szCs w:val="20"/>
        </w:rPr>
        <w:t xml:space="preserve">; </w:t>
      </w:r>
      <w:r w:rsidR="0023236A" w:rsidRPr="001E6E9D">
        <w:rPr>
          <w:rFonts w:asciiTheme="minorHAnsi" w:hAnsiTheme="minorHAnsi" w:cstheme="minorHAnsi"/>
          <w:b/>
          <w:bCs/>
          <w:kern w:val="0"/>
          <w:szCs w:val="20"/>
        </w:rPr>
        <w:t>(b)</w:t>
      </w:r>
      <w:r w:rsidR="0023236A" w:rsidRPr="001E6E9D">
        <w:rPr>
          <w:rFonts w:asciiTheme="minorHAnsi" w:hAnsiTheme="minorHAnsi" w:cstheme="minorHAnsi"/>
          <w:kern w:val="0"/>
          <w:szCs w:val="20"/>
        </w:rPr>
        <w:t xml:space="preserve"> ao Procedimento de </w:t>
      </w:r>
      <w:r w:rsidR="0023236A" w:rsidRPr="001E6E9D">
        <w:rPr>
          <w:rFonts w:asciiTheme="minorHAnsi" w:hAnsiTheme="minorHAnsi" w:cstheme="minorHAnsi"/>
          <w:i/>
          <w:iCs/>
          <w:kern w:val="0"/>
          <w:szCs w:val="20"/>
        </w:rPr>
        <w:t>Bookbuilding</w:t>
      </w:r>
      <w:r w:rsidR="0023236A" w:rsidRPr="001E6E9D">
        <w:rPr>
          <w:rFonts w:asciiTheme="minorHAnsi" w:hAnsiTheme="minorHAnsi" w:cstheme="minorHAnsi"/>
          <w:kern w:val="0"/>
          <w:szCs w:val="20"/>
        </w:rPr>
        <w:t xml:space="preserve">; e </w:t>
      </w:r>
      <w:r w:rsidR="0023236A" w:rsidRPr="001E6E9D">
        <w:rPr>
          <w:rFonts w:asciiTheme="minorHAnsi" w:hAnsiTheme="minorHAnsi" w:cstheme="minorHAnsi"/>
          <w:b/>
          <w:bCs/>
          <w:kern w:val="0"/>
          <w:szCs w:val="20"/>
        </w:rPr>
        <w:t>(c)</w:t>
      </w:r>
      <w:r w:rsidR="0023236A" w:rsidRPr="001E6E9D">
        <w:rPr>
          <w:rFonts w:asciiTheme="minorHAnsi" w:hAnsiTheme="minorHAnsi" w:cstheme="minorHAnsi"/>
          <w:kern w:val="0"/>
          <w:szCs w:val="20"/>
        </w:rPr>
        <w:t xml:space="preserve"> à liquidação financeira das Debêntures;</w:t>
      </w:r>
    </w:p>
    <w:p w14:paraId="2FAFE893" w14:textId="6B488683"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(xxxvi)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aplicável, recebimento de declaração firmada pelo Diretor </w:t>
      </w:r>
      <w:r w:rsidR="00ED7F87" w:rsidRPr="001E6E9D">
        <w:rPr>
          <w:rFonts w:asciiTheme="minorHAnsi" w:hAnsiTheme="minorHAnsi" w:cstheme="minorHAnsi"/>
          <w:kern w:val="0"/>
          <w:szCs w:val="20"/>
        </w:rPr>
        <w:t xml:space="preserve">Presidente </w:t>
      </w:r>
      <w:r w:rsidR="0023236A" w:rsidRPr="001E6E9D">
        <w:rPr>
          <w:rFonts w:asciiTheme="minorHAnsi" w:hAnsiTheme="minorHAnsi" w:cstheme="minorHAnsi"/>
          <w:kern w:val="0"/>
          <w:szCs w:val="20"/>
        </w:rPr>
        <w:t>da Emissora</w:t>
      </w:r>
      <w:r w:rsidR="00ED7F87" w:rsidRPr="001E6E9D">
        <w:rPr>
          <w:rFonts w:asciiTheme="minorHAnsi" w:hAnsiTheme="minorHAnsi" w:cstheme="minorHAnsi"/>
          <w:kern w:val="0"/>
          <w:szCs w:val="20"/>
        </w:rPr>
        <w:t>, em conjunto com</w:t>
      </w:r>
      <w:r w:rsidR="0023236A" w:rsidRPr="001E6E9D">
        <w:rPr>
          <w:rFonts w:asciiTheme="minorHAnsi" w:hAnsiTheme="minorHAnsi" w:cstheme="minorHAnsi"/>
          <w:kern w:val="0"/>
          <w:szCs w:val="20"/>
        </w:rPr>
        <w:t xml:space="preserve"> outro diretor estatutário da Emissora, em conjunto com o diretor financeiro, atestando a suficiência, veracidade, precisão consistência e atualidade de determinadas informações gerenciais, contábeis e financeiras da Emissora constantes do material publicitário, que não foram passíveis de conforto pelos Auditores Independentes, e que tais informações, conforme o caso, são compatíveis, estão contidas, foram calculadas com base em </w:t>
      </w:r>
      <w:bookmarkStart w:id="264" w:name="_Hlk101902295"/>
      <w:r w:rsidR="0023236A" w:rsidRPr="001E6E9D">
        <w:rPr>
          <w:rFonts w:asciiTheme="minorHAnsi" w:hAnsiTheme="minorHAnsi" w:cstheme="minorHAnsi"/>
          <w:kern w:val="0"/>
          <w:szCs w:val="20"/>
        </w:rPr>
        <w:t xml:space="preserve">e/ou contam com suporte em </w:t>
      </w:r>
      <w:bookmarkEnd w:id="264"/>
      <w:r w:rsidR="0023236A" w:rsidRPr="001E6E9D">
        <w:rPr>
          <w:rFonts w:asciiTheme="minorHAnsi" w:hAnsiTheme="minorHAnsi" w:cstheme="minorHAnsi"/>
          <w:kern w:val="0"/>
          <w:szCs w:val="20"/>
        </w:rPr>
        <w:t xml:space="preserve">informação presente nas demonstrações contábeis auditadas e/ou informações contábeis intermediárias revisadas da Emissora; </w:t>
      </w:r>
    </w:p>
    <w:p w14:paraId="0AEEE850" w14:textId="2A6CECD3"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(xxxvii)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recebimento pelos Coordenadores, na data de disponibilização do prospecto definitivo, dos documentos previstos na carta de contratação, a ser celebrada entre a Companhia, os Coordenadores e o auditor independente da Companhia, em suas versões finais e em termos aceitáveis aos Coordenadores e de acordo com as normas aplicáveis; </w:t>
      </w:r>
    </w:p>
    <w:p w14:paraId="2B7D3EA9" w14:textId="2C57AB2E"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(xxxviii)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obtenção e manutenção da validade de todas as concessões, autorizações e licenças, inclusive ambientais, necessárias à exploração de seus negócios e implantação e desenvolvimento dos Projetos;</w:t>
      </w:r>
    </w:p>
    <w:p w14:paraId="7EE94B8C" w14:textId="2FC63312"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(xxxix)</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o enquadramento da Emissão no art. 2º da Lei nº 12.431</w:t>
      </w:r>
      <w:r w:rsidR="00ED7F87" w:rsidRPr="001E6E9D">
        <w:rPr>
          <w:rFonts w:asciiTheme="minorHAnsi" w:hAnsiTheme="minorHAnsi" w:cstheme="minorHAnsi"/>
          <w:kern w:val="0"/>
          <w:szCs w:val="20"/>
        </w:rPr>
        <w:t>, nos termos do artigo 3º, parágrafo primeiro, do Decreto 11.964</w:t>
      </w:r>
      <w:r w:rsidR="0023236A" w:rsidRPr="001E6E9D">
        <w:rPr>
          <w:rFonts w:asciiTheme="minorHAnsi" w:hAnsiTheme="minorHAnsi" w:cstheme="minorHAnsi"/>
          <w:kern w:val="0"/>
          <w:szCs w:val="20"/>
        </w:rPr>
        <w:t>;</w:t>
      </w:r>
    </w:p>
    <w:p w14:paraId="55546AAA" w14:textId="18FDB6EC"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(xl)</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aceitação, por parte dos Coordenadores, e contratação e remuneração pela Emissora, de todos os prestadores de serviços necessários para a boa estruturação e execução da Emissão, nos termos aqui apresentados, incluindo, mas não se limitando, do escriturador e liquidante, agente fiduciário, Assessor</w:t>
      </w:r>
      <w:r w:rsidR="00504AE1" w:rsidRPr="001E6E9D">
        <w:rPr>
          <w:rFonts w:asciiTheme="minorHAnsi" w:hAnsiTheme="minorHAnsi" w:cstheme="minorHAnsi"/>
          <w:kern w:val="0"/>
          <w:szCs w:val="20"/>
        </w:rPr>
        <w:t> </w:t>
      </w:r>
      <w:r w:rsidR="0023236A" w:rsidRPr="001E6E9D">
        <w:rPr>
          <w:rFonts w:asciiTheme="minorHAnsi" w:hAnsiTheme="minorHAnsi" w:cstheme="minorHAnsi"/>
          <w:kern w:val="0"/>
          <w:szCs w:val="20"/>
        </w:rPr>
        <w:t xml:space="preserve">Legal; </w:t>
      </w:r>
    </w:p>
    <w:p w14:paraId="13C513E6" w14:textId="1DFCEDE2"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(xli)</w:t>
      </w:r>
      <w:r w:rsidRPr="001E6E9D">
        <w:rPr>
          <w:rFonts w:asciiTheme="minorHAnsi" w:hAnsiTheme="minorHAnsi" w:cstheme="minorHAnsi"/>
          <w:b/>
          <w:bCs/>
          <w:color w:val="000000"/>
          <w:kern w:val="0"/>
          <w:szCs w:val="20"/>
        </w:rPr>
        <w:tab/>
      </w:r>
      <w:r w:rsidR="00ED7F87" w:rsidRPr="001E6E9D">
        <w:rPr>
          <w:rFonts w:asciiTheme="minorHAnsi" w:hAnsiTheme="minorHAnsi" w:cstheme="minorHAnsi"/>
          <w:kern w:val="0"/>
          <w:szCs w:val="20"/>
        </w:rPr>
        <w:t xml:space="preserve">demonstração, por meio da apresentação do respectivo estatuto social e extratos bancários, do atingimento do equity upfront, </w:t>
      </w:r>
      <w:r w:rsidR="0023236A" w:rsidRPr="001E6E9D">
        <w:rPr>
          <w:rFonts w:asciiTheme="minorHAnsi" w:hAnsiTheme="minorHAnsi" w:cstheme="minorHAnsi"/>
          <w:kern w:val="0"/>
          <w:szCs w:val="20"/>
        </w:rPr>
        <w:t xml:space="preserve">definido conforme modelagem financeira com parâmetros verificados por empresa de engenharia independente de tal maneira que o projeto se encontre </w:t>
      </w:r>
      <w:r w:rsidR="0023236A" w:rsidRPr="001E6E9D">
        <w:rPr>
          <w:rFonts w:asciiTheme="minorHAnsi" w:hAnsiTheme="minorHAnsi" w:cstheme="minorHAnsi"/>
          <w:i/>
          <w:iCs/>
          <w:kern w:val="0"/>
          <w:szCs w:val="20"/>
        </w:rPr>
        <w:t>fully funded</w:t>
      </w:r>
      <w:r w:rsidR="0023236A" w:rsidRPr="001E6E9D">
        <w:rPr>
          <w:rFonts w:asciiTheme="minorHAnsi" w:hAnsiTheme="minorHAnsi" w:cstheme="minorHAnsi"/>
          <w:kern w:val="0"/>
          <w:szCs w:val="20"/>
        </w:rPr>
        <w:t>;</w:t>
      </w:r>
    </w:p>
    <w:p w14:paraId="2E276524" w14:textId="72741E6E" w:rsidR="00065DBC" w:rsidRPr="001E6E9D" w:rsidRDefault="00065DBC" w:rsidP="001F7A69">
      <w:pPr>
        <w:pStyle w:val="Level4"/>
        <w:autoSpaceDE w:val="0"/>
        <w:autoSpaceDN w:val="0"/>
        <w:adjustRightInd w:val="0"/>
        <w:spacing w:after="16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(xlii)</w:t>
      </w:r>
      <w:r w:rsidRPr="001E6E9D">
        <w:rPr>
          <w:rFonts w:asciiTheme="minorHAnsi" w:hAnsiTheme="minorHAnsi" w:cstheme="minorHAnsi"/>
          <w:b/>
          <w:bCs/>
          <w:color w:val="000000"/>
          <w:kern w:val="0"/>
          <w:szCs w:val="20"/>
        </w:rPr>
        <w:tab/>
      </w:r>
      <w:r w:rsidR="00ED7F87" w:rsidRPr="001E6E9D">
        <w:rPr>
          <w:rFonts w:asciiTheme="minorHAnsi" w:hAnsiTheme="minorHAnsi" w:cstheme="minorHAnsi"/>
          <w:kern w:val="0"/>
          <w:szCs w:val="20"/>
        </w:rPr>
        <w:t xml:space="preserve">manutenção </w:t>
      </w:r>
      <w:r w:rsidR="0023236A" w:rsidRPr="001E6E9D">
        <w:rPr>
          <w:rFonts w:asciiTheme="minorHAnsi" w:hAnsiTheme="minorHAnsi" w:cstheme="minorHAnsi"/>
          <w:kern w:val="0"/>
          <w:szCs w:val="20"/>
        </w:rPr>
        <w:t xml:space="preserve">das principais cláusulas dos contratos de </w:t>
      </w:r>
      <w:r w:rsidR="0023236A" w:rsidRPr="001E6E9D">
        <w:rPr>
          <w:rFonts w:asciiTheme="minorHAnsi" w:hAnsiTheme="minorHAnsi" w:cstheme="minorHAnsi"/>
          <w:i/>
          <w:iCs/>
          <w:kern w:val="0"/>
          <w:szCs w:val="20"/>
        </w:rPr>
        <w:t>offtaker</w:t>
      </w:r>
      <w:r w:rsidR="0023236A" w:rsidRPr="001E6E9D">
        <w:rPr>
          <w:rFonts w:asciiTheme="minorHAnsi" w:hAnsiTheme="minorHAnsi" w:cstheme="minorHAnsi"/>
          <w:kern w:val="0"/>
          <w:szCs w:val="20"/>
        </w:rPr>
        <w:t xml:space="preserve"> e das respectivas contrapartes e garantidoras</w:t>
      </w:r>
      <w:r w:rsidR="00674DAF" w:rsidRPr="001E6E9D">
        <w:rPr>
          <w:rFonts w:asciiTheme="minorHAnsi" w:hAnsiTheme="minorHAnsi" w:cstheme="minorHAnsi"/>
          <w:kern w:val="0"/>
          <w:szCs w:val="20"/>
        </w:rPr>
        <w:t>, conforme aprsentadas pela Emissora aos Coordenadores</w:t>
      </w:r>
      <w:r w:rsidR="0023236A" w:rsidRPr="001E6E9D">
        <w:rPr>
          <w:rFonts w:asciiTheme="minorHAnsi" w:hAnsiTheme="minorHAnsi" w:cstheme="minorHAnsi"/>
          <w:kern w:val="0"/>
          <w:szCs w:val="20"/>
        </w:rPr>
        <w:t>, tais como, mas não limitado a: (a) preços e mecânicas de ajustes por geração; (b) cláusulas de rescisão e multas; (c) prazo; e (d) demais penalidades;</w:t>
      </w:r>
    </w:p>
    <w:p w14:paraId="4E9BB48F" w14:textId="0ADD81A3" w:rsidR="00065DBC"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lastRenderedPageBreak/>
        <w:t>(xliii)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recebimento de Legal Opinion confirmando a aderência dos contratos de GD à legislação vigente, incluindo avaliação do risco de desenquadramento e/ou alteração dos projetos no Sistema de Compensação de Energia Elétrica no âmbito da Tomada de Subsídios nº18/2023 da ANEEL e de quaisquer outros questionamentos em relação ao modelo de negócio que ponha em risco a estrutura contratual e comercial dos projetos de geração distribuída;</w:t>
      </w:r>
    </w:p>
    <w:p w14:paraId="04E89A96" w14:textId="1CA384AC" w:rsidR="00065DBC"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(xliv)</w:t>
      </w:r>
      <w:r w:rsidRPr="001E6E9D">
        <w:rPr>
          <w:rFonts w:asciiTheme="minorHAnsi" w:hAnsiTheme="minorHAnsi" w:cstheme="minorHAnsi"/>
          <w:b/>
          <w:bCs/>
          <w:color w:val="000000"/>
          <w:kern w:val="0"/>
          <w:szCs w:val="20"/>
        </w:rPr>
        <w:tab/>
      </w:r>
      <w:r w:rsidR="00674DAF" w:rsidRPr="001E6E9D">
        <w:rPr>
          <w:rFonts w:asciiTheme="minorHAnsi" w:hAnsiTheme="minorHAnsi" w:cstheme="minorHAnsi"/>
          <w:color w:val="000000"/>
          <w:kern w:val="0"/>
          <w:szCs w:val="20"/>
        </w:rPr>
        <w:t xml:space="preserve">apresentação de </w:t>
      </w:r>
      <w:r w:rsidR="0023236A" w:rsidRPr="001E6E9D">
        <w:rPr>
          <w:rFonts w:asciiTheme="minorHAnsi" w:hAnsiTheme="minorHAnsi" w:cstheme="minorHAnsi"/>
          <w:kern w:val="0"/>
          <w:szCs w:val="20"/>
        </w:rPr>
        <w:t>parecer de engenheiro independente (DNV, Arcadis, Grupo Energia, Concremat, ArcVeraou outro fornecedor a ser aprovado pelo Sindicato), com a validação das premissas de geração (P50 e P90) utilizadas na análise do Projeto, em condições satisfatórias ao exclusivo critério do Sindicato, que definirá o escopo mínimo a ser avaliado;</w:t>
      </w:r>
    </w:p>
    <w:p w14:paraId="28876F73" w14:textId="22122EBC" w:rsidR="00065DBC"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(xlv)</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validação do enquadramento dos Projetos como GD I, com a solicitação de acesso realizada até 07 de janeiro de 2023, através da verificação via fatura e/ou outra forma acordada;</w:t>
      </w:r>
    </w:p>
    <w:p w14:paraId="0791D68B" w14:textId="3C723558" w:rsidR="00065DBC"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(xlvii)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hedge de moeda de 100% do valor dos investimentos com exposição cambial</w:t>
      </w:r>
      <w:r w:rsidR="00674DAF" w:rsidRPr="001E6E9D">
        <w:rPr>
          <w:rFonts w:asciiTheme="minorHAnsi" w:hAnsiTheme="minorHAnsi" w:cstheme="minorHAnsi"/>
          <w:kern w:val="0"/>
          <w:szCs w:val="20"/>
        </w:rPr>
        <w:t>, se aplicável</w:t>
      </w:r>
      <w:r w:rsidR="0023236A" w:rsidRPr="001E6E9D">
        <w:rPr>
          <w:rFonts w:asciiTheme="minorHAnsi" w:hAnsiTheme="minorHAnsi" w:cstheme="minorHAnsi"/>
          <w:kern w:val="0"/>
          <w:szCs w:val="20"/>
        </w:rPr>
        <w:t xml:space="preserve">; </w:t>
      </w:r>
    </w:p>
    <w:p w14:paraId="35A181DF" w14:textId="6A9FB5AA" w:rsidR="00065DBC"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(xlviii)</w:t>
      </w:r>
      <w:r w:rsidRPr="001E6E9D">
        <w:rPr>
          <w:rFonts w:asciiTheme="minorHAnsi" w:hAnsiTheme="minorHAnsi" w:cstheme="minorHAnsi"/>
          <w:b/>
          <w:bCs/>
          <w:color w:val="000000"/>
          <w:kern w:val="0"/>
          <w:szCs w:val="20"/>
        </w:rPr>
        <w:tab/>
      </w:r>
      <w:r w:rsidR="00674DAF" w:rsidRPr="001E6E9D">
        <w:rPr>
          <w:rFonts w:asciiTheme="minorHAnsi" w:hAnsiTheme="minorHAnsi" w:cstheme="minorHAnsi"/>
          <w:kern w:val="0"/>
          <w:szCs w:val="20"/>
        </w:rPr>
        <w:t xml:space="preserve">manutenção </w:t>
      </w:r>
      <w:r w:rsidR="0023236A" w:rsidRPr="001E6E9D">
        <w:rPr>
          <w:rFonts w:asciiTheme="minorHAnsi" w:hAnsiTheme="minorHAnsi" w:cstheme="minorHAnsi"/>
          <w:kern w:val="0"/>
          <w:szCs w:val="20"/>
        </w:rPr>
        <w:t xml:space="preserve">de todos os contratos (módulos/inversores, </w:t>
      </w:r>
      <w:r w:rsidR="0023236A" w:rsidRPr="001E6E9D">
        <w:rPr>
          <w:rFonts w:asciiTheme="minorHAnsi" w:hAnsiTheme="minorHAnsi" w:cstheme="minorHAnsi"/>
          <w:i/>
          <w:iCs/>
          <w:kern w:val="0"/>
          <w:szCs w:val="20"/>
        </w:rPr>
        <w:t>trackers</w:t>
      </w:r>
      <w:r w:rsidR="0023236A" w:rsidRPr="001E6E9D">
        <w:rPr>
          <w:rFonts w:asciiTheme="minorHAnsi" w:hAnsiTheme="minorHAnsi" w:cstheme="minorHAnsi"/>
          <w:kern w:val="0"/>
          <w:szCs w:val="20"/>
        </w:rPr>
        <w:t>, obra civil, seguros performance) celebrados;</w:t>
      </w:r>
    </w:p>
    <w:p w14:paraId="717875CF" w14:textId="6AA18FE3" w:rsidR="00065DBC"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(xlix)</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 xml:space="preserve">apresentação de todos os contratos firmados com os </w:t>
      </w:r>
      <w:r w:rsidR="0023236A" w:rsidRPr="001E6E9D">
        <w:rPr>
          <w:rFonts w:asciiTheme="minorHAnsi" w:hAnsiTheme="minorHAnsi" w:cstheme="minorHAnsi"/>
          <w:i/>
          <w:iCs/>
          <w:kern w:val="0"/>
          <w:szCs w:val="20"/>
        </w:rPr>
        <w:t>offtakers</w:t>
      </w:r>
      <w:r w:rsidR="0023236A" w:rsidRPr="001E6E9D">
        <w:rPr>
          <w:rFonts w:asciiTheme="minorHAnsi" w:hAnsiTheme="minorHAnsi" w:cstheme="minorHAnsi"/>
          <w:kern w:val="0"/>
          <w:szCs w:val="20"/>
        </w:rPr>
        <w:t>;</w:t>
      </w:r>
    </w:p>
    <w:p w14:paraId="5329169C" w14:textId="1FED389D" w:rsidR="00065DBC"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(l)</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emissão das Licenças de Instalação, simplificada ou dispensa, conforme aplicável;</w:t>
      </w:r>
    </w:p>
    <w:p w14:paraId="65204BD5" w14:textId="30CF689E" w:rsidR="00065DBC"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(li)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apresentação dos contratos de arrendamento das terras celebrados e válidos, em condições satisfatórias de acordo com a avaliação dos Coordenadores;</w:t>
      </w:r>
    </w:p>
    <w:p w14:paraId="68C6D65A" w14:textId="5F73DA75" w:rsidR="00674DAF"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(lii)</w:t>
      </w:r>
      <w:r w:rsidRPr="001E6E9D">
        <w:rPr>
          <w:rFonts w:asciiTheme="minorHAnsi" w:hAnsiTheme="minorHAnsi" w:cstheme="minorHAnsi"/>
          <w:b/>
          <w:bCs/>
          <w:color w:val="000000"/>
          <w:kern w:val="0"/>
          <w:szCs w:val="20"/>
        </w:rPr>
        <w:tab/>
      </w:r>
      <w:r w:rsidR="00674DAF" w:rsidRPr="001E6E9D">
        <w:rPr>
          <w:rFonts w:asciiTheme="minorHAnsi" w:hAnsiTheme="minorHAnsi" w:cstheme="minorHAnsi"/>
          <w:kern w:val="0"/>
          <w:szCs w:val="20"/>
        </w:rPr>
        <w:t xml:space="preserve">confirmação </w:t>
      </w:r>
      <w:r w:rsidR="0023236A" w:rsidRPr="001E6E9D">
        <w:rPr>
          <w:rFonts w:asciiTheme="minorHAnsi" w:hAnsiTheme="minorHAnsi" w:cstheme="minorHAnsi"/>
          <w:kern w:val="0"/>
          <w:szCs w:val="20"/>
        </w:rPr>
        <w:t xml:space="preserve">de que </w:t>
      </w:r>
      <w:r w:rsidR="00674DAF" w:rsidRPr="001E6E9D">
        <w:rPr>
          <w:rFonts w:asciiTheme="minorHAnsi" w:hAnsiTheme="minorHAnsi" w:cstheme="minorHAnsi"/>
          <w:kern w:val="0"/>
          <w:szCs w:val="20"/>
        </w:rPr>
        <w:t xml:space="preserve">todas </w:t>
      </w:r>
      <w:r w:rsidR="0023236A" w:rsidRPr="001E6E9D">
        <w:rPr>
          <w:rFonts w:asciiTheme="minorHAnsi" w:hAnsiTheme="minorHAnsi" w:cstheme="minorHAnsi"/>
          <w:kern w:val="0"/>
          <w:szCs w:val="20"/>
        </w:rPr>
        <w:t xml:space="preserve">as máquinas e equipamentos importados relativos ao </w:t>
      </w:r>
      <w:r w:rsidR="00674DAF" w:rsidRPr="001E6E9D">
        <w:rPr>
          <w:rFonts w:asciiTheme="minorHAnsi" w:hAnsiTheme="minorHAnsi" w:cstheme="minorHAnsi"/>
          <w:kern w:val="0"/>
          <w:szCs w:val="20"/>
        </w:rPr>
        <w:t xml:space="preserve">Projeto </w:t>
      </w:r>
      <w:r w:rsidR="0023236A" w:rsidRPr="001E6E9D">
        <w:rPr>
          <w:rFonts w:asciiTheme="minorHAnsi" w:hAnsiTheme="minorHAnsi" w:cstheme="minorHAnsi"/>
          <w:kern w:val="0"/>
          <w:szCs w:val="20"/>
        </w:rPr>
        <w:t xml:space="preserve">estão devidamente </w:t>
      </w:r>
      <w:r w:rsidR="00674DAF" w:rsidRPr="001E6E9D">
        <w:rPr>
          <w:rFonts w:asciiTheme="minorHAnsi" w:hAnsiTheme="minorHAnsi" w:cstheme="minorHAnsi"/>
          <w:kern w:val="0"/>
          <w:szCs w:val="20"/>
        </w:rPr>
        <w:t>entregues nos respectivos projetos</w:t>
      </w:r>
      <w:r w:rsidR="0023236A" w:rsidRPr="001E6E9D">
        <w:rPr>
          <w:rFonts w:asciiTheme="minorHAnsi" w:hAnsiTheme="minorHAnsi" w:cstheme="minorHAnsi"/>
          <w:kern w:val="0"/>
          <w:szCs w:val="20"/>
        </w:rPr>
        <w:t xml:space="preserve">; </w:t>
      </w:r>
    </w:p>
    <w:p w14:paraId="5766CF6E" w14:textId="53FF41A8" w:rsidR="00065DBC" w:rsidRPr="001E6E9D" w:rsidRDefault="00674DAF" w:rsidP="001F7A69">
      <w:pPr>
        <w:pStyle w:val="Level4"/>
        <w:autoSpaceDE w:val="0"/>
        <w:autoSpaceDN w:val="0"/>
        <w:adjustRightInd w:val="0"/>
        <w:spacing w:after="180" w:line="240" w:lineRule="auto"/>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(lii)</w:t>
      </w:r>
      <w:r w:rsidRPr="001E6E9D">
        <w:rPr>
          <w:rFonts w:asciiTheme="minorHAnsi" w:hAnsiTheme="minorHAnsi" w:cstheme="minorHAnsi"/>
          <w:b/>
          <w:bCs/>
          <w:color w:val="000000"/>
          <w:kern w:val="0"/>
          <w:szCs w:val="20"/>
        </w:rPr>
        <w:tab/>
      </w:r>
      <w:r w:rsidRPr="001E6E9D">
        <w:rPr>
          <w:rFonts w:asciiTheme="minorHAnsi" w:hAnsiTheme="minorHAnsi" w:cstheme="minorHAnsi"/>
          <w:color w:val="000000"/>
          <w:kern w:val="0"/>
          <w:szCs w:val="20"/>
        </w:rPr>
        <w:t xml:space="preserve">emissão do relatório de debênture verde; </w:t>
      </w:r>
      <w:r w:rsidR="0023236A" w:rsidRPr="001E6E9D">
        <w:rPr>
          <w:rFonts w:asciiTheme="minorHAnsi" w:hAnsiTheme="minorHAnsi" w:cstheme="minorHAnsi"/>
          <w:kern w:val="0"/>
          <w:szCs w:val="20"/>
        </w:rPr>
        <w:t>e</w:t>
      </w:r>
    </w:p>
    <w:p w14:paraId="48DCFC8C" w14:textId="4546C9E9" w:rsidR="00065DBC" w:rsidRPr="001E6E9D" w:rsidRDefault="00065DBC" w:rsidP="001F7A69">
      <w:pPr>
        <w:pStyle w:val="Level4"/>
        <w:autoSpaceDE w:val="0"/>
        <w:autoSpaceDN w:val="0"/>
        <w:adjustRightInd w:val="0"/>
        <w:spacing w:after="18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(liii)</w:t>
      </w:r>
      <w:r w:rsidRPr="001E6E9D">
        <w:rPr>
          <w:rFonts w:asciiTheme="minorHAnsi" w:hAnsiTheme="minorHAnsi" w:cstheme="minorHAnsi"/>
          <w:b/>
          <w:bCs/>
          <w:color w:val="000000"/>
          <w:kern w:val="0"/>
          <w:szCs w:val="20"/>
        </w:rPr>
        <w:tab/>
      </w:r>
      <w:r w:rsidR="0023236A" w:rsidRPr="001E6E9D">
        <w:rPr>
          <w:rFonts w:asciiTheme="minorHAnsi" w:hAnsiTheme="minorHAnsi" w:cstheme="minorHAnsi"/>
          <w:kern w:val="0"/>
          <w:szCs w:val="20"/>
        </w:rPr>
        <w:t>parecer favorável do time socioambiental do Coordenador Líder.</w:t>
      </w:r>
    </w:p>
    <w:p w14:paraId="693D508F" w14:textId="1E309551" w:rsidR="003468A1" w:rsidRPr="001E6E9D" w:rsidRDefault="0023236A" w:rsidP="001F7A69">
      <w:pPr>
        <w:tabs>
          <w:tab w:val="left" w:pos="1701"/>
        </w:tabs>
        <w:spacing w:after="180"/>
        <w:rPr>
          <w:rFonts w:asciiTheme="minorHAnsi" w:eastAsia="Times New Roman" w:hAnsiTheme="minorHAnsi" w:cstheme="minorHAnsi"/>
          <w:szCs w:val="20"/>
          <w:lang w:eastAsia="pt-BR"/>
        </w:rPr>
      </w:pPr>
      <w:bookmarkStart w:id="265" w:name="_DV_M98"/>
      <w:bookmarkEnd w:id="265"/>
      <w:r w:rsidRPr="001E6E9D">
        <w:rPr>
          <w:rFonts w:asciiTheme="minorHAnsi" w:eastAsia="MS Mincho" w:hAnsiTheme="minorHAnsi" w:cstheme="minorHAnsi"/>
          <w:szCs w:val="20"/>
          <w:lang w:eastAsia="pt-BR"/>
        </w:rPr>
        <w:t>Na hipótese do não atendimento de uma ou mais Condições Precedentes, a Emissão não será efetivada e não produzirá efeitos com relação a qualquer das Partes, exceto pela obrigação da Emissora de reembolsar os Coordenadores por todas as despesas comprovadamente incorridas, conforme previsto na Cláusula 7 abaixo. Caso ocorra o não atendimento de qualquer das Condições Precedentes descritas n</w:t>
      </w:r>
      <w:r w:rsidR="00271737" w:rsidRPr="001E6E9D">
        <w:rPr>
          <w:rFonts w:asciiTheme="minorHAnsi" w:eastAsia="MS Mincho" w:hAnsiTheme="minorHAnsi" w:cstheme="minorHAnsi"/>
          <w:szCs w:val="20"/>
          <w:lang w:eastAsia="pt-BR"/>
        </w:rPr>
        <w:t>o</w:t>
      </w:r>
      <w:r w:rsidRPr="001E6E9D">
        <w:rPr>
          <w:rFonts w:asciiTheme="minorHAnsi" w:eastAsia="MS Mincho" w:hAnsiTheme="minorHAnsi" w:cstheme="minorHAnsi"/>
          <w:szCs w:val="20"/>
          <w:lang w:eastAsia="pt-BR"/>
        </w:rPr>
        <w:t xml:space="preserve"> </w:t>
      </w:r>
      <w:r w:rsidR="00271737" w:rsidRPr="001E6E9D">
        <w:rPr>
          <w:rFonts w:asciiTheme="minorHAnsi" w:eastAsia="Times New Roman" w:hAnsiTheme="minorHAnsi" w:cstheme="minorHAnsi"/>
          <w:szCs w:val="20"/>
          <w:lang w:eastAsia="pt-BR"/>
        </w:rPr>
        <w:t>Contrato de Distribuição</w:t>
      </w:r>
      <w:r w:rsidRPr="001E6E9D">
        <w:rPr>
          <w:rFonts w:asciiTheme="minorHAnsi" w:eastAsia="MS Mincho" w:hAnsiTheme="minorHAnsi" w:cstheme="minorHAnsi"/>
          <w:szCs w:val="20"/>
          <w:lang w:eastAsia="pt-BR"/>
        </w:rPr>
        <w:t xml:space="preserve"> por ato ou omissão exclusivo da Emissora, a Emissora também terá a obrigação de pagar aos Coordenadores a Remuneração de Descontinuidade (conforme definida no Contrato de Distribuição)</w:t>
      </w:r>
      <w:r w:rsidR="0053704D" w:rsidRPr="001E6E9D">
        <w:rPr>
          <w:rFonts w:asciiTheme="minorHAnsi" w:eastAsia="Times New Roman" w:hAnsiTheme="minorHAnsi" w:cstheme="minorHAnsi"/>
          <w:szCs w:val="20"/>
          <w:lang w:eastAsia="pt-BR"/>
        </w:rPr>
        <w:t>.</w:t>
      </w:r>
    </w:p>
    <w:p w14:paraId="423F1E8B" w14:textId="2922AEA9" w:rsidR="0023236A" w:rsidRPr="001E6E9D" w:rsidRDefault="0023236A" w:rsidP="001F7A69">
      <w:pPr>
        <w:tabs>
          <w:tab w:val="left" w:pos="1701"/>
        </w:tabs>
        <w:spacing w:after="180"/>
        <w:rPr>
          <w:rFonts w:asciiTheme="minorHAnsi" w:eastAsia="Times New Roman" w:hAnsiTheme="minorHAnsi" w:cstheme="minorHAnsi"/>
          <w:szCs w:val="20"/>
          <w:lang w:eastAsia="pt-BR"/>
        </w:rPr>
      </w:pPr>
      <w:r w:rsidRPr="001E6E9D">
        <w:rPr>
          <w:rFonts w:asciiTheme="minorHAnsi" w:eastAsia="MS Mincho" w:hAnsiTheme="minorHAnsi" w:cstheme="minorHAnsi"/>
          <w:szCs w:val="20"/>
          <w:lang w:eastAsia="pt-BR"/>
        </w:rPr>
        <w:t xml:space="preserve">A renúncia pelos Coordenadores, ou a concessão de prazo adicional que os Coordenadores entender adequado, a seu exclusivo critério, para verificação de qualquer das Condições Precedentes descritas acima não poderá: </w:t>
      </w:r>
      <w:r w:rsidRPr="001E6E9D">
        <w:rPr>
          <w:rFonts w:asciiTheme="minorHAnsi" w:eastAsia="MS Mincho" w:hAnsiTheme="minorHAnsi" w:cstheme="minorHAnsi"/>
          <w:b/>
          <w:szCs w:val="20"/>
          <w:lang w:eastAsia="pt-BR"/>
        </w:rPr>
        <w:t>(i)</w:t>
      </w:r>
      <w:r w:rsidRPr="001E6E9D">
        <w:rPr>
          <w:rFonts w:asciiTheme="minorHAnsi" w:eastAsia="MS Mincho" w:hAnsiTheme="minorHAnsi" w:cstheme="minorHAnsi"/>
          <w:szCs w:val="20"/>
          <w:lang w:eastAsia="pt-BR"/>
        </w:rPr>
        <w:t> ser interpretada como uma renúncia dos Coordenadores quanto ao cumprimento, pela Emissora, de suas obrigações previstas n</w:t>
      </w:r>
      <w:r w:rsidR="00271737" w:rsidRPr="001E6E9D">
        <w:rPr>
          <w:rFonts w:asciiTheme="minorHAnsi" w:eastAsia="MS Mincho" w:hAnsiTheme="minorHAnsi" w:cstheme="minorHAnsi"/>
          <w:szCs w:val="20"/>
          <w:lang w:eastAsia="pt-BR"/>
        </w:rPr>
        <w:t>o</w:t>
      </w:r>
      <w:r w:rsidRPr="001E6E9D">
        <w:rPr>
          <w:rFonts w:asciiTheme="minorHAnsi" w:eastAsia="MS Mincho" w:hAnsiTheme="minorHAnsi" w:cstheme="minorHAnsi"/>
          <w:szCs w:val="20"/>
          <w:lang w:eastAsia="pt-BR"/>
        </w:rPr>
        <w:t xml:space="preserve"> </w:t>
      </w:r>
      <w:r w:rsidR="00271737" w:rsidRPr="001E6E9D">
        <w:rPr>
          <w:rFonts w:asciiTheme="minorHAnsi" w:eastAsia="Times New Roman" w:hAnsiTheme="minorHAnsi" w:cstheme="minorHAnsi"/>
          <w:szCs w:val="20"/>
          <w:lang w:eastAsia="pt-BR"/>
        </w:rPr>
        <w:t>Contrato de Distribuição</w:t>
      </w:r>
      <w:r w:rsidRPr="001E6E9D">
        <w:rPr>
          <w:rFonts w:asciiTheme="minorHAnsi" w:eastAsia="MS Mincho" w:hAnsiTheme="minorHAnsi" w:cstheme="minorHAnsi"/>
          <w:szCs w:val="20"/>
          <w:lang w:eastAsia="pt-BR"/>
        </w:rPr>
        <w:t xml:space="preserve">; ou </w:t>
      </w:r>
      <w:r w:rsidRPr="001E6E9D">
        <w:rPr>
          <w:rFonts w:asciiTheme="minorHAnsi" w:eastAsia="MS Mincho" w:hAnsiTheme="minorHAnsi" w:cstheme="minorHAnsi"/>
          <w:b/>
          <w:szCs w:val="20"/>
          <w:lang w:eastAsia="pt-BR"/>
        </w:rPr>
        <w:t>(ii)</w:t>
      </w:r>
      <w:r w:rsidRPr="001E6E9D">
        <w:rPr>
          <w:rFonts w:asciiTheme="minorHAnsi" w:eastAsia="MS Mincho" w:hAnsiTheme="minorHAnsi" w:cstheme="minorHAnsi"/>
          <w:szCs w:val="20"/>
          <w:lang w:eastAsia="pt-BR"/>
        </w:rPr>
        <w:t> impedir, restringir e/ou limitar o exercício, pelos Coordenadores, de qualquer direito, obrigação, recurso, poder ou privilégio aqui pactuado.</w:t>
      </w:r>
    </w:p>
    <w:p w14:paraId="70486379" w14:textId="41D2F4D2" w:rsidR="003468A1" w:rsidRPr="001E6E9D" w:rsidRDefault="0053704D" w:rsidP="001F7A69">
      <w:pPr>
        <w:spacing w:after="180"/>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 xml:space="preserve">Para informações acerca do risco de não cumprimento das Condições Precedentes e consequente cancelamento do registro da Oferta, vide </w:t>
      </w:r>
      <w:r w:rsidRPr="001E6E9D">
        <w:rPr>
          <w:rFonts w:asciiTheme="minorHAnsi" w:eastAsia="Times New Roman" w:hAnsiTheme="minorHAnsi" w:cstheme="minorHAnsi"/>
          <w:b/>
          <w:bCs/>
          <w:szCs w:val="20"/>
          <w:u w:val="single"/>
          <w:lang w:eastAsia="pt-BR"/>
        </w:rPr>
        <w:t>seção 4</w:t>
      </w:r>
      <w:r w:rsidRPr="001E6E9D">
        <w:rPr>
          <w:rFonts w:asciiTheme="minorHAnsi" w:eastAsia="Times New Roman" w:hAnsiTheme="minorHAnsi" w:cstheme="minorHAnsi"/>
          <w:b/>
          <w:bCs/>
          <w:szCs w:val="20"/>
          <w:lang w:eastAsia="pt-BR"/>
        </w:rPr>
        <w:t xml:space="preserve"> deste Prospecto, nas páginas</w:t>
      </w:r>
      <w:r w:rsidR="00A271B3" w:rsidRPr="001E6E9D">
        <w:rPr>
          <w:rFonts w:asciiTheme="minorHAnsi" w:eastAsia="Times New Roman" w:hAnsiTheme="minorHAnsi" w:cstheme="minorHAnsi"/>
          <w:b/>
          <w:bCs/>
          <w:szCs w:val="20"/>
          <w:lang w:eastAsia="pt-BR"/>
        </w:rPr>
        <w:t xml:space="preserve"> </w:t>
      </w:r>
      <w:r w:rsidR="00CB28AC" w:rsidRPr="001E6E9D">
        <w:rPr>
          <w:rFonts w:asciiTheme="minorHAnsi" w:eastAsia="Times New Roman" w:hAnsiTheme="minorHAnsi" w:cstheme="minorHAnsi"/>
          <w:b/>
          <w:bCs/>
          <w:szCs w:val="20"/>
          <w:lang w:eastAsia="pt-BR"/>
        </w:rPr>
        <w:fldChar w:fldCharType="begin"/>
      </w:r>
      <w:r w:rsidR="00CB28AC" w:rsidRPr="001E6E9D">
        <w:rPr>
          <w:rFonts w:asciiTheme="minorHAnsi" w:eastAsia="Times New Roman" w:hAnsiTheme="minorHAnsi" w:cstheme="minorHAnsi"/>
          <w:b/>
          <w:bCs/>
          <w:szCs w:val="20"/>
          <w:lang w:eastAsia="pt-BR"/>
        </w:rPr>
        <w:instrText xml:space="preserve"> PAGEREF _Ref158844927 \h </w:instrText>
      </w:r>
      <w:r w:rsidR="00CB28AC" w:rsidRPr="001E6E9D">
        <w:rPr>
          <w:rFonts w:asciiTheme="minorHAnsi" w:eastAsia="Times New Roman" w:hAnsiTheme="minorHAnsi" w:cstheme="minorHAnsi"/>
          <w:b/>
          <w:bCs/>
          <w:szCs w:val="20"/>
          <w:lang w:eastAsia="pt-BR"/>
        </w:rPr>
      </w:r>
      <w:r w:rsidR="00CB28AC" w:rsidRPr="001E6E9D">
        <w:rPr>
          <w:rFonts w:asciiTheme="minorHAnsi" w:eastAsia="Times New Roman" w:hAnsiTheme="minorHAnsi" w:cstheme="minorHAnsi"/>
          <w:b/>
          <w:bCs/>
          <w:szCs w:val="20"/>
          <w:lang w:eastAsia="pt-BR"/>
        </w:rPr>
        <w:fldChar w:fldCharType="separate"/>
      </w:r>
      <w:r w:rsidR="00720666">
        <w:rPr>
          <w:rFonts w:asciiTheme="minorHAnsi" w:eastAsia="Times New Roman" w:hAnsiTheme="minorHAnsi" w:cstheme="minorHAnsi"/>
          <w:b/>
          <w:bCs/>
          <w:noProof/>
          <w:szCs w:val="20"/>
          <w:lang w:eastAsia="pt-BR"/>
        </w:rPr>
        <w:t>45</w:t>
      </w:r>
      <w:r w:rsidR="00CB28AC" w:rsidRPr="001E6E9D">
        <w:rPr>
          <w:rFonts w:asciiTheme="minorHAnsi" w:eastAsia="Times New Roman" w:hAnsiTheme="minorHAnsi" w:cstheme="minorHAnsi"/>
          <w:b/>
          <w:bCs/>
          <w:szCs w:val="20"/>
          <w:lang w:eastAsia="pt-BR"/>
        </w:rPr>
        <w:fldChar w:fldCharType="end"/>
      </w:r>
      <w:r w:rsidRPr="001E6E9D">
        <w:rPr>
          <w:rFonts w:asciiTheme="minorHAnsi" w:eastAsia="Times New Roman" w:hAnsiTheme="minorHAnsi" w:cstheme="minorHAnsi"/>
          <w:b/>
          <w:bCs/>
          <w:szCs w:val="20"/>
          <w:lang w:eastAsia="pt-BR"/>
        </w:rPr>
        <w:t xml:space="preserve"> a </w:t>
      </w:r>
      <w:r w:rsidR="00C620BA" w:rsidRPr="001E6E9D">
        <w:rPr>
          <w:rFonts w:asciiTheme="minorHAnsi" w:eastAsia="Times New Roman" w:hAnsiTheme="minorHAnsi" w:cstheme="minorHAnsi"/>
          <w:b/>
          <w:bCs/>
          <w:szCs w:val="20"/>
          <w:lang w:eastAsia="pt-BR"/>
        </w:rPr>
        <w:fldChar w:fldCharType="begin"/>
      </w:r>
      <w:r w:rsidR="00C620BA" w:rsidRPr="001E6E9D">
        <w:rPr>
          <w:rFonts w:asciiTheme="minorHAnsi" w:eastAsia="Times New Roman" w:hAnsiTheme="minorHAnsi" w:cstheme="minorHAnsi"/>
          <w:b/>
          <w:bCs/>
          <w:szCs w:val="20"/>
          <w:lang w:eastAsia="pt-BR"/>
        </w:rPr>
        <w:instrText xml:space="preserve"> PAGEREF _Ref184134231 \h </w:instrText>
      </w:r>
      <w:r w:rsidR="00C620BA" w:rsidRPr="001E6E9D">
        <w:rPr>
          <w:rFonts w:asciiTheme="minorHAnsi" w:eastAsia="Times New Roman" w:hAnsiTheme="minorHAnsi" w:cstheme="minorHAnsi"/>
          <w:b/>
          <w:bCs/>
          <w:szCs w:val="20"/>
          <w:lang w:eastAsia="pt-BR"/>
        </w:rPr>
      </w:r>
      <w:r w:rsidR="00C620BA" w:rsidRPr="001E6E9D">
        <w:rPr>
          <w:rFonts w:asciiTheme="minorHAnsi" w:eastAsia="Times New Roman" w:hAnsiTheme="minorHAnsi" w:cstheme="minorHAnsi"/>
          <w:b/>
          <w:bCs/>
          <w:szCs w:val="20"/>
          <w:lang w:eastAsia="pt-BR"/>
        </w:rPr>
        <w:fldChar w:fldCharType="separate"/>
      </w:r>
      <w:r w:rsidR="00720666">
        <w:rPr>
          <w:rFonts w:asciiTheme="minorHAnsi" w:eastAsia="Times New Roman" w:hAnsiTheme="minorHAnsi" w:cstheme="minorHAnsi"/>
          <w:b/>
          <w:bCs/>
          <w:noProof/>
          <w:szCs w:val="20"/>
          <w:lang w:eastAsia="pt-BR"/>
        </w:rPr>
        <w:t>57</w:t>
      </w:r>
      <w:r w:rsidR="00C620BA" w:rsidRPr="001E6E9D">
        <w:rPr>
          <w:rFonts w:asciiTheme="minorHAnsi" w:eastAsia="Times New Roman" w:hAnsiTheme="minorHAnsi" w:cstheme="minorHAnsi"/>
          <w:b/>
          <w:bCs/>
          <w:szCs w:val="20"/>
          <w:lang w:eastAsia="pt-BR"/>
        </w:rPr>
        <w:fldChar w:fldCharType="end"/>
      </w:r>
      <w:r w:rsidRPr="001E6E9D">
        <w:rPr>
          <w:rFonts w:asciiTheme="minorHAnsi" w:eastAsia="Times New Roman" w:hAnsiTheme="minorHAnsi" w:cstheme="minorHAnsi"/>
          <w:b/>
          <w:bCs/>
          <w:szCs w:val="20"/>
          <w:lang w:eastAsia="pt-BR"/>
        </w:rPr>
        <w:t>.</w:t>
      </w:r>
    </w:p>
    <w:p w14:paraId="241D1DE2" w14:textId="77777777" w:rsidR="003468A1" w:rsidRPr="001E6E9D" w:rsidRDefault="0053704D" w:rsidP="001F7A69">
      <w:pPr>
        <w:pStyle w:val="Ttulo4"/>
        <w:spacing w:after="180"/>
        <w:rPr>
          <w:rFonts w:asciiTheme="minorHAnsi" w:eastAsia="ヒラギノ角ゴ Pro W3" w:hAnsiTheme="minorHAnsi"/>
        </w:rPr>
      </w:pPr>
      <w:bookmarkStart w:id="266" w:name="_Ref158845023"/>
      <w:r w:rsidRPr="001E6E9D">
        <w:rPr>
          <w:rFonts w:asciiTheme="minorHAnsi" w:eastAsia="ヒラギノ角ゴ Pro W3" w:hAnsiTheme="minorHAnsi"/>
        </w:rPr>
        <w:t>Regime de Colocação</w:t>
      </w:r>
      <w:bookmarkEnd w:id="260"/>
      <w:bookmarkEnd w:id="261"/>
      <w:bookmarkEnd w:id="266"/>
    </w:p>
    <w:p w14:paraId="0C102392" w14:textId="10FB2E2D" w:rsidR="0053704D" w:rsidRPr="001E6E9D" w:rsidRDefault="00A271B3" w:rsidP="001F7A69">
      <w:pPr>
        <w:tabs>
          <w:tab w:val="left" w:pos="851"/>
        </w:tabs>
        <w:spacing w:after="180"/>
        <w:outlineLvl w:val="2"/>
        <w:rPr>
          <w:rFonts w:asciiTheme="minorHAnsi" w:hAnsiTheme="minorHAnsi" w:cstheme="minorHAnsi"/>
          <w:szCs w:val="20"/>
        </w:rPr>
      </w:pPr>
      <w:r w:rsidRPr="001E6E9D">
        <w:rPr>
          <w:rFonts w:asciiTheme="minorHAnsi" w:eastAsia="MS Mincho" w:hAnsiTheme="minorHAnsi" w:cstheme="minorHAnsi"/>
          <w:bCs/>
          <w:szCs w:val="20"/>
          <w:u w:val="single"/>
          <w:lang w:eastAsia="pt-BR"/>
        </w:rPr>
        <w:t>Colocação e Procedimento de Distribuição</w:t>
      </w:r>
      <w:r w:rsidRPr="001E6E9D">
        <w:rPr>
          <w:rFonts w:asciiTheme="minorHAnsi" w:eastAsia="MS Mincho" w:hAnsiTheme="minorHAnsi" w:cstheme="minorHAnsi"/>
          <w:bCs/>
          <w:szCs w:val="20"/>
          <w:lang w:eastAsia="pt-BR"/>
        </w:rPr>
        <w:t>.</w:t>
      </w:r>
      <w:r w:rsidRPr="001E6E9D">
        <w:rPr>
          <w:rFonts w:asciiTheme="minorHAnsi" w:hAnsiTheme="minorHAnsi" w:cstheme="minorHAnsi"/>
          <w:szCs w:val="20"/>
        </w:rPr>
        <w:t xml:space="preserve"> Os Coordenadores realizarão a distribuição pública, destinada a Investidores Qualificados, nos termos da Resolução CVM 160, em regime de garantia firme de colocação para 200.000 (duzentas mil) Debêntures, totalizando o valor de R$ 200.000.000,00 (duzentos milhões de reais), observada a divisão descrita abaixo (</w:t>
      </w:r>
      <w:r w:rsidR="000D5E35" w:rsidRPr="001E6E9D">
        <w:rPr>
          <w:rFonts w:asciiTheme="minorHAnsi" w:hAnsiTheme="minorHAnsi" w:cstheme="minorHAnsi"/>
          <w:szCs w:val="20"/>
        </w:rPr>
        <w:t>“</w:t>
      </w:r>
      <w:r w:rsidRPr="001E6E9D">
        <w:rPr>
          <w:rFonts w:asciiTheme="minorHAnsi" w:hAnsiTheme="minorHAnsi" w:cstheme="minorHAnsi"/>
          <w:szCs w:val="20"/>
          <w:u w:val="single"/>
        </w:rPr>
        <w:t>Garantia Firme</w:t>
      </w:r>
      <w:r w:rsidRPr="001E6E9D">
        <w:rPr>
          <w:rFonts w:asciiTheme="minorHAnsi" w:hAnsiTheme="minorHAnsi" w:cstheme="minorHAnsi"/>
          <w:szCs w:val="20"/>
        </w:rPr>
        <w:t>”), de forma individual e não solidária, desde que cumpridas as Condições Precedentes (conforme definidas abaixo) e nos termos e condições estabelecidos n</w:t>
      </w:r>
      <w:r w:rsidR="00271737" w:rsidRPr="001E6E9D">
        <w:rPr>
          <w:rFonts w:asciiTheme="minorHAnsi" w:hAnsiTheme="minorHAnsi" w:cstheme="minorHAnsi"/>
          <w:szCs w:val="20"/>
        </w:rPr>
        <w:t>o</w:t>
      </w:r>
      <w:r w:rsidRPr="001E6E9D">
        <w:rPr>
          <w:rFonts w:asciiTheme="minorHAnsi" w:hAnsiTheme="minorHAnsi" w:cstheme="minorHAnsi"/>
          <w:szCs w:val="20"/>
        </w:rPr>
        <w:t xml:space="preserve"> </w:t>
      </w:r>
      <w:r w:rsidR="00271737" w:rsidRPr="001E6E9D">
        <w:rPr>
          <w:rFonts w:asciiTheme="minorHAnsi" w:eastAsia="Times New Roman" w:hAnsiTheme="minorHAnsi" w:cstheme="minorHAnsi"/>
          <w:szCs w:val="20"/>
          <w:lang w:eastAsia="pt-BR"/>
        </w:rPr>
        <w:t>Contrato de Distribuição</w:t>
      </w:r>
      <w:r w:rsidRPr="001E6E9D">
        <w:rPr>
          <w:rFonts w:asciiTheme="minorHAnsi" w:hAnsiTheme="minorHAnsi" w:cstheme="minorHAnsi"/>
          <w:szCs w:val="20"/>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3019"/>
        <w:gridCol w:w="3021"/>
        <w:gridCol w:w="3021"/>
      </w:tblGrid>
      <w:tr w:rsidR="00A271B3" w:rsidRPr="001E6E9D" w14:paraId="0B02F8D4" w14:textId="17F87B46" w:rsidTr="00504AE1">
        <w:trPr>
          <w:jc w:val="center"/>
        </w:trPr>
        <w:tc>
          <w:tcPr>
            <w:tcW w:w="1666" w:type="pct"/>
            <w:shd w:val="clear" w:color="auto" w:fill="0082CB"/>
            <w:vAlign w:val="center"/>
          </w:tcPr>
          <w:p w14:paraId="623161EB" w14:textId="22E9D8AC" w:rsidR="00A271B3" w:rsidRPr="001E6E9D" w:rsidRDefault="00A271B3" w:rsidP="00DC7081">
            <w:pPr>
              <w:tabs>
                <w:tab w:val="num" w:pos="426"/>
              </w:tabs>
              <w:suppressAutoHyphens/>
              <w:spacing w:before="60" w:after="60"/>
              <w:rPr>
                <w:rFonts w:asciiTheme="minorHAnsi" w:eastAsia="Times New Roman" w:hAnsiTheme="minorHAnsi" w:cstheme="minorHAnsi"/>
                <w:b/>
                <w:bCs/>
                <w:color w:val="FFFFFF" w:themeColor="background1"/>
                <w:sz w:val="16"/>
                <w:szCs w:val="20"/>
                <w:lang w:eastAsia="pt-BR"/>
              </w:rPr>
            </w:pPr>
            <w:r w:rsidRPr="001E6E9D">
              <w:rPr>
                <w:rFonts w:asciiTheme="minorHAnsi" w:hAnsiTheme="minorHAnsi" w:cstheme="minorHAnsi"/>
                <w:b/>
                <w:bCs/>
                <w:color w:val="FFFFFF" w:themeColor="background1"/>
                <w:sz w:val="16"/>
                <w:szCs w:val="20"/>
              </w:rPr>
              <w:t>Coordenador</w:t>
            </w:r>
          </w:p>
        </w:tc>
        <w:tc>
          <w:tcPr>
            <w:tcW w:w="1667" w:type="pct"/>
            <w:shd w:val="clear" w:color="auto" w:fill="0082CB"/>
            <w:vAlign w:val="center"/>
          </w:tcPr>
          <w:p w14:paraId="1B8651F6" w14:textId="5BA9B9DA" w:rsidR="00A271B3" w:rsidRPr="001E6E9D" w:rsidRDefault="00A271B3" w:rsidP="00DC7081">
            <w:pPr>
              <w:tabs>
                <w:tab w:val="num" w:pos="426"/>
              </w:tabs>
              <w:suppressAutoHyphens/>
              <w:spacing w:before="60" w:after="60"/>
              <w:jc w:val="center"/>
              <w:rPr>
                <w:rFonts w:asciiTheme="minorHAnsi" w:eastAsia="Times New Roman" w:hAnsiTheme="minorHAnsi" w:cstheme="minorHAnsi"/>
                <w:b/>
                <w:bCs/>
                <w:color w:val="FFFFFF" w:themeColor="background1"/>
                <w:sz w:val="16"/>
                <w:szCs w:val="20"/>
                <w:lang w:eastAsia="pt-BR"/>
              </w:rPr>
            </w:pPr>
            <w:r w:rsidRPr="001E6E9D">
              <w:rPr>
                <w:rFonts w:asciiTheme="minorHAnsi" w:hAnsiTheme="minorHAnsi" w:cstheme="minorHAnsi"/>
                <w:b/>
                <w:bCs/>
                <w:color w:val="FFFFFF" w:themeColor="background1"/>
                <w:sz w:val="16"/>
                <w:szCs w:val="20"/>
              </w:rPr>
              <w:t>Montante Total da Garantia Firme (R$)</w:t>
            </w:r>
          </w:p>
        </w:tc>
        <w:tc>
          <w:tcPr>
            <w:tcW w:w="1667" w:type="pct"/>
            <w:shd w:val="clear" w:color="auto" w:fill="0082CB"/>
            <w:vAlign w:val="center"/>
          </w:tcPr>
          <w:p w14:paraId="329DF350" w14:textId="4B7ECA26" w:rsidR="00A271B3" w:rsidRPr="001E6E9D" w:rsidRDefault="00A271B3" w:rsidP="00DC7081">
            <w:pPr>
              <w:tabs>
                <w:tab w:val="num" w:pos="426"/>
              </w:tabs>
              <w:suppressAutoHyphens/>
              <w:spacing w:before="60" w:after="60"/>
              <w:jc w:val="center"/>
              <w:rPr>
                <w:rFonts w:asciiTheme="minorHAnsi" w:eastAsia="Times New Roman" w:hAnsiTheme="minorHAnsi" w:cstheme="minorHAnsi"/>
                <w:b/>
                <w:bCs/>
                <w:color w:val="FFFFFF" w:themeColor="background1"/>
                <w:sz w:val="16"/>
                <w:szCs w:val="20"/>
                <w:lang w:eastAsia="pt-BR"/>
              </w:rPr>
            </w:pPr>
            <w:r w:rsidRPr="001E6E9D">
              <w:rPr>
                <w:rFonts w:asciiTheme="minorHAnsi" w:hAnsiTheme="minorHAnsi" w:cstheme="minorHAnsi"/>
                <w:b/>
                <w:bCs/>
                <w:color w:val="FFFFFF" w:themeColor="background1"/>
                <w:sz w:val="16"/>
                <w:szCs w:val="20"/>
              </w:rPr>
              <w:t>Percentual da Garantia Firme</w:t>
            </w:r>
          </w:p>
        </w:tc>
      </w:tr>
      <w:tr w:rsidR="00A271B3" w:rsidRPr="001E6E9D" w14:paraId="5F9BF33B" w14:textId="708C1774" w:rsidTr="00504AE1">
        <w:trPr>
          <w:jc w:val="center"/>
        </w:trPr>
        <w:tc>
          <w:tcPr>
            <w:tcW w:w="1666" w:type="pct"/>
            <w:vAlign w:val="center"/>
          </w:tcPr>
          <w:p w14:paraId="0C1081CF" w14:textId="194BD2B0" w:rsidR="00A271B3" w:rsidRPr="001E6E9D" w:rsidRDefault="00A271B3" w:rsidP="00DC7081">
            <w:pPr>
              <w:tabs>
                <w:tab w:val="num" w:pos="426"/>
              </w:tabs>
              <w:suppressAutoHyphens/>
              <w:spacing w:before="60" w:after="60"/>
              <w:rPr>
                <w:rFonts w:asciiTheme="minorHAnsi" w:eastAsia="Times New Roman" w:hAnsiTheme="minorHAnsi" w:cstheme="minorHAnsi"/>
                <w:sz w:val="16"/>
                <w:szCs w:val="20"/>
                <w:lang w:eastAsia="pt-BR"/>
              </w:rPr>
            </w:pPr>
            <w:r w:rsidRPr="001E6E9D">
              <w:rPr>
                <w:rFonts w:asciiTheme="minorHAnsi" w:hAnsiTheme="minorHAnsi" w:cstheme="minorHAnsi"/>
                <w:sz w:val="16"/>
                <w:szCs w:val="20"/>
              </w:rPr>
              <w:t>Coordenador Líder</w:t>
            </w:r>
          </w:p>
        </w:tc>
        <w:tc>
          <w:tcPr>
            <w:tcW w:w="1667" w:type="pct"/>
            <w:vAlign w:val="center"/>
          </w:tcPr>
          <w:p w14:paraId="70509CCA" w14:textId="0CDE7266" w:rsidR="00A271B3" w:rsidRPr="001E6E9D" w:rsidRDefault="00A271B3" w:rsidP="00DC7081">
            <w:pPr>
              <w:tabs>
                <w:tab w:val="num" w:pos="426"/>
              </w:tabs>
              <w:suppressAutoHyphens/>
              <w:spacing w:before="60" w:after="60"/>
              <w:jc w:val="center"/>
              <w:rPr>
                <w:rFonts w:asciiTheme="minorHAnsi" w:eastAsia="Times New Roman" w:hAnsiTheme="minorHAnsi" w:cstheme="minorHAnsi"/>
                <w:sz w:val="16"/>
                <w:szCs w:val="20"/>
                <w:lang w:eastAsia="pt-BR"/>
              </w:rPr>
            </w:pPr>
            <w:r w:rsidRPr="001E6E9D">
              <w:rPr>
                <w:rFonts w:asciiTheme="minorHAnsi" w:hAnsiTheme="minorHAnsi" w:cstheme="minorHAnsi"/>
                <w:sz w:val="16"/>
                <w:szCs w:val="20"/>
              </w:rPr>
              <w:t>R$ 100.000.000,00</w:t>
            </w:r>
          </w:p>
        </w:tc>
        <w:tc>
          <w:tcPr>
            <w:tcW w:w="1667" w:type="pct"/>
            <w:vAlign w:val="center"/>
          </w:tcPr>
          <w:p w14:paraId="496CC3B6" w14:textId="64C46C40" w:rsidR="00A271B3" w:rsidRPr="001E6E9D" w:rsidRDefault="00A271B3" w:rsidP="00DC7081">
            <w:pPr>
              <w:tabs>
                <w:tab w:val="num" w:pos="426"/>
              </w:tabs>
              <w:suppressAutoHyphens/>
              <w:spacing w:before="60" w:after="60"/>
              <w:jc w:val="center"/>
              <w:rPr>
                <w:rFonts w:asciiTheme="minorHAnsi" w:hAnsiTheme="minorHAnsi" w:cstheme="minorHAnsi"/>
                <w:sz w:val="16"/>
                <w:szCs w:val="20"/>
              </w:rPr>
            </w:pPr>
            <w:r w:rsidRPr="001E6E9D">
              <w:rPr>
                <w:rFonts w:asciiTheme="minorHAnsi" w:hAnsiTheme="minorHAnsi" w:cstheme="minorHAnsi"/>
                <w:sz w:val="16"/>
                <w:szCs w:val="20"/>
              </w:rPr>
              <w:t>50,00%</w:t>
            </w:r>
          </w:p>
        </w:tc>
      </w:tr>
      <w:tr w:rsidR="00A271B3" w:rsidRPr="001E6E9D" w14:paraId="666D71E1" w14:textId="6C9CFFA5" w:rsidTr="00504AE1">
        <w:trPr>
          <w:jc w:val="center"/>
        </w:trPr>
        <w:tc>
          <w:tcPr>
            <w:tcW w:w="1666" w:type="pct"/>
            <w:vAlign w:val="center"/>
          </w:tcPr>
          <w:p w14:paraId="7CCF1664" w14:textId="4CD758F8" w:rsidR="00A271B3" w:rsidRPr="001E6E9D" w:rsidRDefault="00A271B3" w:rsidP="00DC7081">
            <w:pPr>
              <w:tabs>
                <w:tab w:val="num" w:pos="426"/>
              </w:tabs>
              <w:suppressAutoHyphens/>
              <w:spacing w:before="60" w:after="60"/>
              <w:rPr>
                <w:rFonts w:asciiTheme="minorHAnsi" w:eastAsia="Times New Roman" w:hAnsiTheme="minorHAnsi" w:cstheme="minorHAnsi"/>
                <w:sz w:val="16"/>
                <w:szCs w:val="20"/>
                <w:lang w:eastAsia="pt-BR"/>
              </w:rPr>
            </w:pPr>
            <w:r w:rsidRPr="001E6E9D">
              <w:rPr>
                <w:rFonts w:asciiTheme="minorHAnsi" w:hAnsiTheme="minorHAnsi" w:cstheme="minorHAnsi"/>
                <w:sz w:val="16"/>
                <w:szCs w:val="20"/>
              </w:rPr>
              <w:t>BTG Pactual</w:t>
            </w:r>
          </w:p>
        </w:tc>
        <w:tc>
          <w:tcPr>
            <w:tcW w:w="1667" w:type="pct"/>
            <w:vAlign w:val="center"/>
          </w:tcPr>
          <w:p w14:paraId="2F9AF31D" w14:textId="7C7CF87C" w:rsidR="00A271B3" w:rsidRPr="001E6E9D" w:rsidRDefault="00A271B3" w:rsidP="00DC7081">
            <w:pPr>
              <w:tabs>
                <w:tab w:val="num" w:pos="426"/>
              </w:tabs>
              <w:suppressAutoHyphens/>
              <w:spacing w:before="60" w:after="60"/>
              <w:jc w:val="center"/>
              <w:rPr>
                <w:rFonts w:asciiTheme="minorHAnsi" w:eastAsia="Times New Roman" w:hAnsiTheme="minorHAnsi" w:cstheme="minorHAnsi"/>
                <w:sz w:val="16"/>
                <w:szCs w:val="20"/>
                <w:lang w:eastAsia="pt-BR"/>
              </w:rPr>
            </w:pPr>
            <w:r w:rsidRPr="001E6E9D">
              <w:rPr>
                <w:rFonts w:asciiTheme="minorHAnsi" w:hAnsiTheme="minorHAnsi" w:cstheme="minorHAnsi"/>
                <w:sz w:val="16"/>
                <w:szCs w:val="20"/>
              </w:rPr>
              <w:t>R$ 100.000.000,00</w:t>
            </w:r>
          </w:p>
        </w:tc>
        <w:tc>
          <w:tcPr>
            <w:tcW w:w="1667" w:type="pct"/>
            <w:vAlign w:val="center"/>
          </w:tcPr>
          <w:p w14:paraId="5E0857AC" w14:textId="1B1C727F" w:rsidR="00A271B3" w:rsidRPr="001E6E9D" w:rsidRDefault="00A271B3" w:rsidP="00DC7081">
            <w:pPr>
              <w:tabs>
                <w:tab w:val="num" w:pos="426"/>
              </w:tabs>
              <w:suppressAutoHyphens/>
              <w:spacing w:before="60" w:after="60"/>
              <w:jc w:val="center"/>
              <w:rPr>
                <w:rFonts w:asciiTheme="minorHAnsi" w:hAnsiTheme="minorHAnsi" w:cstheme="minorHAnsi"/>
                <w:sz w:val="16"/>
                <w:szCs w:val="20"/>
              </w:rPr>
            </w:pPr>
            <w:r w:rsidRPr="001E6E9D">
              <w:rPr>
                <w:rFonts w:asciiTheme="minorHAnsi" w:hAnsiTheme="minorHAnsi" w:cstheme="minorHAnsi"/>
                <w:sz w:val="16"/>
                <w:szCs w:val="20"/>
              </w:rPr>
              <w:t>50,00%</w:t>
            </w:r>
          </w:p>
        </w:tc>
      </w:tr>
      <w:tr w:rsidR="00A271B3" w:rsidRPr="001E6E9D" w14:paraId="1D744633" w14:textId="01184FB5" w:rsidTr="00504AE1">
        <w:trPr>
          <w:jc w:val="center"/>
        </w:trPr>
        <w:tc>
          <w:tcPr>
            <w:tcW w:w="1666" w:type="pct"/>
            <w:vAlign w:val="center"/>
          </w:tcPr>
          <w:p w14:paraId="0FB6B67C" w14:textId="61559771" w:rsidR="00A271B3" w:rsidRPr="001E6E9D" w:rsidRDefault="00A271B3" w:rsidP="00DC7081">
            <w:pPr>
              <w:tabs>
                <w:tab w:val="num" w:pos="426"/>
              </w:tabs>
              <w:suppressAutoHyphens/>
              <w:spacing w:before="60" w:after="60"/>
              <w:rPr>
                <w:rFonts w:asciiTheme="minorHAnsi" w:eastAsia="Times New Roman" w:hAnsiTheme="minorHAnsi" w:cstheme="minorHAnsi"/>
                <w:sz w:val="16"/>
                <w:szCs w:val="20"/>
                <w:lang w:eastAsia="pt-BR"/>
              </w:rPr>
            </w:pPr>
            <w:r w:rsidRPr="001E6E9D">
              <w:rPr>
                <w:rFonts w:asciiTheme="minorHAnsi" w:hAnsiTheme="minorHAnsi" w:cstheme="minorHAnsi"/>
                <w:b/>
                <w:bCs/>
                <w:sz w:val="16"/>
                <w:szCs w:val="20"/>
              </w:rPr>
              <w:t>Total</w:t>
            </w:r>
          </w:p>
        </w:tc>
        <w:tc>
          <w:tcPr>
            <w:tcW w:w="1667" w:type="pct"/>
            <w:vAlign w:val="center"/>
          </w:tcPr>
          <w:p w14:paraId="6F835C2E" w14:textId="2B9FC78F" w:rsidR="00A271B3" w:rsidRPr="001E6E9D" w:rsidRDefault="00A271B3" w:rsidP="00DC7081">
            <w:pPr>
              <w:tabs>
                <w:tab w:val="num" w:pos="426"/>
              </w:tabs>
              <w:suppressAutoHyphens/>
              <w:spacing w:before="60" w:after="60"/>
              <w:jc w:val="center"/>
              <w:rPr>
                <w:rFonts w:asciiTheme="minorHAnsi" w:eastAsia="Times New Roman" w:hAnsiTheme="minorHAnsi" w:cstheme="minorHAnsi"/>
                <w:sz w:val="16"/>
                <w:szCs w:val="20"/>
                <w:lang w:eastAsia="pt-BR"/>
              </w:rPr>
            </w:pPr>
            <w:r w:rsidRPr="001E6E9D">
              <w:rPr>
                <w:rFonts w:asciiTheme="minorHAnsi" w:hAnsiTheme="minorHAnsi" w:cstheme="minorHAnsi"/>
                <w:sz w:val="16"/>
                <w:szCs w:val="20"/>
              </w:rPr>
              <w:t>R$ 200.000.000,00</w:t>
            </w:r>
          </w:p>
        </w:tc>
        <w:tc>
          <w:tcPr>
            <w:tcW w:w="1667" w:type="pct"/>
            <w:vAlign w:val="center"/>
          </w:tcPr>
          <w:p w14:paraId="1CB68DA6" w14:textId="36BCFDC3" w:rsidR="00A271B3" w:rsidRPr="001E6E9D" w:rsidRDefault="00A271B3" w:rsidP="00DC7081">
            <w:pPr>
              <w:tabs>
                <w:tab w:val="num" w:pos="426"/>
              </w:tabs>
              <w:suppressAutoHyphens/>
              <w:spacing w:before="60" w:after="60"/>
              <w:jc w:val="center"/>
              <w:rPr>
                <w:rFonts w:asciiTheme="minorHAnsi" w:hAnsiTheme="minorHAnsi" w:cstheme="minorHAnsi"/>
                <w:sz w:val="16"/>
                <w:szCs w:val="20"/>
              </w:rPr>
            </w:pPr>
            <w:r w:rsidRPr="001E6E9D">
              <w:rPr>
                <w:rFonts w:asciiTheme="minorHAnsi" w:hAnsiTheme="minorHAnsi" w:cstheme="minorHAnsi"/>
                <w:sz w:val="16"/>
                <w:szCs w:val="20"/>
              </w:rPr>
              <w:t>100%</w:t>
            </w:r>
          </w:p>
        </w:tc>
      </w:tr>
    </w:tbl>
    <w:p w14:paraId="5BBF6177" w14:textId="2D244ADF" w:rsidR="00065DBC" w:rsidRPr="001E6E9D" w:rsidRDefault="00A271B3" w:rsidP="00DC7081">
      <w:pPr>
        <w:pStyle w:val="Level3"/>
        <w:numPr>
          <w:ilvl w:val="2"/>
          <w:numId w:val="0"/>
        </w:numPr>
        <w:tabs>
          <w:tab w:val="num" w:pos="851"/>
        </w:tabs>
        <w:spacing w:after="200" w:line="240" w:lineRule="auto"/>
        <w:outlineLvl w:val="2"/>
        <w:rPr>
          <w:rFonts w:asciiTheme="minorHAnsi" w:eastAsia="MS Mincho" w:hAnsiTheme="minorHAnsi" w:cstheme="minorHAnsi"/>
          <w:kern w:val="0"/>
          <w:szCs w:val="20"/>
          <w:lang w:val="pt-BR" w:eastAsia="pt-BR"/>
        </w:rPr>
      </w:pPr>
      <w:bookmarkStart w:id="267" w:name="_Ref523988685"/>
      <w:r w:rsidRPr="001E6E9D">
        <w:rPr>
          <w:rFonts w:asciiTheme="minorHAnsi" w:eastAsia="MS Mincho" w:hAnsiTheme="minorHAnsi" w:cstheme="minorHAnsi"/>
          <w:kern w:val="0"/>
          <w:szCs w:val="20"/>
          <w:lang w:val="pt-BR" w:eastAsia="pt-BR"/>
        </w:rPr>
        <w:lastRenderedPageBreak/>
        <w:t xml:space="preserve">Os Coordenadores organizarão a distribuição e colocação das Debêntures, de acordo com suas políticas internas e de modo a atender o interesse das Partes, conforme plano de distribuição elaborado nos termos do artigo 49 da Resolução CVM 160, de forma a assegurar: </w:t>
      </w:r>
      <w:r w:rsidRPr="001E6E9D">
        <w:rPr>
          <w:rFonts w:asciiTheme="minorHAnsi" w:eastAsia="MS Mincho" w:hAnsiTheme="minorHAnsi" w:cstheme="minorHAnsi"/>
          <w:b/>
          <w:kern w:val="0"/>
          <w:szCs w:val="20"/>
          <w:lang w:val="pt-BR" w:eastAsia="pt-BR"/>
        </w:rPr>
        <w:t>(i)</w:t>
      </w:r>
      <w:r w:rsidRPr="001E6E9D">
        <w:rPr>
          <w:rFonts w:asciiTheme="minorHAnsi" w:eastAsia="MS Mincho" w:hAnsiTheme="minorHAnsi" w:cstheme="minorHAnsi"/>
          <w:kern w:val="0"/>
          <w:szCs w:val="20"/>
          <w:lang w:val="pt-BR" w:eastAsia="pt-BR"/>
        </w:rPr>
        <w:t xml:space="preserve"> que o tratamento conferido aos Investidores Qualificados seja justo e equitativo; e </w:t>
      </w:r>
      <w:r w:rsidRPr="001E6E9D">
        <w:rPr>
          <w:rFonts w:asciiTheme="minorHAnsi" w:eastAsia="MS Mincho" w:hAnsiTheme="minorHAnsi" w:cstheme="minorHAnsi"/>
          <w:b/>
          <w:kern w:val="0"/>
          <w:szCs w:val="20"/>
          <w:lang w:val="pt-BR" w:eastAsia="pt-BR"/>
        </w:rPr>
        <w:t>(ii)</w:t>
      </w:r>
      <w:r w:rsidRPr="001E6E9D">
        <w:rPr>
          <w:rFonts w:asciiTheme="minorHAnsi" w:eastAsia="MS Mincho" w:hAnsiTheme="minorHAnsi" w:cstheme="minorHAnsi"/>
          <w:kern w:val="0"/>
          <w:szCs w:val="20"/>
          <w:lang w:val="pt-BR" w:eastAsia="pt-BR"/>
        </w:rPr>
        <w:t xml:space="preserve"> a adequação do investimento ao perfil de risco dos clientes dos Coordenadores. O plano de distribuição será fixado pelos Coordenadores, em conjunto com a Emissora, levando em consideração suas relações com investidores e outras considerações de natureza comercial ou estratégica dos Coordenadores e da Emissora (</w:t>
      </w:r>
      <w:r w:rsidR="000D5E35" w:rsidRPr="001E6E9D">
        <w:rPr>
          <w:rFonts w:asciiTheme="minorHAnsi" w:eastAsia="MS Mincho" w:hAnsiTheme="minorHAnsi" w:cstheme="minorHAnsi"/>
          <w:kern w:val="0"/>
          <w:szCs w:val="20"/>
          <w:lang w:val="pt-BR" w:eastAsia="pt-BR"/>
        </w:rPr>
        <w:t>“</w:t>
      </w:r>
      <w:r w:rsidRPr="001E6E9D">
        <w:rPr>
          <w:rFonts w:asciiTheme="minorHAnsi" w:eastAsia="MS Mincho" w:hAnsiTheme="minorHAnsi" w:cstheme="minorHAnsi"/>
          <w:kern w:val="0"/>
          <w:szCs w:val="20"/>
          <w:u w:val="single"/>
          <w:lang w:val="pt-BR" w:eastAsia="pt-BR"/>
        </w:rPr>
        <w:t>Plano de Distribuição</w:t>
      </w:r>
      <w:r w:rsidRPr="001E6E9D">
        <w:rPr>
          <w:rFonts w:asciiTheme="minorHAnsi" w:eastAsia="MS Mincho" w:hAnsiTheme="minorHAnsi" w:cstheme="minorHAnsi"/>
          <w:kern w:val="0"/>
          <w:szCs w:val="20"/>
          <w:lang w:val="pt-BR" w:eastAsia="pt-BR"/>
        </w:rPr>
        <w:t>”). O Plano de Distribuição será estabelecido mediante os seguintes termos:</w:t>
      </w:r>
    </w:p>
    <w:p w14:paraId="37CCCC2B" w14:textId="084E7763"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bookmarkStart w:id="268" w:name="_Ref4631074"/>
      <w:r w:rsidRPr="001E6E9D">
        <w:rPr>
          <w:rFonts w:asciiTheme="minorHAnsi" w:hAnsiTheme="minorHAnsi" w:cstheme="minorHAnsi"/>
          <w:b/>
          <w:bCs/>
          <w:color w:val="000000"/>
          <w:kern w:val="0"/>
          <w:szCs w:val="20"/>
        </w:rPr>
        <w:t>(i)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as Debêntures poderão ser distribuídas pelos Coordenadores a partir da data da divulgação do Anúncio de Início, após a obtenção do registro automático da Oferta perante a CVM, com envio simultâneo, pelos Coordenadores, da versão eletrônica do Anúncio de Início à CVM e à B3, nos termos do parágrafo 2º do artigo 59 da Resolução CVM 160;</w:t>
      </w:r>
      <w:bookmarkEnd w:id="268"/>
    </w:p>
    <w:p w14:paraId="00DC7762" w14:textId="3CC90EED"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(ii)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 xml:space="preserve">a Oferta estará a mercado a partir da data em que o Aviso ao Mercado for divulgado, nos termos do artigo 57, </w:t>
      </w:r>
      <w:r w:rsidR="00A271B3" w:rsidRPr="001E6E9D">
        <w:rPr>
          <w:rFonts w:asciiTheme="minorHAnsi" w:hAnsiTheme="minorHAnsi" w:cstheme="minorHAnsi"/>
          <w:i/>
          <w:iCs/>
          <w:kern w:val="0"/>
          <w:szCs w:val="20"/>
        </w:rPr>
        <w:t>caput</w:t>
      </w:r>
      <w:r w:rsidR="00A271B3" w:rsidRPr="001E6E9D">
        <w:rPr>
          <w:rFonts w:asciiTheme="minorHAnsi" w:hAnsiTheme="minorHAnsi" w:cstheme="minorHAnsi"/>
          <w:kern w:val="0"/>
          <w:szCs w:val="20"/>
        </w:rPr>
        <w:t xml:space="preserve"> e parágrafo 1º da Resolução CVM 160. Neste sentido, tendo em vista que o público-alvo da Oferta é composto exclusivamente por Investidores Qualificados e será submetida ao registro automático da distribuição, a Oferta deverá permanecer a mercado por, pelo menos, 3 (três) Dias Úteis, na forma do §3º do artigo 57 da Resolução CVM 160;</w:t>
      </w:r>
    </w:p>
    <w:p w14:paraId="40FC3C2B" w14:textId="57ADACBF"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(iii)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o período de distribuição das Debêntures será de, no máximo, 180 (cento e oitenta) dias a contar da data de divulgação do Anúncio de Início da Oferta, observado o disposto nos artigos 47 e 48 da Resolução CVM 160;</w:t>
      </w:r>
    </w:p>
    <w:p w14:paraId="50E60813" w14:textId="07F185FB"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(iv)</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Após encerramento do prazo estipulado para a Oferta ou a distribuição da totalidade das Debêntures, será divulgado o resultado da Oferta por meio do Anúncio de Encerramento da Oferta, nos termos do artigo 76 da Resolução CVM 160;</w:t>
      </w:r>
    </w:p>
    <w:p w14:paraId="1517F956" w14:textId="6D26E379"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(v)</w:t>
      </w:r>
      <w:r w:rsidRPr="001E6E9D">
        <w:rPr>
          <w:rFonts w:asciiTheme="minorHAnsi" w:hAnsiTheme="minorHAnsi" w:cstheme="minorHAnsi"/>
          <w:b/>
          <w:bCs/>
          <w:color w:val="000000"/>
          <w:kern w:val="0"/>
          <w:szCs w:val="20"/>
        </w:rPr>
        <w:tab/>
      </w:r>
      <w:r w:rsidR="00A271B3" w:rsidRPr="001E6E9D">
        <w:rPr>
          <w:rFonts w:asciiTheme="minorHAnsi" w:hAnsiTheme="minorHAnsi" w:cstheme="minorHAnsi"/>
          <w:bCs/>
          <w:iCs/>
          <w:kern w:val="0"/>
          <w:szCs w:val="20"/>
        </w:rPr>
        <w:t>O Plano de Distribuição deve assegurar (i) que o tratamento conferido aos investidores seja equitativo; (ii) a adequação do investimento ao perfil de risco do público-alvo; e (iii) que os representantes de venda das Instituições Participantes da Oferta (conforme abaixo definido) recebam previamente exemplar dos Documentos da Oferta, conforme aplicável;</w:t>
      </w:r>
    </w:p>
    <w:p w14:paraId="4A7ED695" w14:textId="2D6A96C6"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(vi)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não será admitida distribuição parcial das Debêntures;</w:t>
      </w:r>
    </w:p>
    <w:p w14:paraId="7CA58A78" w14:textId="501E1724"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(vii)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a Oferta será conduzida pelos Coordenadores, conforme Plano de Distribuição, não havendo qualquer limitação em relação à quantidade de Investidores Qualificados acessados pelos Coordenadores, sendo possível, ainda, a subscrição ou aquisição das Debêntures por qualquer número de Investidores Qualificados;</w:t>
      </w:r>
    </w:p>
    <w:p w14:paraId="16651112" w14:textId="3712323D"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(viii)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os Coordenadores realizarão esforços de venda das Debêntures por meio da divulgação dos documentos publicitários da Oferta e eventuais apresentações para potenciais Investidores Qualificados, conforme determinado em comum acordo com a Emissora;</w:t>
      </w:r>
    </w:p>
    <w:p w14:paraId="1C20C193" w14:textId="6774E100"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(ix)</w:t>
      </w:r>
      <w:r w:rsidRPr="001E6E9D">
        <w:rPr>
          <w:rFonts w:asciiTheme="minorHAnsi" w:hAnsiTheme="minorHAnsi" w:cstheme="minorHAnsi"/>
          <w:b/>
          <w:bCs/>
          <w:color w:val="000000"/>
          <w:kern w:val="0"/>
          <w:szCs w:val="20"/>
        </w:rPr>
        <w:tab/>
      </w:r>
      <w:r w:rsidR="00F01B02">
        <w:rPr>
          <w:rFonts w:asciiTheme="minorHAnsi" w:hAnsiTheme="minorHAnsi" w:cstheme="minorHAnsi"/>
          <w:kern w:val="0"/>
          <w:szCs w:val="20"/>
        </w:rPr>
        <w:t>foi</w:t>
      </w:r>
      <w:r w:rsidR="00F01B02" w:rsidRPr="001E6E9D">
        <w:rPr>
          <w:rFonts w:asciiTheme="minorHAnsi" w:hAnsiTheme="minorHAnsi" w:cstheme="minorHAnsi"/>
          <w:kern w:val="0"/>
          <w:szCs w:val="20"/>
        </w:rPr>
        <w:t xml:space="preserve"> </w:t>
      </w:r>
      <w:r w:rsidR="00A271B3" w:rsidRPr="001E6E9D">
        <w:rPr>
          <w:rFonts w:asciiTheme="minorHAnsi" w:hAnsiTheme="minorHAnsi" w:cstheme="minorHAnsi"/>
          <w:kern w:val="0"/>
          <w:szCs w:val="20"/>
        </w:rPr>
        <w:t xml:space="preserve">adotado o Procedimento de </w:t>
      </w:r>
      <w:r w:rsidR="00A271B3" w:rsidRPr="001E6E9D">
        <w:rPr>
          <w:rFonts w:asciiTheme="minorHAnsi" w:hAnsiTheme="minorHAnsi" w:cstheme="minorHAnsi"/>
          <w:i/>
          <w:kern w:val="0"/>
          <w:szCs w:val="20"/>
        </w:rPr>
        <w:t>Bookbuilding</w:t>
      </w:r>
      <w:r w:rsidR="00A271B3" w:rsidRPr="001E6E9D">
        <w:rPr>
          <w:rFonts w:asciiTheme="minorHAnsi" w:hAnsiTheme="minorHAnsi" w:cstheme="minorHAnsi"/>
          <w:kern w:val="0"/>
          <w:szCs w:val="20"/>
        </w:rPr>
        <w:t>, a ser organizado pelos Coordenadores;</w:t>
      </w:r>
    </w:p>
    <w:p w14:paraId="62FB54A1" w14:textId="6F7A54C2"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 xml:space="preserve">nos termos do artigo 59 da Resolução CVM 160, o período de distribuição, caracterizado pela possibilidade de efetiva liquidação da Oferta, somente pode ter início após observadas, cumulativamente, as seguintes condições: </w:t>
      </w:r>
      <w:r w:rsidR="00A271B3" w:rsidRPr="001E6E9D">
        <w:rPr>
          <w:rFonts w:asciiTheme="minorHAnsi" w:hAnsiTheme="minorHAnsi" w:cstheme="minorHAnsi"/>
          <w:b/>
          <w:bCs/>
          <w:kern w:val="0"/>
          <w:szCs w:val="20"/>
        </w:rPr>
        <w:t>(a)</w:t>
      </w:r>
      <w:r w:rsidR="00A271B3" w:rsidRPr="001E6E9D">
        <w:rPr>
          <w:rFonts w:asciiTheme="minorHAnsi" w:hAnsiTheme="minorHAnsi" w:cstheme="minorHAnsi"/>
          <w:kern w:val="0"/>
          <w:szCs w:val="20"/>
        </w:rPr>
        <w:t xml:space="preserve"> cumprimento da totalidade das Condições Precedentes, exceto as que expressamente forem renunciadas pelos Coordenadores; </w:t>
      </w:r>
      <w:r w:rsidR="00A271B3" w:rsidRPr="001E6E9D">
        <w:rPr>
          <w:rFonts w:asciiTheme="minorHAnsi" w:hAnsiTheme="minorHAnsi" w:cstheme="minorHAnsi"/>
          <w:b/>
          <w:bCs/>
          <w:kern w:val="0"/>
          <w:szCs w:val="20"/>
        </w:rPr>
        <w:t>(b)</w:t>
      </w:r>
      <w:r w:rsidR="00A271B3" w:rsidRPr="001E6E9D">
        <w:rPr>
          <w:rFonts w:asciiTheme="minorHAnsi" w:hAnsiTheme="minorHAnsi" w:cstheme="minorHAnsi"/>
          <w:kern w:val="0"/>
          <w:szCs w:val="20"/>
        </w:rPr>
        <w:t xml:space="preserve"> concessão do registro da Oferta na CVM; e </w:t>
      </w:r>
      <w:r w:rsidR="00A271B3" w:rsidRPr="001E6E9D">
        <w:rPr>
          <w:rFonts w:asciiTheme="minorHAnsi" w:hAnsiTheme="minorHAnsi" w:cstheme="minorHAnsi"/>
          <w:b/>
          <w:bCs/>
          <w:kern w:val="0"/>
          <w:szCs w:val="20"/>
        </w:rPr>
        <w:t>(c)</w:t>
      </w:r>
      <w:r w:rsidR="00A271B3" w:rsidRPr="001E6E9D">
        <w:rPr>
          <w:rFonts w:asciiTheme="minorHAnsi" w:hAnsiTheme="minorHAnsi" w:cstheme="minorHAnsi"/>
          <w:kern w:val="0"/>
          <w:szCs w:val="20"/>
        </w:rPr>
        <w:t xml:space="preserve"> divulgação do Anúncio de Início de distribuição da Oferta, bem como seu encaminhamento à CVM e às entidades administradoras de mercado organizado no qual as Debêntures sejam admitidos à negociação;</w:t>
      </w:r>
    </w:p>
    <w:p w14:paraId="6A1073BB" w14:textId="335F70E2"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não haverá preferência ou prioridade para subscrição das Debêntures pelos atuais funcionários, acionistas diretos ou indiretos da Emissora;</w:t>
      </w:r>
    </w:p>
    <w:p w14:paraId="456CEEE4" w14:textId="3404B34D"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bookmarkStart w:id="269" w:name="_Ref4631000"/>
      <w:r w:rsidRPr="001E6E9D">
        <w:rPr>
          <w:rFonts w:asciiTheme="minorHAnsi" w:hAnsiTheme="minorHAnsi" w:cstheme="minorHAnsi"/>
          <w:b/>
          <w:bCs/>
          <w:color w:val="000000"/>
          <w:kern w:val="0"/>
          <w:szCs w:val="20"/>
        </w:rPr>
        <w:t>(xii)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não haverá preferência ou prioridade na forma de percentual de alocação diferenciado sobre a reserva dos Investidores Qualificados</w:t>
      </w:r>
      <w:bookmarkEnd w:id="269"/>
      <w:r w:rsidR="00A271B3" w:rsidRPr="001E6E9D">
        <w:rPr>
          <w:rFonts w:asciiTheme="minorHAnsi" w:hAnsiTheme="minorHAnsi" w:cstheme="minorHAnsi"/>
          <w:kern w:val="0"/>
          <w:szCs w:val="20"/>
        </w:rPr>
        <w:t>;</w:t>
      </w:r>
    </w:p>
    <w:p w14:paraId="76DEBA7A" w14:textId="57C4CD4C" w:rsidR="00065DBC" w:rsidRPr="001E6E9D" w:rsidRDefault="00065DBC" w:rsidP="00DC7081">
      <w:pPr>
        <w:pStyle w:val="Level4"/>
        <w:autoSpaceDE w:val="0"/>
        <w:autoSpaceDN w:val="0"/>
        <w:adjustRightInd w:val="0"/>
        <w:spacing w:after="200"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(xiii)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 xml:space="preserve">a Emissão e a Oferta não terão seu valor e quantidade de Debêntures aumentados em nenhuma hipótese, não existindo, portanto, lote adicional de Debêntures, nos termos do artigo 50 da Resolução CVM 160; </w:t>
      </w:r>
    </w:p>
    <w:p w14:paraId="25DB875B" w14:textId="5B126B9E" w:rsidR="00065DBC" w:rsidRPr="001E6E9D" w:rsidRDefault="00065DBC" w:rsidP="009B6FF9">
      <w:pPr>
        <w:pStyle w:val="Level4"/>
        <w:autoSpaceDE w:val="0"/>
        <w:autoSpaceDN w:val="0"/>
        <w:adjustRightInd w:val="0"/>
        <w:spacing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lastRenderedPageBreak/>
        <w:t>(xiv)</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a Garantia Firme será prestada única e exclusivamente pelos Coordenadores e/ou pelas Empresas do Grupo BTG Pactual (conforme abaixo definido)</w:t>
      </w:r>
      <w:r w:rsidR="00A271B3" w:rsidRPr="001E6E9D" w:rsidDel="006F3FB4">
        <w:rPr>
          <w:rFonts w:asciiTheme="minorHAnsi" w:hAnsiTheme="minorHAnsi" w:cstheme="minorHAnsi"/>
          <w:kern w:val="0"/>
          <w:szCs w:val="20"/>
        </w:rPr>
        <w:t xml:space="preserve"> </w:t>
      </w:r>
      <w:r w:rsidR="00A271B3" w:rsidRPr="001E6E9D">
        <w:rPr>
          <w:rFonts w:asciiTheme="minorHAnsi" w:hAnsiTheme="minorHAnsi" w:cstheme="minorHAnsi"/>
          <w:kern w:val="0"/>
          <w:szCs w:val="20"/>
        </w:rPr>
        <w:t>e/ou pelas Empresas do Grupo Itaú (conforme abaixo definido), conforme aplicável, somente no caso de a demanda total pelas Debêntures ser inferior ao valor total da Garantia Firme, em conformidade com os demais termos e condições d</w:t>
      </w:r>
      <w:r w:rsidR="00271737" w:rsidRPr="001E6E9D">
        <w:rPr>
          <w:rFonts w:asciiTheme="minorHAnsi" w:hAnsiTheme="minorHAnsi" w:cstheme="minorHAnsi"/>
          <w:kern w:val="0"/>
          <w:szCs w:val="20"/>
        </w:rPr>
        <w:t>o</w:t>
      </w:r>
      <w:r w:rsidR="00A271B3" w:rsidRPr="001E6E9D">
        <w:rPr>
          <w:rFonts w:asciiTheme="minorHAnsi" w:hAnsiTheme="minorHAnsi" w:cstheme="minorHAnsi"/>
          <w:kern w:val="0"/>
          <w:szCs w:val="20"/>
        </w:rPr>
        <w:t xml:space="preserve"> </w:t>
      </w:r>
      <w:r w:rsidR="00271737" w:rsidRPr="001E6E9D">
        <w:rPr>
          <w:rFonts w:asciiTheme="minorHAnsi" w:hAnsiTheme="minorHAnsi" w:cstheme="minorHAnsi"/>
          <w:kern w:val="0"/>
          <w:szCs w:val="20"/>
          <w:lang w:eastAsia="pt-BR"/>
        </w:rPr>
        <w:t>Contrato de Distribuição</w:t>
      </w:r>
      <w:r w:rsidR="00A271B3" w:rsidRPr="001E6E9D">
        <w:rPr>
          <w:rFonts w:asciiTheme="minorHAnsi" w:hAnsiTheme="minorHAnsi" w:cstheme="minorHAnsi"/>
          <w:kern w:val="0"/>
          <w:szCs w:val="20"/>
        </w:rPr>
        <w:t>, sendo observada, conforme aplicável, a proporção da Garantia Firme prestada por cada Coordenador, e desde que atendidas todas as Condições Precedentes ou renunciadas pelos Coordenadores, hipótese em que os Coordenadores e/ou as Empresas do Grupo BTG Pactual</w:t>
      </w:r>
      <w:r w:rsidR="00A271B3" w:rsidRPr="001E6E9D" w:rsidDel="006F3FB4">
        <w:rPr>
          <w:rFonts w:asciiTheme="minorHAnsi" w:hAnsiTheme="minorHAnsi" w:cstheme="minorHAnsi"/>
          <w:kern w:val="0"/>
          <w:szCs w:val="20"/>
        </w:rPr>
        <w:t xml:space="preserve"> </w:t>
      </w:r>
      <w:r w:rsidR="00A271B3" w:rsidRPr="001E6E9D">
        <w:rPr>
          <w:rFonts w:asciiTheme="minorHAnsi" w:hAnsiTheme="minorHAnsi" w:cstheme="minorHAnsi"/>
          <w:kern w:val="0"/>
          <w:szCs w:val="20"/>
        </w:rPr>
        <w:t>e/ou</w:t>
      </w:r>
      <w:r w:rsidR="00A271B3" w:rsidRPr="001E6E9D" w:rsidDel="0001228F">
        <w:rPr>
          <w:rFonts w:asciiTheme="minorHAnsi" w:hAnsiTheme="minorHAnsi" w:cstheme="minorHAnsi"/>
          <w:kern w:val="0"/>
          <w:szCs w:val="20"/>
        </w:rPr>
        <w:t xml:space="preserve"> </w:t>
      </w:r>
      <w:r w:rsidR="00A271B3" w:rsidRPr="001E6E9D">
        <w:rPr>
          <w:rFonts w:asciiTheme="minorHAnsi" w:hAnsiTheme="minorHAnsi" w:cstheme="minorHAnsi"/>
          <w:kern w:val="0"/>
          <w:szCs w:val="20"/>
        </w:rPr>
        <w:t xml:space="preserve">as Empresas do Grupo Itaú, conforme aplicável, exercerão a Garantia Firme por meio da subscrição e integralização das respectivas Debêntures que porventura não forem alocadas para Investidores Qualificados durante o Procedimento de </w:t>
      </w:r>
      <w:r w:rsidR="00A271B3" w:rsidRPr="001E6E9D">
        <w:rPr>
          <w:rFonts w:asciiTheme="minorHAnsi" w:hAnsiTheme="minorHAnsi" w:cstheme="minorHAnsi"/>
          <w:i/>
          <w:iCs/>
          <w:kern w:val="0"/>
          <w:szCs w:val="20"/>
        </w:rPr>
        <w:t>Bookbuilding</w:t>
      </w:r>
      <w:r w:rsidR="00A271B3" w:rsidRPr="001E6E9D">
        <w:rPr>
          <w:rFonts w:asciiTheme="minorHAnsi" w:hAnsiTheme="minorHAnsi" w:cstheme="minorHAnsi"/>
          <w:kern w:val="0"/>
          <w:szCs w:val="20"/>
        </w:rPr>
        <w:t>, de forma individual e não solidária, na proporção da Garantia Firme prestada por cada Coordenador, a exclusivo critério de cada Coordenador e na taxa de Remuneração teto prevista na Escritura de Emissão;</w:t>
      </w:r>
    </w:p>
    <w:p w14:paraId="672FF4DF" w14:textId="28DB743D" w:rsidR="00065DBC" w:rsidRPr="001E6E9D" w:rsidRDefault="00065DBC" w:rsidP="009B6FF9">
      <w:pPr>
        <w:pStyle w:val="Level4"/>
        <w:autoSpaceDE w:val="0"/>
        <w:autoSpaceDN w:val="0"/>
        <w:adjustRightInd w:val="0"/>
        <w:spacing w:line="240" w:lineRule="auto"/>
        <w:ind w:left="709" w:hanging="709"/>
        <w:outlineLvl w:val="3"/>
        <w:rPr>
          <w:rFonts w:asciiTheme="minorHAnsi" w:hAnsiTheme="minorHAnsi" w:cstheme="minorHAnsi"/>
          <w:spacing w:val="-4"/>
          <w:kern w:val="0"/>
          <w:szCs w:val="20"/>
        </w:rPr>
      </w:pPr>
      <w:r w:rsidRPr="001E6E9D">
        <w:rPr>
          <w:rFonts w:asciiTheme="minorHAnsi" w:hAnsiTheme="minorHAnsi" w:cstheme="minorHAnsi"/>
          <w:b/>
          <w:bCs/>
          <w:color w:val="000000"/>
          <w:spacing w:val="-4"/>
          <w:kern w:val="0"/>
          <w:szCs w:val="20"/>
        </w:rPr>
        <w:t>(xv)</w:t>
      </w:r>
      <w:r w:rsidRPr="001E6E9D">
        <w:rPr>
          <w:rFonts w:asciiTheme="minorHAnsi" w:hAnsiTheme="minorHAnsi" w:cstheme="minorHAnsi"/>
          <w:b/>
          <w:bCs/>
          <w:color w:val="000000"/>
          <w:spacing w:val="-4"/>
          <w:kern w:val="0"/>
          <w:szCs w:val="20"/>
        </w:rPr>
        <w:tab/>
      </w:r>
      <w:r w:rsidR="00A271B3" w:rsidRPr="001E6E9D">
        <w:rPr>
          <w:rFonts w:asciiTheme="minorHAnsi" w:hAnsiTheme="minorHAnsi" w:cstheme="minorHAnsi"/>
          <w:spacing w:val="-4"/>
          <w:kern w:val="0"/>
          <w:szCs w:val="20"/>
        </w:rPr>
        <w:t xml:space="preserve">não será constituído fundo de sustentação de liquidez ou firmado contrato de garantia de liquidez para as Debêntures. Não será firmado contrato de estabilização de preço das Debêntures no mercado secundário; </w:t>
      </w:r>
    </w:p>
    <w:p w14:paraId="53E6E1F3" w14:textId="19ECB4A9" w:rsidR="00065DBC" w:rsidRPr="001E6E9D" w:rsidRDefault="00065DBC" w:rsidP="009B6FF9">
      <w:pPr>
        <w:pStyle w:val="Level4"/>
        <w:autoSpaceDE w:val="0"/>
        <w:autoSpaceDN w:val="0"/>
        <w:adjustRightInd w:val="0"/>
        <w:spacing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(xvi)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nos termos do artigo 12 da Resolução CVM 160, após o início da Oferta a Mercado (conforme abaixo definido), é permitido à Emissora e aos Coordenadores dar ampla publicidade à Oferta, inclusive por meio da disseminação de material de caráter explicativo e educacional, de material publicitário e de apresentação a potenciais Investidores Qualificados, observados os critérios de consistência, linguagem e qualidade previstos no referido dispositivo;</w:t>
      </w:r>
    </w:p>
    <w:p w14:paraId="7F5BAE9A" w14:textId="652A1175" w:rsidR="00065DBC" w:rsidRPr="001E6E9D" w:rsidRDefault="00065DBC" w:rsidP="009B6FF9">
      <w:pPr>
        <w:pStyle w:val="Level4"/>
        <w:autoSpaceDE w:val="0"/>
        <w:autoSpaceDN w:val="0"/>
        <w:adjustRightInd w:val="0"/>
        <w:spacing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(xvii)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os materiais publicitários e/ou documentos de suporte às apresentações para potenciais Investidores Qualificados eventualmente utilizados no âmbito da Oferta, após o início da Oferta a Mercado, deverão ser encaminhados à CVM em até 1 (um) Dia Útil contado da sua utilização, nos termos do artigo 12, parágrafo 6º, da Resolução CVM 160; e</w:t>
      </w:r>
    </w:p>
    <w:p w14:paraId="51B72FA3" w14:textId="2349E6DA" w:rsidR="00065DBC" w:rsidRPr="001E6E9D" w:rsidRDefault="00065DBC" w:rsidP="009B6FF9">
      <w:pPr>
        <w:pStyle w:val="Level4"/>
        <w:autoSpaceDE w:val="0"/>
        <w:autoSpaceDN w:val="0"/>
        <w:adjustRightInd w:val="0"/>
        <w:spacing w:line="240" w:lineRule="auto"/>
        <w:ind w:left="709" w:hanging="709"/>
        <w:outlineLvl w:val="3"/>
        <w:rPr>
          <w:rFonts w:asciiTheme="minorHAnsi" w:hAnsiTheme="minorHAnsi" w:cstheme="minorHAnsi"/>
          <w:kern w:val="0"/>
          <w:szCs w:val="20"/>
        </w:rPr>
      </w:pPr>
      <w:r w:rsidRPr="001E6E9D">
        <w:rPr>
          <w:rFonts w:asciiTheme="minorHAnsi" w:hAnsiTheme="minorHAnsi" w:cstheme="minorHAnsi"/>
          <w:b/>
          <w:bCs/>
          <w:color w:val="000000"/>
          <w:kern w:val="0"/>
          <w:szCs w:val="20"/>
        </w:rPr>
        <w:t>(xviii)</w:t>
      </w:r>
      <w:r w:rsidRPr="001E6E9D">
        <w:rPr>
          <w:rFonts w:asciiTheme="minorHAnsi" w:hAnsiTheme="minorHAnsi" w:cstheme="minorHAnsi"/>
          <w:b/>
          <w:bCs/>
          <w:color w:val="000000"/>
          <w:kern w:val="0"/>
          <w:szCs w:val="20"/>
        </w:rPr>
        <w:tab/>
      </w:r>
      <w:r w:rsidR="00A271B3" w:rsidRPr="001E6E9D">
        <w:rPr>
          <w:rFonts w:asciiTheme="minorHAnsi" w:hAnsiTheme="minorHAnsi" w:cstheme="minorHAnsi"/>
          <w:kern w:val="0"/>
          <w:szCs w:val="20"/>
        </w:rPr>
        <w:t>não será concedido qualquer tipo de desconto pelos Coordenadores aos Investidores Qualificados interessados em adquirir Debêntures no âmbito da Oferta, bem como não existirá fixação de lotes máximos ou mínimos, independentemente de ordem cronológica.</w:t>
      </w:r>
      <w:bookmarkEnd w:id="267"/>
    </w:p>
    <w:p w14:paraId="7AD53849" w14:textId="70050878" w:rsidR="00065DBC" w:rsidRPr="001E6E9D" w:rsidRDefault="00A271B3" w:rsidP="009B6FF9">
      <w:pPr>
        <w:spacing w:after="140"/>
        <w:rPr>
          <w:rFonts w:asciiTheme="minorHAnsi" w:hAnsiTheme="minorHAnsi" w:cstheme="minorHAnsi"/>
          <w:lang w:eastAsia="pt-BR"/>
        </w:rPr>
      </w:pPr>
      <w:r w:rsidRPr="001E6E9D">
        <w:rPr>
          <w:rFonts w:asciiTheme="minorHAnsi" w:hAnsiTheme="minorHAnsi" w:cstheme="minorHAnsi"/>
          <w:lang w:eastAsia="pt-BR"/>
        </w:rPr>
        <w:t>A Garantia Firme de colocação prevista n</w:t>
      </w:r>
      <w:r w:rsidR="00271737" w:rsidRPr="001E6E9D">
        <w:rPr>
          <w:rFonts w:asciiTheme="minorHAnsi" w:hAnsiTheme="minorHAnsi" w:cstheme="minorHAnsi"/>
          <w:lang w:eastAsia="pt-BR"/>
        </w:rPr>
        <w:t>o</w:t>
      </w:r>
      <w:r w:rsidRPr="001E6E9D">
        <w:rPr>
          <w:rFonts w:asciiTheme="minorHAnsi" w:hAnsiTheme="minorHAnsi" w:cstheme="minorHAnsi"/>
          <w:lang w:eastAsia="pt-BR"/>
        </w:rPr>
        <w:t xml:space="preserve"> </w:t>
      </w:r>
      <w:r w:rsidR="00271737" w:rsidRPr="001E6E9D">
        <w:rPr>
          <w:rFonts w:asciiTheme="minorHAnsi" w:hAnsiTheme="minorHAnsi" w:cstheme="minorHAnsi"/>
          <w:lang w:eastAsia="pt-BR"/>
        </w:rPr>
        <w:t>Contrato de Distribuição</w:t>
      </w:r>
      <w:r w:rsidRPr="001E6E9D">
        <w:rPr>
          <w:rFonts w:asciiTheme="minorHAnsi" w:hAnsiTheme="minorHAnsi" w:cstheme="minorHAnsi"/>
          <w:lang w:eastAsia="pt-BR"/>
        </w:rPr>
        <w:t xml:space="preserve"> será válida até </w:t>
      </w:r>
      <w:r w:rsidR="00D83F18" w:rsidRPr="001E6E9D">
        <w:rPr>
          <w:rFonts w:asciiTheme="minorHAnsi" w:hAnsiTheme="minorHAnsi" w:cstheme="minorHAnsi"/>
          <w:lang w:eastAsia="pt-BR"/>
        </w:rPr>
        <w:t>28</w:t>
      </w:r>
      <w:r w:rsidRPr="001E6E9D">
        <w:rPr>
          <w:rFonts w:asciiTheme="minorHAnsi" w:hAnsiTheme="minorHAnsi" w:cstheme="minorHAnsi"/>
          <w:lang w:eastAsia="pt-BR"/>
        </w:rPr>
        <w:t xml:space="preserve"> de </w:t>
      </w:r>
      <w:r w:rsidR="00D83F18" w:rsidRPr="001E6E9D">
        <w:rPr>
          <w:rFonts w:asciiTheme="minorHAnsi" w:hAnsiTheme="minorHAnsi" w:cstheme="minorHAnsi"/>
          <w:lang w:eastAsia="pt-BR"/>
        </w:rPr>
        <w:t xml:space="preserve">fevereiro </w:t>
      </w:r>
      <w:r w:rsidRPr="001E6E9D">
        <w:rPr>
          <w:rFonts w:asciiTheme="minorHAnsi" w:hAnsiTheme="minorHAnsi" w:cstheme="minorHAnsi"/>
          <w:lang w:eastAsia="pt-BR"/>
        </w:rPr>
        <w:t>de 202</w:t>
      </w:r>
      <w:r w:rsidR="00F74BE4" w:rsidRPr="001E6E9D">
        <w:rPr>
          <w:rFonts w:asciiTheme="minorHAnsi" w:hAnsiTheme="minorHAnsi" w:cstheme="minorHAnsi"/>
          <w:lang w:eastAsia="pt-BR"/>
        </w:rPr>
        <w:t>5</w:t>
      </w:r>
      <w:r w:rsidRPr="001E6E9D">
        <w:rPr>
          <w:rFonts w:asciiTheme="minorHAnsi" w:hAnsiTheme="minorHAnsi" w:cstheme="minorHAnsi"/>
          <w:lang w:eastAsia="pt-BR"/>
        </w:rPr>
        <w:t xml:space="preserve">, podendo ser prorrogada exclusivamente a critério dos Coordenadores mediante a autorização expressa por escrito pelos Coordenadores. Fica desde já ajustado que esta concessão de prazo adicional pelos Coordenadores não invalida as demais disposições do </w:t>
      </w:r>
      <w:r w:rsidR="00271737" w:rsidRPr="001E6E9D">
        <w:rPr>
          <w:rFonts w:asciiTheme="minorHAnsi" w:hAnsiTheme="minorHAnsi" w:cstheme="minorHAnsi"/>
          <w:lang w:eastAsia="pt-BR"/>
        </w:rPr>
        <w:t>Contrato de Distribuição</w:t>
      </w:r>
      <w:r w:rsidRPr="001E6E9D">
        <w:rPr>
          <w:rFonts w:asciiTheme="minorHAnsi" w:hAnsiTheme="minorHAnsi" w:cstheme="minorHAnsi"/>
          <w:lang w:eastAsia="pt-BR"/>
        </w:rPr>
        <w:t xml:space="preserve"> (</w:t>
      </w:r>
      <w:r w:rsidR="000D5E35" w:rsidRPr="001E6E9D">
        <w:rPr>
          <w:rFonts w:asciiTheme="minorHAnsi" w:hAnsiTheme="minorHAnsi" w:cstheme="minorHAnsi"/>
          <w:lang w:eastAsia="pt-BR"/>
        </w:rPr>
        <w:t>“</w:t>
      </w:r>
      <w:r w:rsidRPr="001E6E9D">
        <w:rPr>
          <w:rFonts w:asciiTheme="minorHAnsi" w:hAnsiTheme="minorHAnsi" w:cstheme="minorHAnsi"/>
          <w:u w:val="single"/>
          <w:lang w:eastAsia="pt-BR"/>
        </w:rPr>
        <w:t>Prazo da Garantia Firme</w:t>
      </w:r>
      <w:r w:rsidRPr="001E6E9D">
        <w:rPr>
          <w:rFonts w:asciiTheme="minorHAnsi" w:hAnsiTheme="minorHAnsi" w:cstheme="minorHAnsi"/>
          <w:lang w:eastAsia="pt-BR"/>
        </w:rPr>
        <w:t xml:space="preserve">”). </w:t>
      </w:r>
    </w:p>
    <w:p w14:paraId="227B4721" w14:textId="77777777" w:rsidR="00065DBC" w:rsidRPr="001E6E9D" w:rsidRDefault="00A271B3" w:rsidP="009B6FF9">
      <w:pPr>
        <w:spacing w:after="140"/>
        <w:rPr>
          <w:rFonts w:asciiTheme="minorHAnsi" w:hAnsiTheme="minorHAnsi" w:cstheme="minorHAnsi"/>
          <w:lang w:eastAsia="pt-BR"/>
        </w:rPr>
      </w:pPr>
      <w:r w:rsidRPr="001E6E9D">
        <w:rPr>
          <w:rFonts w:asciiTheme="minorHAnsi" w:hAnsiTheme="minorHAnsi" w:cstheme="minorHAnsi"/>
          <w:lang w:eastAsia="pt-BR"/>
        </w:rPr>
        <w:t>Os Coordenadores têm o direito de convidar outras instituições financeiras autorizadas a operar no mercado de capitais brasileiro, escolhidas de comum acordo entre os Coordenadores e a Emissora, para participar da colocação das Debêntures, observados os termos e condições d</w:t>
      </w:r>
      <w:r w:rsidR="00271737" w:rsidRPr="001E6E9D">
        <w:rPr>
          <w:rFonts w:asciiTheme="minorHAnsi" w:hAnsiTheme="minorHAnsi" w:cstheme="minorHAnsi"/>
          <w:lang w:eastAsia="pt-BR"/>
        </w:rPr>
        <w:t>o</w:t>
      </w:r>
      <w:r w:rsidRPr="001E6E9D">
        <w:rPr>
          <w:rFonts w:asciiTheme="minorHAnsi" w:hAnsiTheme="minorHAnsi" w:cstheme="minorHAnsi"/>
          <w:lang w:eastAsia="pt-BR"/>
        </w:rPr>
        <w:t xml:space="preserve"> </w:t>
      </w:r>
      <w:r w:rsidR="00271737" w:rsidRPr="001E6E9D">
        <w:rPr>
          <w:rFonts w:asciiTheme="minorHAnsi" w:hAnsiTheme="minorHAnsi" w:cstheme="minorHAnsi"/>
          <w:lang w:eastAsia="pt-BR"/>
        </w:rPr>
        <w:t>Contrato de Distribuição</w:t>
      </w:r>
      <w:r w:rsidRPr="001E6E9D">
        <w:rPr>
          <w:rFonts w:asciiTheme="minorHAnsi" w:hAnsiTheme="minorHAnsi" w:cstheme="minorHAnsi"/>
          <w:lang w:eastAsia="pt-BR"/>
        </w:rPr>
        <w:t>, bem como a regulamentação em vigor, desde que previamente aprovada pela Emissora.</w:t>
      </w:r>
    </w:p>
    <w:p w14:paraId="2390B979" w14:textId="3D604202" w:rsidR="00065DBC" w:rsidRPr="001E6E9D" w:rsidRDefault="00A271B3" w:rsidP="009B6FF9">
      <w:pPr>
        <w:pStyle w:val="Level3"/>
        <w:numPr>
          <w:ilvl w:val="2"/>
          <w:numId w:val="0"/>
        </w:numPr>
        <w:spacing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 xml:space="preserve">Sem prejuízo das obrigações regulamentares, </w:t>
      </w:r>
      <w:r w:rsidRPr="001E6E9D">
        <w:rPr>
          <w:rFonts w:asciiTheme="minorHAnsi" w:hAnsiTheme="minorHAnsi" w:cstheme="minorHAnsi"/>
          <w:b/>
          <w:bCs/>
          <w:kern w:val="0"/>
          <w:szCs w:val="20"/>
          <w:lang w:val="pt-BR"/>
        </w:rPr>
        <w:t>(i)</w:t>
      </w:r>
      <w:r w:rsidRPr="001E6E9D">
        <w:rPr>
          <w:rFonts w:asciiTheme="minorHAnsi" w:hAnsiTheme="minorHAnsi" w:cstheme="minorHAnsi"/>
          <w:kern w:val="0"/>
          <w:szCs w:val="20"/>
          <w:lang w:val="pt-BR"/>
        </w:rPr>
        <w:t xml:space="preserve"> o BTG Pactual poderá, a seu exclusivo critério, designar uma ou mais empresas de seu grupo econômico, incluindo o Banco BTG Pactual S.A., instituição financeira, com escritório a Cidade de São Paulo, Estado de São Paulo, na Avenida Brigadeiro Faria Lima, nº 3.477, 14º andar, Itaim Bibi, CEP 04.538-133, inscrita no CNPJ/MF sob o nº 30.306.294/0002-26 ("</w:t>
      </w:r>
      <w:r w:rsidRPr="001E6E9D">
        <w:rPr>
          <w:rFonts w:asciiTheme="minorHAnsi" w:hAnsiTheme="minorHAnsi" w:cstheme="minorHAnsi"/>
          <w:kern w:val="0"/>
          <w:szCs w:val="20"/>
          <w:u w:val="single"/>
          <w:lang w:val="pt-BR"/>
        </w:rPr>
        <w:t>Empresas do Grupo BTG Pactual</w:t>
      </w:r>
      <w:r w:rsidRPr="001E6E9D">
        <w:rPr>
          <w:rFonts w:asciiTheme="minorHAnsi" w:hAnsiTheme="minorHAnsi" w:cstheme="minorHAnsi"/>
          <w:kern w:val="0"/>
          <w:szCs w:val="20"/>
          <w:lang w:val="pt-BR"/>
        </w:rPr>
        <w:t>"), como responsável(eis), para os devidos fins e efeitos, pelo cumprimento da totalidade ou de parte das obrigações ora assumidas, de acordo com o escopo d</w:t>
      </w:r>
      <w:r w:rsidR="00271737" w:rsidRPr="001E6E9D">
        <w:rPr>
          <w:rFonts w:asciiTheme="minorHAnsi" w:hAnsiTheme="minorHAnsi" w:cstheme="minorHAnsi"/>
          <w:kern w:val="0"/>
          <w:szCs w:val="20"/>
          <w:lang w:val="pt-BR"/>
        </w:rPr>
        <w:t>o</w:t>
      </w:r>
      <w:r w:rsidRPr="001E6E9D">
        <w:rPr>
          <w:rFonts w:asciiTheme="minorHAnsi" w:hAnsiTheme="minorHAnsi" w:cstheme="minorHAnsi"/>
          <w:kern w:val="0"/>
          <w:szCs w:val="20"/>
          <w:lang w:val="pt-BR"/>
        </w:rPr>
        <w:t xml:space="preserve"> </w:t>
      </w:r>
      <w:r w:rsidR="00271737" w:rsidRPr="001E6E9D">
        <w:rPr>
          <w:rFonts w:asciiTheme="minorHAnsi" w:hAnsiTheme="minorHAnsi" w:cstheme="minorHAnsi"/>
          <w:kern w:val="0"/>
          <w:szCs w:val="20"/>
          <w:lang w:val="pt-BR" w:eastAsia="pt-BR"/>
        </w:rPr>
        <w:t>Contrato de Distribuição</w:t>
      </w:r>
      <w:r w:rsidRPr="001E6E9D">
        <w:rPr>
          <w:rFonts w:asciiTheme="minorHAnsi" w:hAnsiTheme="minorHAnsi" w:cstheme="minorHAnsi"/>
          <w:kern w:val="0"/>
          <w:szCs w:val="20"/>
          <w:lang w:val="pt-BR"/>
        </w:rPr>
        <w:t xml:space="preserve">, incluindo, sem limitação, a estruturação, a distribuição da Oferta e o cumprimento da Garantia Firme assumida pelo BTG Pactual, conforme indicação acima, na proporção assumida pelo BTG Pactual; e </w:t>
      </w:r>
      <w:r w:rsidRPr="001E6E9D">
        <w:rPr>
          <w:rFonts w:asciiTheme="minorHAnsi" w:hAnsiTheme="minorHAnsi" w:cstheme="minorHAnsi"/>
          <w:b/>
          <w:bCs/>
          <w:kern w:val="0"/>
          <w:szCs w:val="20"/>
          <w:lang w:val="pt-BR"/>
        </w:rPr>
        <w:t>(ii)</w:t>
      </w:r>
      <w:r w:rsidRPr="001E6E9D">
        <w:rPr>
          <w:rFonts w:asciiTheme="minorHAnsi" w:hAnsiTheme="minorHAnsi" w:cstheme="minorHAnsi"/>
          <w:kern w:val="0"/>
          <w:szCs w:val="20"/>
          <w:lang w:val="pt-BR"/>
        </w:rPr>
        <w:t xml:space="preserve"> o Coordenador Líder fica autorizado a contratar, por conta e ordem da Emissora, sociedade pertencente ao mesmo grupo econômico do Coordenador Líder (</w:t>
      </w:r>
      <w:r w:rsidR="000D5E35" w:rsidRPr="001E6E9D">
        <w:rPr>
          <w:rFonts w:asciiTheme="minorHAnsi" w:hAnsiTheme="minorHAnsi" w:cstheme="minorHAnsi"/>
          <w:kern w:val="0"/>
          <w:szCs w:val="20"/>
          <w:lang w:val="pt-BR"/>
        </w:rPr>
        <w:t>“</w:t>
      </w:r>
      <w:r w:rsidRPr="001E6E9D">
        <w:rPr>
          <w:rFonts w:asciiTheme="minorHAnsi" w:hAnsiTheme="minorHAnsi" w:cstheme="minorHAnsi"/>
          <w:kern w:val="0"/>
          <w:szCs w:val="20"/>
          <w:u w:val="single"/>
          <w:lang w:val="pt-BR"/>
        </w:rPr>
        <w:t>Empresas do Grupo Itaú</w:t>
      </w:r>
      <w:r w:rsidRPr="001E6E9D">
        <w:rPr>
          <w:rFonts w:asciiTheme="minorHAnsi" w:hAnsiTheme="minorHAnsi" w:cstheme="minorHAnsi"/>
          <w:kern w:val="0"/>
          <w:szCs w:val="20"/>
          <w:lang w:val="pt-BR"/>
        </w:rPr>
        <w:t>”) para que preste parte dos serviços descritos n</w:t>
      </w:r>
      <w:r w:rsidR="00271737" w:rsidRPr="001E6E9D">
        <w:rPr>
          <w:rFonts w:asciiTheme="minorHAnsi" w:hAnsiTheme="minorHAnsi" w:cstheme="minorHAnsi"/>
          <w:kern w:val="0"/>
          <w:szCs w:val="20"/>
          <w:lang w:val="pt-BR"/>
        </w:rPr>
        <w:t>o</w:t>
      </w:r>
      <w:r w:rsidRPr="001E6E9D">
        <w:rPr>
          <w:rFonts w:asciiTheme="minorHAnsi" w:hAnsiTheme="minorHAnsi" w:cstheme="minorHAnsi"/>
          <w:kern w:val="0"/>
          <w:szCs w:val="20"/>
          <w:lang w:val="pt-BR"/>
        </w:rPr>
        <w:t xml:space="preserve"> </w:t>
      </w:r>
      <w:r w:rsidR="00271737" w:rsidRPr="001E6E9D">
        <w:rPr>
          <w:rFonts w:asciiTheme="minorHAnsi" w:hAnsiTheme="minorHAnsi" w:cstheme="minorHAnsi"/>
          <w:kern w:val="0"/>
          <w:szCs w:val="20"/>
          <w:lang w:val="pt-BR" w:eastAsia="pt-BR"/>
        </w:rPr>
        <w:t>Contrato de Distribuição</w:t>
      </w:r>
      <w:r w:rsidRPr="001E6E9D">
        <w:rPr>
          <w:rFonts w:asciiTheme="minorHAnsi" w:hAnsiTheme="minorHAnsi" w:cstheme="minorHAnsi"/>
          <w:kern w:val="0"/>
          <w:szCs w:val="20"/>
          <w:lang w:val="pt-BR"/>
        </w:rPr>
        <w:t>, permanecendo, todavia, o Coordenador Líder</w:t>
      </w:r>
      <w:r w:rsidRPr="001E6E9D" w:rsidDel="00930979">
        <w:rPr>
          <w:rFonts w:asciiTheme="minorHAnsi" w:hAnsiTheme="minorHAnsi" w:cstheme="minorHAnsi"/>
          <w:kern w:val="0"/>
          <w:szCs w:val="20"/>
          <w:lang w:val="pt-BR"/>
        </w:rPr>
        <w:t xml:space="preserve"> </w:t>
      </w:r>
      <w:r w:rsidRPr="001E6E9D">
        <w:rPr>
          <w:rFonts w:asciiTheme="minorHAnsi" w:hAnsiTheme="minorHAnsi" w:cstheme="minorHAnsi"/>
          <w:kern w:val="0"/>
          <w:szCs w:val="20"/>
          <w:lang w:val="pt-BR"/>
        </w:rPr>
        <w:t>responsável pelas obrigações assumidas n</w:t>
      </w:r>
      <w:r w:rsidR="00271737" w:rsidRPr="001E6E9D">
        <w:rPr>
          <w:rFonts w:asciiTheme="minorHAnsi" w:hAnsiTheme="minorHAnsi" w:cstheme="minorHAnsi"/>
          <w:kern w:val="0"/>
          <w:szCs w:val="20"/>
          <w:lang w:val="pt-BR"/>
        </w:rPr>
        <w:t>o</w:t>
      </w:r>
      <w:r w:rsidRPr="001E6E9D">
        <w:rPr>
          <w:rFonts w:asciiTheme="minorHAnsi" w:hAnsiTheme="minorHAnsi" w:cstheme="minorHAnsi"/>
          <w:kern w:val="0"/>
          <w:szCs w:val="20"/>
          <w:lang w:val="pt-BR"/>
        </w:rPr>
        <w:t xml:space="preserve"> </w:t>
      </w:r>
      <w:r w:rsidR="00271737" w:rsidRPr="001E6E9D">
        <w:rPr>
          <w:rFonts w:asciiTheme="minorHAnsi" w:hAnsiTheme="minorHAnsi" w:cstheme="minorHAnsi"/>
          <w:kern w:val="0"/>
          <w:szCs w:val="20"/>
          <w:lang w:val="pt-BR" w:eastAsia="pt-BR"/>
        </w:rPr>
        <w:t>Contrato de Distribuição</w:t>
      </w:r>
      <w:r w:rsidRPr="001E6E9D">
        <w:rPr>
          <w:rFonts w:asciiTheme="minorHAnsi" w:hAnsiTheme="minorHAnsi" w:cstheme="minorHAnsi"/>
          <w:kern w:val="0"/>
          <w:szCs w:val="20"/>
          <w:lang w:val="pt-BR"/>
        </w:rPr>
        <w:t xml:space="preserve">. Em função desta contratação, o Coordenador Líder orientará a Emissora a pagar parte ou totalidade do comissionamento diretamente à respectiva Contratada, que apresentará a fatura, nota ou recibo, conforme aplicável. O valor pago às Empresas do Grupo BTG Pactual e/ou às Empresas do Grupo Itaú corresponderá à parcela do preço de comissão referente ao serviço por ela prestado, descrito nos termos da Cláusula 6, com aplicação da cláusula de </w:t>
      </w:r>
      <w:r w:rsidRPr="001E6E9D">
        <w:rPr>
          <w:rFonts w:asciiTheme="minorHAnsi" w:hAnsiTheme="minorHAnsi" w:cstheme="minorHAnsi"/>
          <w:i/>
          <w:iCs/>
          <w:kern w:val="0"/>
          <w:szCs w:val="20"/>
          <w:lang w:val="pt-BR"/>
        </w:rPr>
        <w:t>gross up</w:t>
      </w:r>
      <w:r w:rsidRPr="001E6E9D">
        <w:rPr>
          <w:rFonts w:asciiTheme="minorHAnsi" w:hAnsiTheme="minorHAnsi" w:cstheme="minorHAnsi"/>
          <w:kern w:val="0"/>
          <w:szCs w:val="20"/>
          <w:lang w:val="pt-BR"/>
        </w:rPr>
        <w:t xml:space="preserve"> prevista n</w:t>
      </w:r>
      <w:r w:rsidR="00271737" w:rsidRPr="001E6E9D">
        <w:rPr>
          <w:rFonts w:asciiTheme="minorHAnsi" w:hAnsiTheme="minorHAnsi" w:cstheme="minorHAnsi"/>
          <w:kern w:val="0"/>
          <w:szCs w:val="20"/>
          <w:lang w:val="pt-BR"/>
        </w:rPr>
        <w:t>o</w:t>
      </w:r>
      <w:r w:rsidR="009C6574" w:rsidRPr="001E6E9D">
        <w:rPr>
          <w:rFonts w:asciiTheme="minorHAnsi" w:hAnsiTheme="minorHAnsi" w:cstheme="minorHAnsi"/>
          <w:kern w:val="0"/>
          <w:szCs w:val="20"/>
          <w:lang w:val="pt-BR"/>
        </w:rPr>
        <w:t xml:space="preserve"> </w:t>
      </w:r>
      <w:r w:rsidR="00271737" w:rsidRPr="001E6E9D">
        <w:rPr>
          <w:rFonts w:asciiTheme="minorHAnsi" w:hAnsiTheme="minorHAnsi" w:cstheme="minorHAnsi"/>
          <w:kern w:val="0"/>
          <w:szCs w:val="20"/>
          <w:lang w:val="pt-BR" w:eastAsia="pt-BR"/>
        </w:rPr>
        <w:t>Contrato de Distribuição</w:t>
      </w:r>
      <w:r w:rsidRPr="001E6E9D">
        <w:rPr>
          <w:rFonts w:asciiTheme="minorHAnsi" w:hAnsiTheme="minorHAnsi" w:cstheme="minorHAnsi"/>
          <w:kern w:val="0"/>
          <w:szCs w:val="20"/>
          <w:lang w:val="pt-BR"/>
        </w:rPr>
        <w:t>.</w:t>
      </w:r>
    </w:p>
    <w:p w14:paraId="5AB1161C" w14:textId="6DFCA68F" w:rsidR="00065DBC" w:rsidRPr="001E6E9D" w:rsidRDefault="00A271B3" w:rsidP="009B6FF9">
      <w:pPr>
        <w:pStyle w:val="Level3"/>
        <w:numPr>
          <w:ilvl w:val="2"/>
          <w:numId w:val="0"/>
        </w:numPr>
        <w:spacing w:line="240" w:lineRule="auto"/>
        <w:rPr>
          <w:rFonts w:asciiTheme="minorHAnsi" w:hAnsiTheme="minorHAnsi" w:cstheme="minorHAnsi"/>
          <w:kern w:val="0"/>
          <w:szCs w:val="20"/>
          <w:lang w:val="pt-BR"/>
        </w:rPr>
      </w:pPr>
      <w:r w:rsidRPr="001E6E9D">
        <w:rPr>
          <w:rFonts w:asciiTheme="minorHAnsi" w:hAnsiTheme="minorHAnsi" w:cstheme="minorHAnsi"/>
          <w:iCs/>
          <w:kern w:val="0"/>
          <w:szCs w:val="20"/>
          <w:lang w:val="pt-BR"/>
        </w:rPr>
        <w:t xml:space="preserve">A Garantia Firme somente será exercida pelos Coordenadores se (i) não houver demanda de Investidores Qualificados suficiente para o Valor da Emissão; e (ii) verificado o cumprimento pela Emissora de todas as Condições Precedentes e/ou dispensa expressa pelos Coordenadores de quaisquer das Condições Precedentes, e (iii) na taxa máxima prevista na Cláusula 4.18 acima. Neste caso, os Coordenadores realizarão a subscrição e integralização de Debêntures em quantidade equivalente à diferença entre o Valor da Emissão e o montante total de Debêntures efetivamente colocado junto aos Investidores Qualificados, sendo certo que cada Coordenador deverá subscrever uma quantidade proporcional a sua participação percentual definida na tabela </w:t>
      </w:r>
      <w:r w:rsidRPr="001E6E9D">
        <w:rPr>
          <w:rFonts w:asciiTheme="minorHAnsi" w:hAnsiTheme="minorHAnsi" w:cstheme="minorHAnsi"/>
          <w:iCs/>
          <w:kern w:val="0"/>
          <w:szCs w:val="20"/>
          <w:lang w:val="pt-BR"/>
        </w:rPr>
        <w:lastRenderedPageBreak/>
        <w:t xml:space="preserve">acima e que eventual montante efetivamente alocado a instituições integrantes do grupo econômico de cada um dos Coordenadores na qualidade de investidores no âmbito do Procedimento de </w:t>
      </w:r>
      <w:r w:rsidRPr="001E6E9D">
        <w:rPr>
          <w:rFonts w:asciiTheme="minorHAnsi" w:hAnsiTheme="minorHAnsi" w:cstheme="minorHAnsi"/>
          <w:i/>
          <w:kern w:val="0"/>
          <w:szCs w:val="20"/>
          <w:lang w:val="pt-BR"/>
        </w:rPr>
        <w:t>Bookbuilding</w:t>
      </w:r>
      <w:r w:rsidRPr="001E6E9D">
        <w:rPr>
          <w:rFonts w:asciiTheme="minorHAnsi" w:hAnsiTheme="minorHAnsi" w:cstheme="minorHAnsi"/>
          <w:iCs/>
          <w:kern w:val="0"/>
          <w:szCs w:val="20"/>
          <w:lang w:val="pt-BR"/>
        </w:rPr>
        <w:t xml:space="preserve"> deverá ser deduzido do montante da Garantia Firme a ser exigida do respectivo Coordenador e acrescido ao montante exigido dos demais Coordenadores observada a proporção definida na tabela acima</w:t>
      </w:r>
      <w:r w:rsidR="00753BC8" w:rsidRPr="001E6E9D">
        <w:rPr>
          <w:rFonts w:asciiTheme="minorHAnsi" w:hAnsiTheme="minorHAnsi" w:cstheme="minorHAnsi"/>
          <w:iCs/>
          <w:kern w:val="0"/>
          <w:szCs w:val="20"/>
          <w:lang w:val="pt-BR"/>
        </w:rPr>
        <w:t>.</w:t>
      </w:r>
    </w:p>
    <w:p w14:paraId="53DC02F0" w14:textId="77777777" w:rsidR="00065DBC" w:rsidRPr="001E6E9D" w:rsidRDefault="00A271B3" w:rsidP="009B6FF9">
      <w:pPr>
        <w:pStyle w:val="Level3"/>
        <w:numPr>
          <w:ilvl w:val="1"/>
          <w:numId w:val="0"/>
        </w:numPr>
        <w:tabs>
          <w:tab w:val="num" w:pos="142"/>
        </w:tabs>
        <w:spacing w:after="160" w:line="240" w:lineRule="auto"/>
        <w:rPr>
          <w:rFonts w:asciiTheme="minorHAnsi" w:hAnsiTheme="minorHAnsi" w:cstheme="minorHAnsi"/>
          <w:kern w:val="0"/>
          <w:szCs w:val="20"/>
          <w:lang w:val="pt-BR"/>
        </w:rPr>
      </w:pPr>
      <w:bookmarkStart w:id="270" w:name="_Ref63012401"/>
      <w:r w:rsidRPr="001E6E9D">
        <w:rPr>
          <w:rFonts w:asciiTheme="minorHAnsi" w:hAnsiTheme="minorHAnsi" w:cstheme="minorHAnsi"/>
          <w:kern w:val="0"/>
          <w:szCs w:val="20"/>
          <w:lang w:val="pt-BR"/>
        </w:rPr>
        <w:t xml:space="preserve">A Oferta terá como público-alvo exclusivamente Investidores Qualificados. </w:t>
      </w:r>
      <w:bookmarkEnd w:id="270"/>
    </w:p>
    <w:p w14:paraId="7E4F39FA" w14:textId="5021B140" w:rsidR="00065DBC" w:rsidRPr="001E6E9D" w:rsidRDefault="00A271B3" w:rsidP="009B6FF9">
      <w:pPr>
        <w:pStyle w:val="Level3"/>
        <w:numPr>
          <w:ilvl w:val="1"/>
          <w:numId w:val="0"/>
        </w:numPr>
        <w:tabs>
          <w:tab w:val="num" w:pos="142"/>
        </w:tabs>
        <w:spacing w:after="160"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Os Coordenadores poderão realizar esforços de venda das Debêntures por meio de apresentações para potenciais investidores, conforme determinado em comum acordo com a Emissora (</w:t>
      </w:r>
      <w:r w:rsidR="000D5E35" w:rsidRPr="001E6E9D">
        <w:rPr>
          <w:rFonts w:asciiTheme="minorHAnsi" w:hAnsiTheme="minorHAnsi" w:cstheme="minorHAnsi"/>
          <w:kern w:val="0"/>
          <w:szCs w:val="20"/>
          <w:lang w:val="pt-BR"/>
        </w:rPr>
        <w:t>“</w:t>
      </w:r>
      <w:r w:rsidRPr="001E6E9D">
        <w:rPr>
          <w:rFonts w:asciiTheme="minorHAnsi" w:hAnsiTheme="minorHAnsi" w:cstheme="minorHAnsi"/>
          <w:kern w:val="0"/>
          <w:szCs w:val="20"/>
          <w:u w:val="single"/>
          <w:lang w:val="pt-BR"/>
        </w:rPr>
        <w:t>Oferta a Mercado</w:t>
      </w:r>
      <w:r w:rsidRPr="001E6E9D">
        <w:rPr>
          <w:rFonts w:asciiTheme="minorHAnsi" w:hAnsiTheme="minorHAnsi" w:cstheme="minorHAnsi"/>
          <w:kern w:val="0"/>
          <w:szCs w:val="20"/>
          <w:lang w:val="pt-BR"/>
        </w:rPr>
        <w:t>”).</w:t>
      </w:r>
    </w:p>
    <w:p w14:paraId="2C133FF5" w14:textId="1E411F7F" w:rsidR="00065DBC" w:rsidRPr="001E6E9D" w:rsidRDefault="00A271B3" w:rsidP="009B6FF9">
      <w:pPr>
        <w:pStyle w:val="Level3"/>
        <w:numPr>
          <w:ilvl w:val="2"/>
          <w:numId w:val="0"/>
        </w:numPr>
        <w:tabs>
          <w:tab w:val="num" w:pos="142"/>
        </w:tabs>
        <w:spacing w:after="160"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Nos termos do artigo 57 da Resolução CVM 160, a Oferta a Mercado só poderá ser realizada a partir da divulgação do Aviso ao Mercado da Oferta (</w:t>
      </w:r>
      <w:r w:rsidR="000D5E35" w:rsidRPr="001E6E9D">
        <w:rPr>
          <w:rFonts w:asciiTheme="minorHAnsi" w:hAnsiTheme="minorHAnsi" w:cstheme="minorHAnsi"/>
          <w:kern w:val="0"/>
          <w:szCs w:val="20"/>
          <w:lang w:val="pt-BR"/>
        </w:rPr>
        <w:t>“</w:t>
      </w:r>
      <w:r w:rsidRPr="001E6E9D">
        <w:rPr>
          <w:rFonts w:asciiTheme="minorHAnsi" w:hAnsiTheme="minorHAnsi" w:cstheme="minorHAnsi"/>
          <w:kern w:val="0"/>
          <w:szCs w:val="20"/>
          <w:u w:val="single"/>
          <w:lang w:val="pt-BR"/>
        </w:rPr>
        <w:t>Aviso ao Mercado</w:t>
      </w:r>
      <w:r w:rsidRPr="001E6E9D">
        <w:rPr>
          <w:rFonts w:asciiTheme="minorHAnsi" w:hAnsiTheme="minorHAnsi" w:cstheme="minorHAnsi"/>
          <w:kern w:val="0"/>
          <w:szCs w:val="20"/>
          <w:lang w:val="pt-BR"/>
        </w:rPr>
        <w:t>”) e do Prospecto Preliminar nos Meios de Divulgação.</w:t>
      </w:r>
    </w:p>
    <w:p w14:paraId="27762AEE" w14:textId="2628E864" w:rsidR="00065DBC" w:rsidRPr="001E6E9D" w:rsidRDefault="00A271B3" w:rsidP="009B6FF9">
      <w:pPr>
        <w:pStyle w:val="Level3"/>
        <w:numPr>
          <w:ilvl w:val="2"/>
          <w:numId w:val="0"/>
        </w:numPr>
        <w:tabs>
          <w:tab w:val="num" w:pos="142"/>
        </w:tabs>
        <w:spacing w:after="160"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Simultaneamente à divulgação do Aviso ao Mercado, o Coordenador Líder encaminhará à Superintendência de Registro de Valores Mobiliários da CVM (</w:t>
      </w:r>
      <w:r w:rsidR="000D5E35" w:rsidRPr="001E6E9D">
        <w:rPr>
          <w:rFonts w:asciiTheme="minorHAnsi" w:hAnsiTheme="minorHAnsi" w:cstheme="minorHAnsi"/>
          <w:kern w:val="0"/>
          <w:szCs w:val="20"/>
          <w:lang w:val="pt-BR"/>
        </w:rPr>
        <w:t>“</w:t>
      </w:r>
      <w:r w:rsidRPr="001E6E9D">
        <w:rPr>
          <w:rFonts w:asciiTheme="minorHAnsi" w:hAnsiTheme="minorHAnsi" w:cstheme="minorHAnsi"/>
          <w:kern w:val="0"/>
          <w:szCs w:val="20"/>
          <w:u w:val="single"/>
          <w:lang w:val="pt-BR"/>
        </w:rPr>
        <w:t>SRE</w:t>
      </w:r>
      <w:r w:rsidRPr="001E6E9D">
        <w:rPr>
          <w:rFonts w:asciiTheme="minorHAnsi" w:hAnsiTheme="minorHAnsi" w:cstheme="minorHAnsi"/>
          <w:kern w:val="0"/>
          <w:szCs w:val="20"/>
          <w:lang w:val="pt-BR"/>
        </w:rPr>
        <w:t>”) e à B3, versão eletrônica do Aviso ao Mercado, sem quaisquer restrições para sua cópia e em formato digital que permita a busca de palavras e termos.</w:t>
      </w:r>
    </w:p>
    <w:p w14:paraId="3ACC2FAB" w14:textId="77777777" w:rsidR="00065DBC" w:rsidRPr="001E6E9D" w:rsidRDefault="00A271B3" w:rsidP="009B6FF9">
      <w:pPr>
        <w:pStyle w:val="Level3"/>
        <w:numPr>
          <w:ilvl w:val="2"/>
          <w:numId w:val="0"/>
        </w:numPr>
        <w:tabs>
          <w:tab w:val="num" w:pos="142"/>
        </w:tabs>
        <w:spacing w:after="160" w:line="240" w:lineRule="auto"/>
        <w:rPr>
          <w:rFonts w:asciiTheme="minorHAnsi" w:hAnsiTheme="minorHAnsi" w:cstheme="minorHAnsi"/>
          <w:spacing w:val="-4"/>
          <w:kern w:val="0"/>
          <w:szCs w:val="20"/>
          <w:lang w:val="pt-BR"/>
        </w:rPr>
      </w:pPr>
      <w:r w:rsidRPr="001E6E9D">
        <w:rPr>
          <w:rFonts w:asciiTheme="minorHAnsi" w:hAnsiTheme="minorHAnsi" w:cstheme="minorHAnsi"/>
          <w:spacing w:val="-4"/>
          <w:kern w:val="0"/>
          <w:szCs w:val="20"/>
          <w:lang w:val="pt-BR"/>
        </w:rPr>
        <w:t>Deverá ser divulgada aos investidores a possibilidade de os Coordenadores virem a investir na Oferta, na qualidade de Pessoas Vinculadas, inclusive no que se refere ao risco de tal participação poder impactar na formação do preço final da Oferta, assim como as relações relevantes dos Coordenadores com a Emissora e seu grupo econômico.</w:t>
      </w:r>
    </w:p>
    <w:p w14:paraId="25AD277E" w14:textId="569C71D4" w:rsidR="00065DBC" w:rsidRPr="001E6E9D" w:rsidRDefault="00A271B3" w:rsidP="009B6FF9">
      <w:pPr>
        <w:pStyle w:val="Level3"/>
        <w:numPr>
          <w:ilvl w:val="1"/>
          <w:numId w:val="0"/>
        </w:numPr>
        <w:tabs>
          <w:tab w:val="num" w:pos="142"/>
        </w:tabs>
        <w:spacing w:after="160"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 xml:space="preserve">São consideradas </w:t>
      </w:r>
      <w:r w:rsidR="000D5E35" w:rsidRPr="001E6E9D">
        <w:rPr>
          <w:rFonts w:asciiTheme="minorHAnsi" w:hAnsiTheme="minorHAnsi" w:cstheme="minorHAnsi"/>
          <w:kern w:val="0"/>
          <w:szCs w:val="20"/>
          <w:lang w:val="pt-BR"/>
        </w:rPr>
        <w:t>“</w:t>
      </w:r>
      <w:r w:rsidRPr="001E6E9D">
        <w:rPr>
          <w:rFonts w:asciiTheme="minorHAnsi" w:hAnsiTheme="minorHAnsi" w:cstheme="minorHAnsi"/>
          <w:kern w:val="0"/>
          <w:szCs w:val="20"/>
          <w:u w:val="single"/>
          <w:lang w:val="pt-BR"/>
        </w:rPr>
        <w:t>Pessoas Vinculadas</w:t>
      </w:r>
      <w:r w:rsidRPr="001E6E9D">
        <w:rPr>
          <w:rFonts w:asciiTheme="minorHAnsi" w:hAnsiTheme="minorHAnsi" w:cstheme="minorHAnsi"/>
          <w:kern w:val="0"/>
          <w:szCs w:val="20"/>
          <w:lang w:val="pt-BR"/>
        </w:rPr>
        <w:t>” nos termos da Resolução CVM 160: os controladores, diretos ou indiretos, ou administradores do consórcio de distribuição e da Emissora, bem como seus cônjuges ou companheiros, seus ascendentes, descendentes e colaterais até o 2º (segundo) grau, sociedades por eles controladas direta ou indiretamente e, quando atuando na emissão ou distribuição das Debêntures, as demais pessoas consideradas vinculadas na regulamentação da CVM que dispõe sobre normas e procedimentos a serem observados nas operações realizadas com valores mobiliários em mercados regulamentados, em especial na Resolução da CVM nº 35, de 26 de maio de 2021, conforme em vigor (artigo 2º, inciso XII).</w:t>
      </w:r>
    </w:p>
    <w:p w14:paraId="2CFE3FCC" w14:textId="77777777" w:rsidR="00065DBC" w:rsidRPr="001E6E9D" w:rsidRDefault="00A271B3" w:rsidP="009B6FF9">
      <w:pPr>
        <w:pStyle w:val="Level3"/>
        <w:numPr>
          <w:ilvl w:val="2"/>
          <w:numId w:val="0"/>
        </w:numPr>
        <w:tabs>
          <w:tab w:val="num" w:pos="142"/>
        </w:tabs>
        <w:spacing w:after="160"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Deverá ser divulgada aos investidores a possibilidade de os Coordenadores virem a investir na Oferta, na qualidade de Pessoas Vinculadas, inclusive no que se refere ao risco de tal participação poder impactar na formação do preço final da Oferta, assim como as relações relevantes dos Coordenadores com a Emissora e seu grupo econômico.</w:t>
      </w:r>
    </w:p>
    <w:p w14:paraId="73FE9D54" w14:textId="362DFC66" w:rsidR="00065DBC" w:rsidRPr="001E6E9D" w:rsidRDefault="00A271B3" w:rsidP="000C3C74">
      <w:pPr>
        <w:pStyle w:val="Level3"/>
        <w:numPr>
          <w:ilvl w:val="2"/>
          <w:numId w:val="0"/>
        </w:numPr>
        <w:tabs>
          <w:tab w:val="num" w:pos="142"/>
        </w:tabs>
        <w:spacing w:after="160"/>
        <w:rPr>
          <w:rFonts w:asciiTheme="minorHAnsi" w:hAnsiTheme="minorHAnsi" w:cstheme="minorHAnsi"/>
          <w:kern w:val="0"/>
          <w:szCs w:val="20"/>
          <w:lang w:val="pt-BR"/>
        </w:rPr>
      </w:pPr>
      <w:r w:rsidRPr="001E6E9D">
        <w:rPr>
          <w:rFonts w:asciiTheme="minorHAnsi" w:hAnsiTheme="minorHAnsi" w:cstheme="minorHAnsi"/>
          <w:kern w:val="0"/>
          <w:szCs w:val="20"/>
          <w:lang w:val="pt-BR"/>
        </w:rPr>
        <w:t xml:space="preserve">Caso </w:t>
      </w:r>
      <w:r w:rsidR="00555106">
        <w:rPr>
          <w:rFonts w:asciiTheme="minorHAnsi" w:hAnsiTheme="minorHAnsi" w:cstheme="minorHAnsi"/>
          <w:kern w:val="0"/>
          <w:szCs w:val="20"/>
          <w:lang w:val="pt-BR"/>
        </w:rPr>
        <w:t>fosse</w:t>
      </w:r>
      <w:r w:rsidR="00555106" w:rsidRPr="001E6E9D">
        <w:rPr>
          <w:rFonts w:asciiTheme="minorHAnsi" w:hAnsiTheme="minorHAnsi" w:cstheme="minorHAnsi"/>
          <w:kern w:val="0"/>
          <w:szCs w:val="20"/>
          <w:lang w:val="pt-BR"/>
        </w:rPr>
        <w:t xml:space="preserve"> </w:t>
      </w:r>
      <w:r w:rsidRPr="001E6E9D">
        <w:rPr>
          <w:rFonts w:asciiTheme="minorHAnsi" w:hAnsiTheme="minorHAnsi" w:cstheme="minorHAnsi"/>
          <w:kern w:val="0"/>
          <w:szCs w:val="20"/>
          <w:lang w:val="pt-BR"/>
        </w:rPr>
        <w:t xml:space="preserve">verificado excesso de demanda, na taxa definitiva definida no Procedimento de </w:t>
      </w:r>
      <w:r w:rsidRPr="001E6E9D">
        <w:rPr>
          <w:rFonts w:asciiTheme="minorHAnsi" w:hAnsiTheme="minorHAnsi" w:cstheme="minorHAnsi"/>
          <w:i/>
          <w:iCs/>
          <w:kern w:val="0"/>
          <w:szCs w:val="20"/>
          <w:lang w:val="pt-BR"/>
        </w:rPr>
        <w:t>Bookbuilding</w:t>
      </w:r>
      <w:r w:rsidRPr="001E6E9D">
        <w:rPr>
          <w:rFonts w:asciiTheme="minorHAnsi" w:hAnsiTheme="minorHAnsi" w:cstheme="minorHAnsi"/>
          <w:kern w:val="0"/>
          <w:szCs w:val="20"/>
          <w:lang w:val="pt-BR"/>
        </w:rPr>
        <w:t>, o corte para todos os investidores, observado o disposto na Cláusula 3.6.1 acima, dever</w:t>
      </w:r>
      <w:r w:rsidR="00555106">
        <w:rPr>
          <w:rFonts w:asciiTheme="minorHAnsi" w:hAnsiTheme="minorHAnsi" w:cstheme="minorHAnsi"/>
          <w:kern w:val="0"/>
          <w:szCs w:val="20"/>
          <w:lang w:val="pt-BR"/>
        </w:rPr>
        <w:t>ia</w:t>
      </w:r>
      <w:r w:rsidRPr="001E6E9D">
        <w:rPr>
          <w:rFonts w:asciiTheme="minorHAnsi" w:hAnsiTheme="minorHAnsi" w:cstheme="minorHAnsi"/>
          <w:kern w:val="0"/>
          <w:szCs w:val="20"/>
          <w:lang w:val="pt-BR"/>
        </w:rPr>
        <w:t xml:space="preserve"> ser proporcional até o atingimento da totalidade dos valores mobiliários objeto da Oferta. Caso o excesso de demanda </w:t>
      </w:r>
      <w:r w:rsidR="00555106">
        <w:rPr>
          <w:rFonts w:asciiTheme="minorHAnsi" w:hAnsiTheme="minorHAnsi" w:cstheme="minorHAnsi"/>
          <w:kern w:val="0"/>
          <w:szCs w:val="20"/>
          <w:lang w:val="pt-BR"/>
        </w:rPr>
        <w:t>fosse</w:t>
      </w:r>
      <w:r w:rsidR="00555106" w:rsidRPr="001E6E9D">
        <w:rPr>
          <w:rFonts w:asciiTheme="minorHAnsi" w:hAnsiTheme="minorHAnsi" w:cstheme="minorHAnsi"/>
          <w:kern w:val="0"/>
          <w:szCs w:val="20"/>
          <w:lang w:val="pt-BR"/>
        </w:rPr>
        <w:t xml:space="preserve"> </w:t>
      </w:r>
      <w:r w:rsidRPr="001E6E9D">
        <w:rPr>
          <w:rFonts w:asciiTheme="minorHAnsi" w:hAnsiTheme="minorHAnsi" w:cstheme="minorHAnsi"/>
          <w:kern w:val="0"/>
          <w:szCs w:val="20"/>
          <w:lang w:val="pt-BR"/>
        </w:rPr>
        <w:t>superior em 1/3 (um terço) à quantidade das Debêntures inicialmente ofertadas, as ordens de Pessoas Vinculadas ser</w:t>
      </w:r>
      <w:r w:rsidR="00555106">
        <w:rPr>
          <w:rFonts w:asciiTheme="minorHAnsi" w:hAnsiTheme="minorHAnsi" w:cstheme="minorHAnsi"/>
          <w:kern w:val="0"/>
          <w:szCs w:val="20"/>
          <w:lang w:val="pt-BR"/>
        </w:rPr>
        <w:t>iam</w:t>
      </w:r>
      <w:r w:rsidRPr="001E6E9D">
        <w:rPr>
          <w:rFonts w:asciiTheme="minorHAnsi" w:hAnsiTheme="minorHAnsi" w:cstheme="minorHAnsi"/>
          <w:kern w:val="0"/>
          <w:szCs w:val="20"/>
          <w:lang w:val="pt-BR"/>
        </w:rPr>
        <w:t xml:space="preserve"> integralmente canceladas, exceto pelo disposto na Resolução CVM 160.</w:t>
      </w:r>
      <w:r w:rsidR="00555106">
        <w:rPr>
          <w:rFonts w:asciiTheme="minorHAnsi" w:hAnsiTheme="minorHAnsi" w:cstheme="minorHAnsi"/>
          <w:kern w:val="0"/>
          <w:szCs w:val="20"/>
          <w:lang w:val="pt-BR"/>
        </w:rPr>
        <w:t xml:space="preserve"> </w:t>
      </w:r>
      <w:r w:rsidR="00555106" w:rsidRPr="00555106">
        <w:rPr>
          <w:rFonts w:asciiTheme="minorHAnsi" w:hAnsiTheme="minorHAnsi" w:cstheme="minorHAnsi"/>
          <w:kern w:val="0"/>
          <w:szCs w:val="20"/>
          <w:lang w:val="pt-BR"/>
        </w:rPr>
        <w:t>Tendo em vista que não foi verificado excesso de demanda superior em 1/3 (um terço) das Debêntures</w:t>
      </w:r>
      <w:r w:rsidR="00555106">
        <w:rPr>
          <w:rFonts w:asciiTheme="minorHAnsi" w:hAnsiTheme="minorHAnsi" w:cstheme="minorHAnsi"/>
          <w:kern w:val="0"/>
          <w:szCs w:val="20"/>
          <w:lang w:val="pt-BR"/>
        </w:rPr>
        <w:t xml:space="preserve"> </w:t>
      </w:r>
      <w:r w:rsidR="00555106" w:rsidRPr="00555106">
        <w:rPr>
          <w:rFonts w:asciiTheme="minorHAnsi" w:hAnsiTheme="minorHAnsi" w:cstheme="minorHAnsi"/>
          <w:kern w:val="0"/>
          <w:szCs w:val="20"/>
          <w:lang w:val="pt-BR"/>
        </w:rPr>
        <w:t>ofertadas, não haverá limitação para participação de Pessoas Vinculadas na Oferta.</w:t>
      </w:r>
      <w:r w:rsidR="00555106">
        <w:rPr>
          <w:rFonts w:asciiTheme="minorHAnsi" w:hAnsiTheme="minorHAnsi" w:cstheme="minorHAnsi"/>
          <w:kern w:val="0"/>
          <w:szCs w:val="20"/>
          <w:lang w:val="pt-BR"/>
        </w:rPr>
        <w:t xml:space="preserve"> </w:t>
      </w:r>
    </w:p>
    <w:p w14:paraId="6C540C93" w14:textId="77777777" w:rsidR="00065DBC" w:rsidRPr="001E6E9D" w:rsidRDefault="00A271B3" w:rsidP="009B6FF9">
      <w:pPr>
        <w:pStyle w:val="Level3"/>
        <w:numPr>
          <w:ilvl w:val="2"/>
          <w:numId w:val="0"/>
        </w:numPr>
        <w:tabs>
          <w:tab w:val="num" w:pos="142"/>
        </w:tabs>
        <w:spacing w:after="160" w:line="240" w:lineRule="auto"/>
        <w:rPr>
          <w:rFonts w:asciiTheme="minorHAnsi" w:hAnsiTheme="minorHAnsi" w:cstheme="minorHAnsi"/>
          <w:kern w:val="0"/>
          <w:szCs w:val="20"/>
          <w:lang w:val="pt-BR"/>
        </w:rPr>
      </w:pPr>
      <w:r w:rsidRPr="001E6E9D">
        <w:rPr>
          <w:rFonts w:asciiTheme="minorHAnsi" w:hAnsiTheme="minorHAnsi" w:cstheme="minorHAnsi"/>
          <w:bCs/>
          <w:kern w:val="0"/>
          <w:szCs w:val="20"/>
          <w:lang w:val="pt-BR" w:eastAsia="x-none"/>
        </w:rPr>
        <w:t xml:space="preserve">Nos </w:t>
      </w:r>
      <w:r w:rsidRPr="001E6E9D">
        <w:rPr>
          <w:rFonts w:asciiTheme="minorHAnsi" w:hAnsiTheme="minorHAnsi" w:cstheme="minorHAnsi"/>
          <w:kern w:val="0"/>
          <w:szCs w:val="20"/>
          <w:lang w:val="pt-BR"/>
        </w:rPr>
        <w:t>termos</w:t>
      </w:r>
      <w:r w:rsidRPr="001E6E9D">
        <w:rPr>
          <w:rFonts w:asciiTheme="minorHAnsi" w:hAnsiTheme="minorHAnsi" w:cstheme="minorHAnsi"/>
          <w:bCs/>
          <w:kern w:val="0"/>
          <w:szCs w:val="20"/>
          <w:lang w:val="pt-BR" w:eastAsia="x-none"/>
        </w:rPr>
        <w:t xml:space="preserve"> dos parágrafos 4º e 5º do artigo 56 da Resolução CVM 160, foram adotadas precauções suficientes e passíveis de comprovação para mitigar as possibilidades de favorecimento e utilização de informação para obtenção de vantagem indevida pelas Pessoas Vinculadas, conforme descritas abaixo:</w:t>
      </w:r>
    </w:p>
    <w:p w14:paraId="3822EA18" w14:textId="15B6DD06" w:rsidR="00065DBC" w:rsidRPr="001E6E9D" w:rsidRDefault="00065DBC" w:rsidP="009B6FF9">
      <w:pPr>
        <w:spacing w:after="160"/>
        <w:ind w:left="567" w:hanging="567"/>
        <w:rPr>
          <w:rFonts w:asciiTheme="minorHAnsi" w:hAnsiTheme="minorHAnsi" w:cstheme="minorHAnsi"/>
          <w:szCs w:val="20"/>
          <w:lang w:eastAsia="x-none"/>
        </w:rPr>
      </w:pPr>
      <w:r w:rsidRPr="001E6E9D">
        <w:rPr>
          <w:rFonts w:asciiTheme="minorHAnsi" w:hAnsiTheme="minorHAnsi" w:cstheme="minorHAnsi"/>
          <w:bCs/>
          <w:szCs w:val="20"/>
          <w:lang w:eastAsia="x-none"/>
        </w:rPr>
        <w:t>(i)</w:t>
      </w:r>
      <w:r w:rsidRPr="001E6E9D">
        <w:rPr>
          <w:rFonts w:asciiTheme="minorHAnsi" w:hAnsiTheme="minorHAnsi" w:cstheme="minorHAnsi"/>
          <w:bCs/>
          <w:szCs w:val="20"/>
          <w:lang w:eastAsia="x-none"/>
        </w:rPr>
        <w:tab/>
      </w:r>
      <w:r w:rsidR="00A271B3" w:rsidRPr="001E6E9D">
        <w:rPr>
          <w:rFonts w:asciiTheme="minorHAnsi" w:hAnsiTheme="minorHAnsi" w:cstheme="minorHAnsi"/>
          <w:szCs w:val="20"/>
          <w:lang w:eastAsia="x-none"/>
        </w:rPr>
        <w:t>o deslocamento da data de término dos pedidos de reserva efetuados por Pessoas Vinculadas para data que anteceder, no mínimo, 7 (sete) dias úteis ao encerramento da coleta de intenções de investimento, conforme cronograma da Oferta previsto no Prospecto; e</w:t>
      </w:r>
    </w:p>
    <w:p w14:paraId="509DEA58" w14:textId="101AE13E" w:rsidR="00065DBC" w:rsidRPr="001E6E9D" w:rsidRDefault="00065DBC" w:rsidP="009B6FF9">
      <w:pPr>
        <w:spacing w:after="160"/>
        <w:ind w:left="567" w:hanging="567"/>
        <w:rPr>
          <w:rFonts w:asciiTheme="minorHAnsi" w:hAnsiTheme="minorHAnsi" w:cstheme="minorHAnsi"/>
          <w:szCs w:val="20"/>
          <w:lang w:eastAsia="x-none"/>
        </w:rPr>
      </w:pPr>
      <w:r w:rsidRPr="001E6E9D">
        <w:rPr>
          <w:rFonts w:asciiTheme="minorHAnsi" w:hAnsiTheme="minorHAnsi" w:cstheme="minorHAnsi"/>
          <w:bCs/>
          <w:szCs w:val="20"/>
          <w:lang w:eastAsia="x-none"/>
        </w:rPr>
        <w:t>(ii)</w:t>
      </w:r>
      <w:r w:rsidRPr="001E6E9D">
        <w:rPr>
          <w:rFonts w:asciiTheme="minorHAnsi" w:hAnsiTheme="minorHAnsi" w:cstheme="minorHAnsi"/>
          <w:bCs/>
          <w:szCs w:val="20"/>
          <w:lang w:eastAsia="x-none"/>
        </w:rPr>
        <w:tab/>
      </w:r>
      <w:r w:rsidR="00A271B3" w:rsidRPr="001E6E9D">
        <w:rPr>
          <w:rFonts w:asciiTheme="minorHAnsi" w:hAnsiTheme="minorHAnsi" w:cstheme="minorHAnsi"/>
          <w:szCs w:val="20"/>
          <w:lang w:eastAsia="x-none"/>
        </w:rPr>
        <w:t xml:space="preserve">os Investidores Qualificados que sejam Pessoas Vinculadas não </w:t>
      </w:r>
      <w:r w:rsidR="00F01B02">
        <w:rPr>
          <w:rFonts w:asciiTheme="minorHAnsi" w:hAnsiTheme="minorHAnsi" w:cstheme="minorHAnsi"/>
          <w:szCs w:val="20"/>
          <w:lang w:eastAsia="x-none"/>
        </w:rPr>
        <w:t>foram</w:t>
      </w:r>
      <w:r w:rsidR="00F01B02" w:rsidRPr="001E6E9D">
        <w:rPr>
          <w:rFonts w:asciiTheme="minorHAnsi" w:hAnsiTheme="minorHAnsi" w:cstheme="minorHAnsi"/>
          <w:szCs w:val="20"/>
          <w:lang w:eastAsia="x-none"/>
        </w:rPr>
        <w:t xml:space="preserve"> </w:t>
      </w:r>
      <w:r w:rsidR="00A271B3" w:rsidRPr="001E6E9D">
        <w:rPr>
          <w:rFonts w:asciiTheme="minorHAnsi" w:hAnsiTheme="minorHAnsi" w:cstheme="minorHAnsi"/>
          <w:szCs w:val="20"/>
          <w:lang w:eastAsia="x-none"/>
        </w:rPr>
        <w:t xml:space="preserve">considerados no processo de definição da taxa final </w:t>
      </w:r>
      <w:r w:rsidR="00A271B3" w:rsidRPr="001E6E9D">
        <w:rPr>
          <w:rFonts w:asciiTheme="minorHAnsi" w:eastAsia="Arial" w:hAnsiTheme="minorHAnsi" w:cstheme="minorHAnsi"/>
          <w:spacing w:val="-3"/>
          <w:szCs w:val="20"/>
        </w:rPr>
        <w:t>dos Juros Remuneratórios</w:t>
      </w:r>
      <w:r w:rsidR="00A271B3" w:rsidRPr="001E6E9D">
        <w:rPr>
          <w:rFonts w:asciiTheme="minorHAnsi" w:hAnsiTheme="minorHAnsi" w:cstheme="minorHAnsi"/>
          <w:szCs w:val="20"/>
          <w:lang w:eastAsia="x-none"/>
        </w:rPr>
        <w:t>, isto é, não participar</w:t>
      </w:r>
      <w:r w:rsidR="00F01B02">
        <w:rPr>
          <w:rFonts w:asciiTheme="minorHAnsi" w:hAnsiTheme="minorHAnsi" w:cstheme="minorHAnsi"/>
          <w:szCs w:val="20"/>
          <w:lang w:eastAsia="x-none"/>
        </w:rPr>
        <w:t>am</w:t>
      </w:r>
      <w:r w:rsidR="00A271B3" w:rsidRPr="001E6E9D">
        <w:rPr>
          <w:rFonts w:asciiTheme="minorHAnsi" w:hAnsiTheme="minorHAnsi" w:cstheme="minorHAnsi"/>
          <w:szCs w:val="20"/>
          <w:lang w:eastAsia="x-none"/>
        </w:rPr>
        <w:t xml:space="preserve"> do Procedimento de Bookbuilding, ficando permitida somente a indicação de taxa mínima </w:t>
      </w:r>
      <w:r w:rsidR="00A271B3" w:rsidRPr="001E6E9D">
        <w:rPr>
          <w:rFonts w:asciiTheme="minorHAnsi" w:eastAsia="Arial" w:hAnsiTheme="minorHAnsi" w:cstheme="minorHAnsi"/>
          <w:spacing w:val="-3"/>
          <w:szCs w:val="20"/>
        </w:rPr>
        <w:t>dos Juros Remuneratórios</w:t>
      </w:r>
      <w:r w:rsidR="00A271B3" w:rsidRPr="001E6E9D">
        <w:rPr>
          <w:rFonts w:asciiTheme="minorHAnsi" w:hAnsiTheme="minorHAnsi" w:cstheme="minorHAnsi"/>
          <w:szCs w:val="20"/>
          <w:lang w:eastAsia="x-none"/>
        </w:rPr>
        <w:t xml:space="preserve"> considerada para sua alocação e participação na Oferta, que não </w:t>
      </w:r>
      <w:r w:rsidR="00F01B02">
        <w:rPr>
          <w:rFonts w:asciiTheme="minorHAnsi" w:hAnsiTheme="minorHAnsi" w:cstheme="minorHAnsi"/>
          <w:szCs w:val="20"/>
          <w:lang w:eastAsia="x-none"/>
        </w:rPr>
        <w:t>foi</w:t>
      </w:r>
      <w:r w:rsidR="00A271B3" w:rsidRPr="001E6E9D">
        <w:rPr>
          <w:rFonts w:asciiTheme="minorHAnsi" w:hAnsiTheme="minorHAnsi" w:cstheme="minorHAnsi"/>
          <w:szCs w:val="20"/>
          <w:lang w:eastAsia="x-none"/>
        </w:rPr>
        <w:t xml:space="preserve">, sob quaisquer circunstâncias, utilizada para definição da taxa final </w:t>
      </w:r>
      <w:r w:rsidR="00A271B3" w:rsidRPr="001E6E9D">
        <w:rPr>
          <w:rFonts w:asciiTheme="minorHAnsi" w:eastAsia="Arial" w:hAnsiTheme="minorHAnsi" w:cstheme="minorHAnsi"/>
          <w:spacing w:val="-3"/>
          <w:szCs w:val="20"/>
        </w:rPr>
        <w:t>dos Juros Remuneratórios</w:t>
      </w:r>
      <w:r w:rsidR="00A271B3" w:rsidRPr="001E6E9D">
        <w:rPr>
          <w:rFonts w:asciiTheme="minorHAnsi" w:hAnsiTheme="minorHAnsi" w:cstheme="minorHAnsi"/>
          <w:szCs w:val="20"/>
          <w:lang w:eastAsia="x-none"/>
        </w:rPr>
        <w:t>:</w:t>
      </w:r>
    </w:p>
    <w:p w14:paraId="62AC4A41" w14:textId="444BA455" w:rsidR="00065DBC" w:rsidRPr="001E6E9D" w:rsidRDefault="00680A4C" w:rsidP="009B6FF9">
      <w:pPr>
        <w:spacing w:after="160"/>
        <w:rPr>
          <w:rFonts w:asciiTheme="minorHAnsi" w:hAnsiTheme="minorHAnsi" w:cstheme="minorHAnsi"/>
          <w:szCs w:val="20"/>
          <w:lang w:eastAsia="x-none"/>
        </w:rPr>
      </w:pPr>
      <w:r>
        <w:rPr>
          <w:rFonts w:asciiTheme="minorHAnsi" w:hAnsiTheme="minorHAnsi" w:cstheme="minorHAnsi"/>
          <w:szCs w:val="20"/>
          <w:lang w:eastAsia="x-none"/>
        </w:rPr>
        <w:t>a)</w:t>
      </w:r>
      <w:r w:rsidR="00065DBC" w:rsidRPr="001E6E9D">
        <w:rPr>
          <w:rFonts w:asciiTheme="minorHAnsi" w:hAnsiTheme="minorHAnsi" w:cstheme="minorHAnsi"/>
          <w:szCs w:val="20"/>
          <w:lang w:eastAsia="x-none"/>
        </w:rPr>
        <w:tab/>
      </w:r>
      <w:r w:rsidR="00A271B3" w:rsidRPr="001E6E9D">
        <w:rPr>
          <w:rFonts w:asciiTheme="minorHAnsi" w:hAnsiTheme="minorHAnsi" w:cstheme="minorHAnsi"/>
          <w:szCs w:val="20"/>
          <w:lang w:eastAsia="x-none"/>
        </w:rPr>
        <w:t xml:space="preserve">restrições à sua participação junto </w:t>
      </w:r>
      <w:r w:rsidR="00F01B02">
        <w:rPr>
          <w:rFonts w:asciiTheme="minorHAnsi" w:hAnsiTheme="minorHAnsi" w:cstheme="minorHAnsi"/>
          <w:szCs w:val="20"/>
          <w:lang w:eastAsia="x-none"/>
        </w:rPr>
        <w:t>a</w:t>
      </w:r>
      <w:r w:rsidR="00A271B3" w:rsidRPr="001E6E9D">
        <w:rPr>
          <w:rFonts w:asciiTheme="minorHAnsi" w:hAnsiTheme="minorHAnsi" w:cstheme="minorHAnsi"/>
          <w:szCs w:val="20"/>
          <w:lang w:eastAsia="x-none"/>
        </w:rPr>
        <w:t xml:space="preserve"> uma única instituição participante da Oferta;</w:t>
      </w:r>
    </w:p>
    <w:p w14:paraId="3259BE23" w14:textId="6FF553F6" w:rsidR="00065DBC" w:rsidRPr="001E6E9D" w:rsidRDefault="00680A4C" w:rsidP="009B6FF9">
      <w:pPr>
        <w:spacing w:after="160"/>
        <w:rPr>
          <w:rFonts w:asciiTheme="minorHAnsi" w:hAnsiTheme="minorHAnsi" w:cstheme="minorHAnsi"/>
          <w:szCs w:val="20"/>
          <w:lang w:eastAsia="x-none"/>
        </w:rPr>
      </w:pPr>
      <w:r>
        <w:rPr>
          <w:rFonts w:asciiTheme="minorHAnsi" w:hAnsiTheme="minorHAnsi" w:cstheme="minorHAnsi"/>
          <w:szCs w:val="20"/>
          <w:lang w:eastAsia="x-none"/>
        </w:rPr>
        <w:t>b</w:t>
      </w:r>
      <w:r w:rsidR="00065DBC" w:rsidRPr="001E6E9D">
        <w:rPr>
          <w:rFonts w:asciiTheme="minorHAnsi" w:hAnsiTheme="minorHAnsi" w:cstheme="minorHAnsi"/>
          <w:szCs w:val="20"/>
          <w:lang w:eastAsia="x-none"/>
        </w:rPr>
        <w:t>)</w:t>
      </w:r>
      <w:r w:rsidR="00065DBC" w:rsidRPr="001E6E9D">
        <w:rPr>
          <w:rFonts w:asciiTheme="minorHAnsi" w:hAnsiTheme="minorHAnsi" w:cstheme="minorHAnsi"/>
          <w:szCs w:val="20"/>
          <w:lang w:eastAsia="x-none"/>
        </w:rPr>
        <w:tab/>
      </w:r>
      <w:r w:rsidR="00A271B3" w:rsidRPr="001E6E9D">
        <w:rPr>
          <w:rFonts w:asciiTheme="minorHAnsi" w:hAnsiTheme="minorHAnsi" w:cstheme="minorHAnsi"/>
          <w:szCs w:val="20"/>
          <w:lang w:eastAsia="x-none"/>
        </w:rPr>
        <w:t>não particip</w:t>
      </w:r>
      <w:r w:rsidR="00F01B02">
        <w:rPr>
          <w:rFonts w:asciiTheme="minorHAnsi" w:hAnsiTheme="minorHAnsi" w:cstheme="minorHAnsi"/>
          <w:szCs w:val="20"/>
          <w:lang w:eastAsia="x-none"/>
        </w:rPr>
        <w:t>ação</w:t>
      </w:r>
      <w:r w:rsidR="00A271B3" w:rsidRPr="001E6E9D">
        <w:rPr>
          <w:rFonts w:asciiTheme="minorHAnsi" w:hAnsiTheme="minorHAnsi" w:cstheme="minorHAnsi"/>
          <w:szCs w:val="20"/>
          <w:lang w:eastAsia="x-none"/>
        </w:rPr>
        <w:t xml:space="preserve"> do processo de formação de preços no Procedimento de </w:t>
      </w:r>
      <w:r w:rsidR="00A271B3" w:rsidRPr="001E6E9D">
        <w:rPr>
          <w:rFonts w:asciiTheme="minorHAnsi" w:hAnsiTheme="minorHAnsi" w:cstheme="minorHAnsi"/>
          <w:i/>
          <w:szCs w:val="20"/>
        </w:rPr>
        <w:t>Bookbuilding</w:t>
      </w:r>
      <w:r w:rsidR="00A271B3" w:rsidRPr="001E6E9D">
        <w:rPr>
          <w:rFonts w:asciiTheme="minorHAnsi" w:hAnsiTheme="minorHAnsi" w:cstheme="minorHAnsi"/>
          <w:szCs w:val="20"/>
          <w:lang w:eastAsia="x-none"/>
        </w:rPr>
        <w:t>; e</w:t>
      </w:r>
    </w:p>
    <w:p w14:paraId="295A9DC8" w14:textId="14BE603A" w:rsidR="00065DBC" w:rsidRPr="001E6E9D" w:rsidRDefault="00680A4C" w:rsidP="009B6FF9">
      <w:pPr>
        <w:spacing w:after="160"/>
        <w:rPr>
          <w:rFonts w:asciiTheme="minorHAnsi" w:hAnsiTheme="minorHAnsi" w:cstheme="minorHAnsi"/>
          <w:szCs w:val="20"/>
        </w:rPr>
      </w:pPr>
      <w:r>
        <w:rPr>
          <w:rFonts w:asciiTheme="minorHAnsi" w:hAnsiTheme="minorHAnsi" w:cstheme="minorHAnsi"/>
          <w:szCs w:val="20"/>
        </w:rPr>
        <w:t>c</w:t>
      </w:r>
      <w:r w:rsidR="00065DBC" w:rsidRPr="001E6E9D">
        <w:rPr>
          <w:rFonts w:asciiTheme="minorHAnsi" w:hAnsiTheme="minorHAnsi" w:cstheme="minorHAnsi"/>
          <w:szCs w:val="20"/>
        </w:rPr>
        <w:t>)</w:t>
      </w:r>
      <w:r w:rsidR="00065DBC" w:rsidRPr="001E6E9D">
        <w:rPr>
          <w:rFonts w:asciiTheme="minorHAnsi" w:hAnsiTheme="minorHAnsi" w:cstheme="minorHAnsi"/>
          <w:szCs w:val="20"/>
        </w:rPr>
        <w:tab/>
      </w:r>
      <w:r w:rsidR="00A271B3" w:rsidRPr="001E6E9D">
        <w:rPr>
          <w:rFonts w:asciiTheme="minorHAnsi" w:hAnsiTheme="minorHAnsi" w:cstheme="minorHAnsi"/>
          <w:szCs w:val="20"/>
          <w:lang w:eastAsia="x-none"/>
        </w:rPr>
        <w:t>desde que sejam rateados proporcionalmente em caso de excesso de demanda.</w:t>
      </w:r>
    </w:p>
    <w:p w14:paraId="521CD485" w14:textId="575B18D2" w:rsidR="00065DBC" w:rsidRPr="001E6E9D" w:rsidRDefault="00A271B3" w:rsidP="009B6FF9">
      <w:pPr>
        <w:pStyle w:val="Level3"/>
        <w:numPr>
          <w:ilvl w:val="1"/>
          <w:numId w:val="0"/>
        </w:numPr>
        <w:spacing w:after="160" w:line="240" w:lineRule="auto"/>
        <w:rPr>
          <w:rFonts w:asciiTheme="minorHAnsi" w:hAnsiTheme="minorHAnsi" w:cstheme="minorHAnsi"/>
          <w:spacing w:val="-2"/>
          <w:kern w:val="0"/>
          <w:szCs w:val="20"/>
          <w:lang w:val="pt-BR"/>
        </w:rPr>
      </w:pPr>
      <w:r w:rsidRPr="001E6E9D">
        <w:rPr>
          <w:rFonts w:asciiTheme="minorHAnsi" w:hAnsiTheme="minorHAnsi" w:cstheme="minorHAnsi"/>
          <w:spacing w:val="-2"/>
          <w:kern w:val="0"/>
          <w:szCs w:val="20"/>
          <w:lang w:val="pt-BR"/>
        </w:rPr>
        <w:t xml:space="preserve">Após o início da Oferta a Mercado, e até a data estipulada no </w:t>
      </w:r>
      <w:r w:rsidRPr="001E6E9D">
        <w:rPr>
          <w:rFonts w:asciiTheme="minorHAnsi" w:hAnsiTheme="minorHAnsi" w:cstheme="minorHAnsi"/>
          <w:bCs/>
          <w:spacing w:val="-2"/>
          <w:kern w:val="0"/>
          <w:szCs w:val="20"/>
          <w:lang w:val="pt-BR"/>
        </w:rPr>
        <w:t>Prospecto Preliminar</w:t>
      </w:r>
      <w:r w:rsidRPr="001E6E9D">
        <w:rPr>
          <w:rFonts w:asciiTheme="minorHAnsi" w:hAnsiTheme="minorHAnsi" w:cstheme="minorHAnsi"/>
          <w:spacing w:val="-2"/>
          <w:kern w:val="0"/>
          <w:szCs w:val="20"/>
          <w:lang w:val="pt-BR"/>
        </w:rPr>
        <w:t xml:space="preserve"> (</w:t>
      </w:r>
      <w:r w:rsidR="000D5E35" w:rsidRPr="001E6E9D">
        <w:rPr>
          <w:rFonts w:asciiTheme="minorHAnsi" w:hAnsiTheme="minorHAnsi" w:cstheme="minorHAnsi"/>
          <w:spacing w:val="-2"/>
          <w:kern w:val="0"/>
          <w:szCs w:val="20"/>
          <w:lang w:val="pt-BR"/>
        </w:rPr>
        <w:t>“</w:t>
      </w:r>
      <w:r w:rsidRPr="001E6E9D">
        <w:rPr>
          <w:rFonts w:asciiTheme="minorHAnsi" w:hAnsiTheme="minorHAnsi" w:cstheme="minorHAnsi"/>
          <w:bCs/>
          <w:spacing w:val="-2"/>
          <w:kern w:val="0"/>
          <w:szCs w:val="20"/>
          <w:u w:val="single"/>
          <w:lang w:val="pt-BR"/>
        </w:rPr>
        <w:t>Período de Reserva</w:t>
      </w:r>
      <w:r w:rsidRPr="001E6E9D">
        <w:rPr>
          <w:rFonts w:asciiTheme="minorHAnsi" w:hAnsiTheme="minorHAnsi" w:cstheme="minorHAnsi"/>
          <w:spacing w:val="-2"/>
          <w:kern w:val="0"/>
          <w:szCs w:val="20"/>
          <w:lang w:val="pt-BR"/>
        </w:rPr>
        <w:t xml:space="preserve">”), os Investidores Qualificados interessados na subscrição das Debêntures Incentivadas </w:t>
      </w:r>
      <w:r w:rsidR="00AD297E">
        <w:rPr>
          <w:rFonts w:asciiTheme="minorHAnsi" w:hAnsiTheme="minorHAnsi" w:cstheme="minorHAnsi"/>
          <w:spacing w:val="-2"/>
          <w:kern w:val="0"/>
          <w:szCs w:val="20"/>
          <w:lang w:val="pt-BR"/>
        </w:rPr>
        <w:t>enviaram</w:t>
      </w:r>
      <w:r w:rsidRPr="001E6E9D">
        <w:rPr>
          <w:rFonts w:asciiTheme="minorHAnsi" w:hAnsiTheme="minorHAnsi" w:cstheme="minorHAnsi"/>
          <w:spacing w:val="-2"/>
          <w:kern w:val="0"/>
          <w:szCs w:val="20"/>
          <w:lang w:val="pt-BR"/>
        </w:rPr>
        <w:t xml:space="preserve"> solicitação de reserva para subscrição das Debêntures Incentivadas (</w:t>
      </w:r>
      <w:r w:rsidR="000D5E35" w:rsidRPr="001E6E9D">
        <w:rPr>
          <w:rFonts w:asciiTheme="minorHAnsi" w:hAnsiTheme="minorHAnsi" w:cstheme="minorHAnsi"/>
          <w:spacing w:val="-2"/>
          <w:kern w:val="0"/>
          <w:szCs w:val="20"/>
          <w:lang w:val="pt-BR"/>
        </w:rPr>
        <w:t>“</w:t>
      </w:r>
      <w:r w:rsidRPr="001E6E9D">
        <w:rPr>
          <w:rFonts w:asciiTheme="minorHAnsi" w:hAnsiTheme="minorHAnsi" w:cstheme="minorHAnsi"/>
          <w:bCs/>
          <w:spacing w:val="-2"/>
          <w:kern w:val="0"/>
          <w:szCs w:val="20"/>
          <w:u w:val="single"/>
          <w:lang w:val="pt-BR"/>
        </w:rPr>
        <w:t>Pedido de Reserva</w:t>
      </w:r>
      <w:r w:rsidRPr="001E6E9D">
        <w:rPr>
          <w:rFonts w:asciiTheme="minorHAnsi" w:hAnsiTheme="minorHAnsi" w:cstheme="minorHAnsi"/>
          <w:spacing w:val="-2"/>
          <w:kern w:val="0"/>
          <w:szCs w:val="20"/>
          <w:lang w:val="pt-BR"/>
        </w:rPr>
        <w:t xml:space="preserve">”) aos Coordenadores e, na data de realização do </w:t>
      </w:r>
      <w:r w:rsidRPr="001E6E9D">
        <w:rPr>
          <w:rFonts w:asciiTheme="minorHAnsi" w:hAnsiTheme="minorHAnsi" w:cstheme="minorHAnsi"/>
          <w:spacing w:val="-2"/>
          <w:kern w:val="0"/>
          <w:szCs w:val="20"/>
          <w:lang w:val="pt-BR"/>
        </w:rPr>
        <w:lastRenderedPageBreak/>
        <w:t xml:space="preserve">Procedimento de </w:t>
      </w:r>
      <w:r w:rsidRPr="001E6E9D">
        <w:rPr>
          <w:rFonts w:asciiTheme="minorHAnsi" w:hAnsiTheme="minorHAnsi" w:cstheme="minorHAnsi"/>
          <w:i/>
          <w:iCs/>
          <w:spacing w:val="-2"/>
          <w:kern w:val="0"/>
          <w:szCs w:val="20"/>
          <w:lang w:val="pt-BR"/>
        </w:rPr>
        <w:t>Bookbuilding</w:t>
      </w:r>
      <w:r w:rsidRPr="001E6E9D">
        <w:rPr>
          <w:rFonts w:asciiTheme="minorHAnsi" w:hAnsiTheme="minorHAnsi" w:cstheme="minorHAnsi"/>
          <w:spacing w:val="-2"/>
          <w:kern w:val="0"/>
          <w:szCs w:val="20"/>
          <w:lang w:val="pt-BR"/>
        </w:rPr>
        <w:t>,</w:t>
      </w:r>
      <w:r w:rsidRPr="001E6E9D">
        <w:rPr>
          <w:rFonts w:asciiTheme="minorHAnsi" w:hAnsiTheme="minorHAnsi" w:cstheme="minorHAnsi"/>
          <w:i/>
          <w:iCs/>
          <w:spacing w:val="-2"/>
          <w:kern w:val="0"/>
          <w:szCs w:val="20"/>
          <w:lang w:val="pt-BR"/>
        </w:rPr>
        <w:t xml:space="preserve"> </w:t>
      </w:r>
      <w:r w:rsidRPr="001E6E9D">
        <w:rPr>
          <w:rFonts w:asciiTheme="minorHAnsi" w:hAnsiTheme="minorHAnsi" w:cstheme="minorHAnsi"/>
          <w:spacing w:val="-2"/>
          <w:kern w:val="0"/>
          <w:szCs w:val="20"/>
          <w:lang w:val="pt-BR"/>
        </w:rPr>
        <w:t xml:space="preserve">os Investidores Qualificados interessados na subscrição das Debêntures Incentivadas </w:t>
      </w:r>
      <w:r w:rsidR="00AD297E">
        <w:rPr>
          <w:rFonts w:asciiTheme="minorHAnsi" w:hAnsiTheme="minorHAnsi" w:cstheme="minorHAnsi"/>
          <w:spacing w:val="-2"/>
          <w:kern w:val="0"/>
          <w:szCs w:val="20"/>
          <w:lang w:val="pt-BR"/>
        </w:rPr>
        <w:t>puderam</w:t>
      </w:r>
      <w:r w:rsidR="00AD297E" w:rsidRPr="001E6E9D">
        <w:rPr>
          <w:rFonts w:asciiTheme="minorHAnsi" w:hAnsiTheme="minorHAnsi" w:cstheme="minorHAnsi"/>
          <w:spacing w:val="-2"/>
          <w:kern w:val="0"/>
          <w:szCs w:val="20"/>
          <w:lang w:val="pt-BR"/>
        </w:rPr>
        <w:t xml:space="preserve"> </w:t>
      </w:r>
      <w:r w:rsidRPr="001E6E9D">
        <w:rPr>
          <w:rFonts w:asciiTheme="minorHAnsi" w:hAnsiTheme="minorHAnsi" w:cstheme="minorHAnsi"/>
          <w:spacing w:val="-2"/>
          <w:kern w:val="0"/>
          <w:szCs w:val="20"/>
          <w:lang w:val="pt-BR"/>
        </w:rPr>
        <w:t>enviar ordens de investimento (</w:t>
      </w:r>
      <w:r w:rsidR="000D5E35" w:rsidRPr="001E6E9D">
        <w:rPr>
          <w:rFonts w:asciiTheme="minorHAnsi" w:hAnsiTheme="minorHAnsi" w:cstheme="minorHAnsi"/>
          <w:spacing w:val="-2"/>
          <w:kern w:val="0"/>
          <w:szCs w:val="20"/>
          <w:lang w:val="pt-BR"/>
        </w:rPr>
        <w:t>“</w:t>
      </w:r>
      <w:r w:rsidRPr="001E6E9D">
        <w:rPr>
          <w:rFonts w:asciiTheme="minorHAnsi" w:hAnsiTheme="minorHAnsi" w:cstheme="minorHAnsi"/>
          <w:bCs/>
          <w:spacing w:val="-2"/>
          <w:kern w:val="0"/>
          <w:szCs w:val="20"/>
          <w:u w:val="single"/>
          <w:lang w:val="pt-BR"/>
        </w:rPr>
        <w:t>Ordem de Investimento</w:t>
      </w:r>
      <w:r w:rsidRPr="001E6E9D">
        <w:rPr>
          <w:rFonts w:asciiTheme="minorHAnsi" w:hAnsiTheme="minorHAnsi" w:cstheme="minorHAnsi"/>
          <w:spacing w:val="-2"/>
          <w:kern w:val="0"/>
          <w:szCs w:val="20"/>
          <w:lang w:val="pt-BR"/>
        </w:rPr>
        <w:t xml:space="preserve">”) aos Coordenadores. </w:t>
      </w:r>
    </w:p>
    <w:p w14:paraId="4286D88C" w14:textId="4B6F3F73" w:rsidR="00065DBC" w:rsidRPr="001E6E9D" w:rsidRDefault="00A271B3" w:rsidP="00DC7081">
      <w:pPr>
        <w:pStyle w:val="Level3"/>
        <w:numPr>
          <w:ilvl w:val="2"/>
          <w:numId w:val="0"/>
        </w:numPr>
        <w:tabs>
          <w:tab w:val="num" w:pos="142"/>
        </w:tabs>
        <w:spacing w:after="200"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 xml:space="preserve">Os Investidores Qualificados </w:t>
      </w:r>
      <w:r w:rsidR="00AC236D">
        <w:rPr>
          <w:rFonts w:asciiTheme="minorHAnsi" w:hAnsiTheme="minorHAnsi" w:cstheme="minorHAnsi"/>
          <w:kern w:val="0"/>
          <w:szCs w:val="20"/>
          <w:lang w:val="pt-BR"/>
        </w:rPr>
        <w:t>indicaram</w:t>
      </w:r>
      <w:r w:rsidRPr="001E6E9D">
        <w:rPr>
          <w:rFonts w:asciiTheme="minorHAnsi" w:hAnsiTheme="minorHAnsi" w:cstheme="minorHAnsi"/>
          <w:kern w:val="0"/>
          <w:szCs w:val="20"/>
          <w:lang w:val="pt-BR"/>
        </w:rPr>
        <w:t xml:space="preserve"> na Ordem de Investimento ou no Pedido de Reserva, conforme o caso: </w:t>
      </w:r>
      <w:r w:rsidRPr="001E6E9D">
        <w:rPr>
          <w:rFonts w:asciiTheme="minorHAnsi" w:hAnsiTheme="minorHAnsi" w:cstheme="minorHAnsi"/>
          <w:b/>
          <w:bCs/>
          <w:kern w:val="0"/>
          <w:szCs w:val="20"/>
          <w:lang w:val="pt-BR"/>
        </w:rPr>
        <w:t>(i)</w:t>
      </w:r>
      <w:r w:rsidRPr="001E6E9D">
        <w:rPr>
          <w:rFonts w:asciiTheme="minorHAnsi" w:hAnsiTheme="minorHAnsi" w:cstheme="minorHAnsi"/>
          <w:kern w:val="0"/>
          <w:szCs w:val="20"/>
          <w:lang w:val="pt-BR"/>
        </w:rPr>
        <w:t xml:space="preserve"> taxas mínimas para a Remuneração das Debêntures Incentivadas, desde que não </w:t>
      </w:r>
      <w:r w:rsidR="00AD297E">
        <w:rPr>
          <w:rFonts w:asciiTheme="minorHAnsi" w:hAnsiTheme="minorHAnsi" w:cstheme="minorHAnsi"/>
          <w:kern w:val="0"/>
          <w:szCs w:val="20"/>
          <w:lang w:val="pt-BR"/>
        </w:rPr>
        <w:t>fossem</w:t>
      </w:r>
      <w:r w:rsidR="00AD297E" w:rsidRPr="001E6E9D">
        <w:rPr>
          <w:rFonts w:asciiTheme="minorHAnsi" w:hAnsiTheme="minorHAnsi" w:cstheme="minorHAnsi"/>
          <w:kern w:val="0"/>
          <w:szCs w:val="20"/>
          <w:lang w:val="pt-BR"/>
        </w:rPr>
        <w:t xml:space="preserve"> </w:t>
      </w:r>
      <w:r w:rsidRPr="001E6E9D">
        <w:rPr>
          <w:rFonts w:asciiTheme="minorHAnsi" w:hAnsiTheme="minorHAnsi" w:cstheme="minorHAnsi"/>
          <w:kern w:val="0"/>
          <w:szCs w:val="20"/>
          <w:lang w:val="pt-BR"/>
        </w:rPr>
        <w:t xml:space="preserve">superiores à Taxa Teto das Debêntures Incentivadas, como condição para sua aceitação à Oferta, bem como </w:t>
      </w:r>
      <w:r w:rsidRPr="001E6E9D">
        <w:rPr>
          <w:rFonts w:asciiTheme="minorHAnsi" w:hAnsiTheme="minorHAnsi" w:cstheme="minorHAnsi"/>
          <w:b/>
          <w:bCs/>
          <w:kern w:val="0"/>
          <w:szCs w:val="20"/>
          <w:lang w:val="pt-BR"/>
        </w:rPr>
        <w:t>(ii)</w:t>
      </w:r>
      <w:r w:rsidRPr="001E6E9D">
        <w:rPr>
          <w:rFonts w:asciiTheme="minorHAnsi" w:hAnsiTheme="minorHAnsi" w:cstheme="minorHAnsi"/>
          <w:kern w:val="0"/>
          <w:szCs w:val="20"/>
          <w:lang w:val="pt-BR"/>
        </w:rPr>
        <w:t xml:space="preserve"> a quantidade de Debêntures Incentivadas que deseja</w:t>
      </w:r>
      <w:r w:rsidR="00AD297E">
        <w:rPr>
          <w:rFonts w:asciiTheme="minorHAnsi" w:hAnsiTheme="minorHAnsi" w:cstheme="minorHAnsi"/>
          <w:kern w:val="0"/>
          <w:szCs w:val="20"/>
          <w:lang w:val="pt-BR"/>
        </w:rPr>
        <w:t>va</w:t>
      </w:r>
      <w:r w:rsidRPr="001E6E9D">
        <w:rPr>
          <w:rFonts w:asciiTheme="minorHAnsi" w:hAnsiTheme="minorHAnsi" w:cstheme="minorHAnsi"/>
          <w:kern w:val="0"/>
          <w:szCs w:val="20"/>
          <w:lang w:val="pt-BR"/>
        </w:rPr>
        <w:t>m subscrever e, conforme aplicável, sua condição de Pessoa Vinculada (conforme abaixo definido) sob pena de cancelamento do Pedido de Reserva.</w:t>
      </w:r>
    </w:p>
    <w:p w14:paraId="6B4D1733" w14:textId="4DBCFA9E" w:rsidR="00065DBC" w:rsidRPr="001E6E9D" w:rsidRDefault="00A271B3" w:rsidP="00DC7081">
      <w:pPr>
        <w:pStyle w:val="Level3"/>
        <w:numPr>
          <w:ilvl w:val="2"/>
          <w:numId w:val="0"/>
        </w:numPr>
        <w:tabs>
          <w:tab w:val="num" w:pos="142"/>
        </w:tabs>
        <w:spacing w:after="200"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 xml:space="preserve">Caso o percentual apurado no Procedimento de </w:t>
      </w:r>
      <w:r w:rsidRPr="001E6E9D">
        <w:rPr>
          <w:rFonts w:asciiTheme="minorHAnsi" w:hAnsiTheme="minorHAnsi" w:cstheme="minorHAnsi"/>
          <w:i/>
          <w:iCs/>
          <w:kern w:val="0"/>
          <w:szCs w:val="20"/>
          <w:lang w:val="pt-BR"/>
        </w:rPr>
        <w:t>Bookbuilding</w:t>
      </w:r>
      <w:r w:rsidRPr="001E6E9D">
        <w:rPr>
          <w:rFonts w:asciiTheme="minorHAnsi" w:hAnsiTheme="minorHAnsi" w:cstheme="minorHAnsi"/>
          <w:kern w:val="0"/>
          <w:szCs w:val="20"/>
          <w:lang w:val="pt-BR"/>
        </w:rPr>
        <w:t xml:space="preserve"> para a taxa aplicável à Remuneração das Debêntures Incentivadas </w:t>
      </w:r>
      <w:r w:rsidR="00AD297E">
        <w:rPr>
          <w:rFonts w:asciiTheme="minorHAnsi" w:hAnsiTheme="minorHAnsi" w:cstheme="minorHAnsi"/>
          <w:kern w:val="0"/>
          <w:szCs w:val="20"/>
          <w:lang w:val="pt-BR"/>
        </w:rPr>
        <w:t>fosse</w:t>
      </w:r>
      <w:r w:rsidRPr="001E6E9D">
        <w:rPr>
          <w:rFonts w:asciiTheme="minorHAnsi" w:hAnsiTheme="minorHAnsi" w:cstheme="minorHAnsi"/>
          <w:kern w:val="0"/>
          <w:szCs w:val="20"/>
          <w:lang w:val="pt-BR"/>
        </w:rPr>
        <w:t xml:space="preserve"> inferior à taxa mínima apontada na Ordem de Investimento ou no Pedido de Reserva como condicionante de participação na Oferta, nos termos acima previstos, a respectiva Ordem de investimento ou o respectivo Pedido de Reserva, conforme o caso, </w:t>
      </w:r>
      <w:r w:rsidR="00AD297E">
        <w:rPr>
          <w:rFonts w:asciiTheme="minorHAnsi" w:hAnsiTheme="minorHAnsi" w:cstheme="minorHAnsi"/>
          <w:kern w:val="0"/>
          <w:szCs w:val="20"/>
          <w:lang w:val="pt-BR"/>
        </w:rPr>
        <w:t>seria</w:t>
      </w:r>
      <w:r w:rsidR="00AD297E" w:rsidRPr="001E6E9D">
        <w:rPr>
          <w:rFonts w:asciiTheme="minorHAnsi" w:hAnsiTheme="minorHAnsi" w:cstheme="minorHAnsi"/>
          <w:kern w:val="0"/>
          <w:szCs w:val="20"/>
          <w:lang w:val="pt-BR"/>
        </w:rPr>
        <w:t xml:space="preserve"> </w:t>
      </w:r>
      <w:r w:rsidRPr="001E6E9D">
        <w:rPr>
          <w:rFonts w:asciiTheme="minorHAnsi" w:hAnsiTheme="minorHAnsi" w:cstheme="minorHAnsi"/>
          <w:kern w:val="0"/>
          <w:szCs w:val="20"/>
          <w:lang w:val="pt-BR"/>
        </w:rPr>
        <w:t>cancelado pelo Coordenador Líder.</w:t>
      </w:r>
    </w:p>
    <w:p w14:paraId="52AB0FE4" w14:textId="77777777" w:rsidR="00065DBC" w:rsidRPr="001E6E9D" w:rsidRDefault="00A271B3" w:rsidP="00DC7081">
      <w:pPr>
        <w:pStyle w:val="Level3"/>
        <w:numPr>
          <w:ilvl w:val="2"/>
          <w:numId w:val="0"/>
        </w:numPr>
        <w:tabs>
          <w:tab w:val="num" w:pos="142"/>
        </w:tabs>
        <w:spacing w:after="200"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 xml:space="preserve">Nos termos do artigo 9º da Resolução CVM 160, a Ordem de Investimento e o Pedido de Reserva constituem ato de aceitação, pelos Investidores, dos termos e condições da Oferta e têm caráter irrevogável, exceto </w:t>
      </w:r>
      <w:r w:rsidRPr="001E6E9D">
        <w:rPr>
          <w:rFonts w:asciiTheme="minorHAnsi" w:hAnsiTheme="minorHAnsi" w:cstheme="minorHAnsi"/>
          <w:b/>
          <w:bCs/>
          <w:kern w:val="0"/>
          <w:szCs w:val="20"/>
          <w:lang w:val="pt-BR"/>
        </w:rPr>
        <w:t>(i)</w:t>
      </w:r>
      <w:r w:rsidRPr="001E6E9D">
        <w:rPr>
          <w:rFonts w:asciiTheme="minorHAnsi" w:hAnsiTheme="minorHAnsi" w:cstheme="minorHAnsi"/>
          <w:kern w:val="0"/>
          <w:szCs w:val="20"/>
          <w:lang w:val="pt-BR"/>
        </w:rPr>
        <w:t xml:space="preserve"> em caso de divergência relevante entre as informações constantes do Prospecto Preliminar e do Prospecto Definitivo que altere substancialmente o risco assumido pelo Investidor Qualificado ou a sua decisão de investimento, ou </w:t>
      </w:r>
      <w:r w:rsidRPr="001E6E9D">
        <w:rPr>
          <w:rFonts w:asciiTheme="minorHAnsi" w:hAnsiTheme="minorHAnsi" w:cstheme="minorHAnsi"/>
          <w:b/>
          <w:bCs/>
          <w:kern w:val="0"/>
          <w:szCs w:val="20"/>
          <w:lang w:val="pt-BR"/>
        </w:rPr>
        <w:t>(ii)</w:t>
      </w:r>
      <w:r w:rsidRPr="001E6E9D">
        <w:rPr>
          <w:rFonts w:asciiTheme="minorHAnsi" w:hAnsiTheme="minorHAnsi" w:cstheme="minorHAnsi"/>
          <w:kern w:val="0"/>
          <w:szCs w:val="20"/>
          <w:lang w:val="pt-BR"/>
        </w:rPr>
        <w:t xml:space="preserve"> nas hipóteses de suspensão, modificação e cancelamento da Oferta previstas n</w:t>
      </w:r>
      <w:r w:rsidR="00271737" w:rsidRPr="001E6E9D">
        <w:rPr>
          <w:rFonts w:asciiTheme="minorHAnsi" w:hAnsiTheme="minorHAnsi" w:cstheme="minorHAnsi"/>
          <w:kern w:val="0"/>
          <w:szCs w:val="20"/>
          <w:lang w:val="pt-BR"/>
        </w:rPr>
        <w:t>o</w:t>
      </w:r>
      <w:r w:rsidRPr="001E6E9D">
        <w:rPr>
          <w:rFonts w:asciiTheme="minorHAnsi" w:hAnsiTheme="minorHAnsi" w:cstheme="minorHAnsi"/>
          <w:kern w:val="0"/>
          <w:szCs w:val="20"/>
          <w:lang w:val="pt-BR"/>
        </w:rPr>
        <w:t xml:space="preserve"> </w:t>
      </w:r>
      <w:r w:rsidR="00271737" w:rsidRPr="001E6E9D">
        <w:rPr>
          <w:rFonts w:asciiTheme="minorHAnsi" w:hAnsiTheme="minorHAnsi" w:cstheme="minorHAnsi"/>
          <w:kern w:val="0"/>
          <w:szCs w:val="20"/>
          <w:lang w:val="pt-BR" w:eastAsia="pt-BR"/>
        </w:rPr>
        <w:t>Contrato de Distribuição</w:t>
      </w:r>
      <w:r w:rsidRPr="001E6E9D">
        <w:rPr>
          <w:rFonts w:asciiTheme="minorHAnsi" w:hAnsiTheme="minorHAnsi" w:cstheme="minorHAnsi"/>
          <w:kern w:val="0"/>
          <w:szCs w:val="20"/>
          <w:lang w:val="pt-BR"/>
        </w:rPr>
        <w:t>.</w:t>
      </w:r>
    </w:p>
    <w:p w14:paraId="57FB5AE3" w14:textId="3DD4F772" w:rsidR="00065DBC" w:rsidRPr="001E6E9D" w:rsidRDefault="00AC236D" w:rsidP="00DC7081">
      <w:pPr>
        <w:pStyle w:val="Level3"/>
        <w:numPr>
          <w:ilvl w:val="2"/>
          <w:numId w:val="0"/>
        </w:numPr>
        <w:tabs>
          <w:tab w:val="num" w:pos="142"/>
        </w:tabs>
        <w:spacing w:after="200" w:line="240" w:lineRule="auto"/>
        <w:rPr>
          <w:rFonts w:asciiTheme="minorHAnsi" w:hAnsiTheme="minorHAnsi" w:cstheme="minorHAnsi"/>
          <w:kern w:val="0"/>
          <w:szCs w:val="20"/>
          <w:lang w:val="pt-BR"/>
        </w:rPr>
      </w:pPr>
      <w:r>
        <w:rPr>
          <w:rFonts w:asciiTheme="minorHAnsi" w:hAnsiTheme="minorHAnsi" w:cstheme="minorHAnsi"/>
          <w:kern w:val="0"/>
          <w:szCs w:val="20"/>
          <w:lang w:val="pt-BR"/>
        </w:rPr>
        <w:t>Foi requisito no</w:t>
      </w:r>
      <w:r w:rsidRPr="001E6E9D">
        <w:rPr>
          <w:rFonts w:asciiTheme="minorHAnsi" w:hAnsiTheme="minorHAnsi" w:cstheme="minorHAnsi"/>
          <w:kern w:val="0"/>
          <w:szCs w:val="20"/>
          <w:lang w:val="pt-BR"/>
        </w:rPr>
        <w:t xml:space="preserve"> </w:t>
      </w:r>
      <w:r w:rsidR="00A271B3" w:rsidRPr="001E6E9D">
        <w:rPr>
          <w:rFonts w:asciiTheme="minorHAnsi" w:hAnsiTheme="minorHAnsi" w:cstheme="minorHAnsi"/>
          <w:kern w:val="0"/>
          <w:szCs w:val="20"/>
          <w:lang w:val="pt-BR"/>
        </w:rPr>
        <w:t xml:space="preserve">Pedido de Reserva: </w:t>
      </w:r>
      <w:r w:rsidR="00A271B3" w:rsidRPr="001E6E9D">
        <w:rPr>
          <w:rFonts w:asciiTheme="minorHAnsi" w:hAnsiTheme="minorHAnsi" w:cstheme="minorHAnsi"/>
          <w:b/>
          <w:bCs/>
          <w:kern w:val="0"/>
          <w:szCs w:val="20"/>
          <w:lang w:val="pt-BR"/>
        </w:rPr>
        <w:t>(i)</w:t>
      </w:r>
      <w:r w:rsidR="00A271B3" w:rsidRPr="001E6E9D">
        <w:rPr>
          <w:rFonts w:asciiTheme="minorHAnsi" w:hAnsiTheme="minorHAnsi" w:cstheme="minorHAnsi"/>
          <w:kern w:val="0"/>
          <w:szCs w:val="20"/>
          <w:lang w:val="pt-BR"/>
        </w:rPr>
        <w:t xml:space="preserve"> conter as condições de integralização e subscrição das Debêntures Incentivadas; </w:t>
      </w:r>
      <w:r w:rsidR="00A271B3" w:rsidRPr="001E6E9D">
        <w:rPr>
          <w:rFonts w:asciiTheme="minorHAnsi" w:hAnsiTheme="minorHAnsi" w:cstheme="minorHAnsi"/>
          <w:b/>
          <w:bCs/>
          <w:kern w:val="0"/>
          <w:szCs w:val="20"/>
          <w:lang w:val="pt-BR"/>
        </w:rPr>
        <w:t>(ii)</w:t>
      </w:r>
      <w:r w:rsidR="00A271B3" w:rsidRPr="001E6E9D">
        <w:rPr>
          <w:rFonts w:asciiTheme="minorHAnsi" w:hAnsiTheme="minorHAnsi" w:cstheme="minorHAnsi"/>
          <w:kern w:val="0"/>
          <w:szCs w:val="20"/>
          <w:lang w:val="pt-BR"/>
        </w:rPr>
        <w:t xml:space="preserve"> possibilitar a identificação da condição de Investidor como Pessoa Vinculada; </w:t>
      </w:r>
      <w:r w:rsidR="00A271B3" w:rsidRPr="001E6E9D">
        <w:rPr>
          <w:rFonts w:asciiTheme="minorHAnsi" w:hAnsiTheme="minorHAnsi" w:cstheme="minorHAnsi"/>
          <w:b/>
          <w:bCs/>
          <w:kern w:val="0"/>
          <w:szCs w:val="20"/>
          <w:lang w:val="pt-BR"/>
        </w:rPr>
        <w:t>(iii)</w:t>
      </w:r>
      <w:r w:rsidR="00A271B3" w:rsidRPr="001E6E9D">
        <w:rPr>
          <w:rFonts w:asciiTheme="minorHAnsi" w:hAnsiTheme="minorHAnsi" w:cstheme="minorHAnsi"/>
          <w:kern w:val="0"/>
          <w:szCs w:val="20"/>
          <w:lang w:val="pt-BR"/>
        </w:rPr>
        <w:t xml:space="preserve"> incluir declaração assinada pelo subscritor confirmando ter obtido exemplares do Prospecto Preliminar e da lâmina da Oferta; e </w:t>
      </w:r>
      <w:r w:rsidR="00A271B3" w:rsidRPr="001E6E9D">
        <w:rPr>
          <w:rFonts w:asciiTheme="minorHAnsi" w:hAnsiTheme="minorHAnsi" w:cstheme="minorHAnsi"/>
          <w:b/>
          <w:bCs/>
          <w:kern w:val="0"/>
          <w:szCs w:val="20"/>
          <w:lang w:val="pt-BR"/>
        </w:rPr>
        <w:t>(iv)</w:t>
      </w:r>
      <w:r w:rsidR="00A271B3" w:rsidRPr="001E6E9D">
        <w:rPr>
          <w:rFonts w:asciiTheme="minorHAnsi" w:hAnsiTheme="minorHAnsi" w:cstheme="minorHAnsi"/>
          <w:kern w:val="0"/>
          <w:szCs w:val="20"/>
          <w:lang w:val="pt-BR"/>
        </w:rPr>
        <w:t xml:space="preserve"> nos casos em que haja modificação de Oferta, cientificar, com destaque, que a Oferta original foi alterada e incluir declaração assinada pelo subscritor de que tem conhecimento das novas condições da Oferta.</w:t>
      </w:r>
    </w:p>
    <w:p w14:paraId="3FE103D7" w14:textId="5552A01C" w:rsidR="00065DBC" w:rsidRPr="001E6E9D" w:rsidRDefault="00A271B3" w:rsidP="00DC7081">
      <w:pPr>
        <w:pStyle w:val="Level3"/>
        <w:numPr>
          <w:ilvl w:val="2"/>
          <w:numId w:val="0"/>
        </w:numPr>
        <w:tabs>
          <w:tab w:val="num" w:pos="142"/>
        </w:tabs>
        <w:spacing w:after="200" w:line="240" w:lineRule="auto"/>
        <w:rPr>
          <w:rFonts w:asciiTheme="minorHAnsi" w:hAnsiTheme="minorHAnsi" w:cstheme="minorHAnsi"/>
          <w:kern w:val="0"/>
          <w:szCs w:val="20"/>
          <w:lang w:val="pt-BR"/>
        </w:rPr>
      </w:pPr>
      <w:r w:rsidRPr="001E6E9D">
        <w:rPr>
          <w:rFonts w:asciiTheme="minorHAnsi" w:hAnsiTheme="minorHAnsi" w:cstheme="minorHAnsi"/>
          <w:kern w:val="0"/>
          <w:szCs w:val="20"/>
          <w:lang w:val="pt-BR"/>
        </w:rPr>
        <w:t xml:space="preserve">As Ordens de Investimento ou os Pedido de Reserva assinados devem ser mantidos pelos Coordenadores à disposição da CVM. Recomenda-se aos Investidores Qualificados que </w:t>
      </w:r>
      <w:r w:rsidRPr="001E6E9D">
        <w:rPr>
          <w:rFonts w:asciiTheme="minorHAnsi" w:hAnsiTheme="minorHAnsi" w:cstheme="minorHAnsi"/>
          <w:bCs/>
          <w:kern w:val="0"/>
          <w:szCs w:val="20"/>
          <w:lang w:val="pt-BR"/>
        </w:rPr>
        <w:t xml:space="preserve">(i) leiam cuidadosamente os termos e condições estipulados no Pedido de Reserva, conforme o caso, em especial os procedimentos relativos à liquidação da Oferta, a Escritura de Emissão e as informações constantes no Prospecto Preliminar e na lâmina, especialmente na seção </w:t>
      </w:r>
      <w:r w:rsidR="000D5E35" w:rsidRPr="001E6E9D">
        <w:rPr>
          <w:rFonts w:asciiTheme="minorHAnsi" w:hAnsiTheme="minorHAnsi" w:cstheme="minorHAnsi"/>
          <w:bCs/>
          <w:kern w:val="0"/>
          <w:szCs w:val="20"/>
          <w:lang w:val="pt-BR"/>
        </w:rPr>
        <w:t>“</w:t>
      </w:r>
      <w:r w:rsidRPr="001E6E9D">
        <w:rPr>
          <w:rFonts w:asciiTheme="minorHAnsi" w:hAnsiTheme="minorHAnsi" w:cstheme="minorHAnsi"/>
          <w:bCs/>
          <w:kern w:val="0"/>
          <w:szCs w:val="20"/>
          <w:lang w:val="pt-BR"/>
        </w:rPr>
        <w:t>Fatores de Risco”, que trata, dentre outros, sobre os riscos aos quais a Oferta está exposta; e (ii)</w:t>
      </w:r>
      <w:r w:rsidRPr="001E6E9D">
        <w:rPr>
          <w:rFonts w:asciiTheme="minorHAnsi" w:hAnsiTheme="minorHAnsi" w:cstheme="minorHAnsi"/>
          <w:kern w:val="0"/>
          <w:szCs w:val="20"/>
          <w:lang w:val="pt-BR"/>
        </w:rPr>
        <w:t xml:space="preserve"> entrem em contato com os Coordenadores, antes de realizar o seu Pedido de Reserva, para verificar os procedimentos adotados pelos Coordenadores para cadastro do Investidor Qualificado e efetivação do Pedido de Reserva, incluindo, sem limitação, prazos estabelecidos para a realização do Pedido de Reserva e eventual necessidade de depósito prévio do investimento pretendido.</w:t>
      </w:r>
    </w:p>
    <w:p w14:paraId="2CE4D583" w14:textId="405F704B" w:rsidR="00065DBC" w:rsidRPr="001E6E9D" w:rsidRDefault="0053704D" w:rsidP="00DC7081">
      <w:pPr>
        <w:pStyle w:val="Ttulo2"/>
        <w:rPr>
          <w:rFonts w:eastAsia="ヒラギノ角ゴ Pro W3"/>
          <w:i/>
          <w:iCs/>
        </w:rPr>
      </w:pPr>
      <w:bookmarkStart w:id="271" w:name="_Toc184129243"/>
      <w:r w:rsidRPr="001E6E9D">
        <w:rPr>
          <w:rFonts w:eastAsia="ヒラギノ角ゴ Pro W3"/>
        </w:rPr>
        <w:t>9.2.</w:t>
      </w:r>
      <w:r w:rsidR="00284CC9" w:rsidRPr="001E6E9D">
        <w:rPr>
          <w:rFonts w:eastAsia="ヒラギノ角ゴ Pro W3"/>
        </w:rPr>
        <w:t xml:space="preserve"> </w:t>
      </w:r>
      <w:r w:rsidRPr="001E6E9D">
        <w:rPr>
          <w:rFonts w:eastAsia="ヒラギノ角ゴ Pro W3"/>
        </w:rPr>
        <w:t>Demonstrativo dos custos estimados de distribuição da Oferta</w:t>
      </w:r>
      <w:bookmarkEnd w:id="271"/>
      <w:r w:rsidR="003468A1" w:rsidRPr="001E6E9D">
        <w:rPr>
          <w:rFonts w:eastAsia="ヒラギノ角ゴ Pro W3"/>
          <w:i/>
          <w:iCs/>
        </w:rPr>
        <w:t xml:space="preserve"> </w:t>
      </w:r>
    </w:p>
    <w:tbl>
      <w:tblPr>
        <w:tblW w:w="5000" w:type="pct"/>
        <w:tblCellMar>
          <w:left w:w="0" w:type="dxa"/>
          <w:right w:w="0" w:type="dxa"/>
        </w:tblCellMar>
        <w:tblLook w:val="04A0" w:firstRow="1" w:lastRow="0" w:firstColumn="1" w:lastColumn="0" w:noHBand="0" w:noVBand="1"/>
      </w:tblPr>
      <w:tblGrid>
        <w:gridCol w:w="5235"/>
        <w:gridCol w:w="1419"/>
        <w:gridCol w:w="1133"/>
        <w:gridCol w:w="1264"/>
      </w:tblGrid>
      <w:tr w:rsidR="009B6FF9" w:rsidRPr="007B496B" w14:paraId="7A906C1F" w14:textId="77777777" w:rsidTr="00CC0854">
        <w:trPr>
          <w:trHeight w:val="861"/>
          <w:tblHeader/>
        </w:trPr>
        <w:tc>
          <w:tcPr>
            <w:tcW w:w="2892" w:type="pct"/>
            <w:tcBorders>
              <w:top w:val="single" w:sz="8" w:space="0" w:color="auto"/>
              <w:left w:val="single" w:sz="8" w:space="0" w:color="auto"/>
              <w:right w:val="single" w:sz="8" w:space="0" w:color="FFFFFF" w:themeColor="background1"/>
            </w:tcBorders>
            <w:shd w:val="clear" w:color="auto" w:fill="0082CB"/>
            <w:tcMar>
              <w:top w:w="15" w:type="dxa"/>
              <w:left w:w="15" w:type="dxa"/>
              <w:bottom w:w="0" w:type="dxa"/>
              <w:right w:w="15" w:type="dxa"/>
            </w:tcMar>
            <w:vAlign w:val="center"/>
            <w:hideMark/>
          </w:tcPr>
          <w:p w14:paraId="7FB23562" w14:textId="285C25C2" w:rsidR="009B6FF9" w:rsidRPr="009B6FF9" w:rsidRDefault="009B6FF9" w:rsidP="00440F91">
            <w:pPr>
              <w:spacing w:before="80" w:after="80"/>
              <w:jc w:val="center"/>
              <w:rPr>
                <w:rFonts w:asciiTheme="minorHAnsi" w:hAnsiTheme="minorHAnsi" w:cstheme="minorHAnsi"/>
                <w:b/>
                <w:bCs/>
                <w:color w:val="FFFFFF" w:themeColor="background1"/>
                <w:sz w:val="16"/>
                <w:szCs w:val="16"/>
              </w:rPr>
            </w:pPr>
            <w:r w:rsidRPr="009B6FF9">
              <w:rPr>
                <w:rFonts w:asciiTheme="minorHAnsi" w:hAnsiTheme="minorHAnsi" w:cstheme="minorHAnsi"/>
                <w:b/>
                <w:bCs/>
                <w:color w:val="FFFFFF" w:themeColor="background1"/>
                <w:sz w:val="16"/>
                <w:szCs w:val="16"/>
              </w:rPr>
              <w:t>Comissões e Despesas</w:t>
            </w:r>
          </w:p>
          <w:p w14:paraId="7D7F5269" w14:textId="6BCED093" w:rsidR="009B6FF9" w:rsidRPr="009B6FF9" w:rsidRDefault="009B6FF9" w:rsidP="00440F91">
            <w:pPr>
              <w:spacing w:before="80" w:after="80"/>
              <w:jc w:val="center"/>
              <w:rPr>
                <w:rFonts w:asciiTheme="minorHAnsi" w:hAnsiTheme="minorHAnsi" w:cstheme="minorHAnsi"/>
                <w:b/>
                <w:bCs/>
                <w:color w:val="FFFFFF" w:themeColor="background1"/>
                <w:sz w:val="16"/>
                <w:szCs w:val="16"/>
              </w:rPr>
            </w:pPr>
            <w:r w:rsidRPr="009B6FF9">
              <w:rPr>
                <w:rFonts w:asciiTheme="minorHAnsi" w:hAnsiTheme="minorHAnsi" w:cstheme="minorHAnsi"/>
                <w:b/>
                <w:bCs/>
                <w:color w:val="FFFFFF" w:themeColor="background1"/>
                <w:sz w:val="16"/>
                <w:szCs w:val="16"/>
              </w:rPr>
              <w:t>(valores com gross up)</w:t>
            </w:r>
          </w:p>
        </w:tc>
        <w:tc>
          <w:tcPr>
            <w:tcW w:w="784" w:type="pct"/>
            <w:tcBorders>
              <w:top w:val="single" w:sz="8" w:space="0" w:color="auto"/>
              <w:left w:val="single" w:sz="8" w:space="0" w:color="FFFFFF" w:themeColor="background1"/>
              <w:right w:val="single" w:sz="8" w:space="0" w:color="FFFFFF" w:themeColor="background1"/>
            </w:tcBorders>
            <w:shd w:val="clear" w:color="auto" w:fill="0082CB"/>
            <w:tcMar>
              <w:top w:w="15" w:type="dxa"/>
              <w:left w:w="15" w:type="dxa"/>
              <w:bottom w:w="0" w:type="dxa"/>
              <w:right w:w="15" w:type="dxa"/>
            </w:tcMar>
            <w:vAlign w:val="center"/>
            <w:hideMark/>
          </w:tcPr>
          <w:p w14:paraId="521C7149" w14:textId="77777777" w:rsidR="009B6FF9" w:rsidRPr="009B6FF9" w:rsidRDefault="009B6FF9" w:rsidP="00440F91">
            <w:pPr>
              <w:spacing w:before="80" w:after="80"/>
              <w:jc w:val="center"/>
              <w:rPr>
                <w:rFonts w:asciiTheme="minorHAnsi" w:hAnsiTheme="minorHAnsi" w:cstheme="minorHAnsi"/>
                <w:b/>
                <w:bCs/>
                <w:color w:val="FFFFFF" w:themeColor="background1"/>
                <w:sz w:val="16"/>
                <w:szCs w:val="16"/>
              </w:rPr>
            </w:pPr>
            <w:r w:rsidRPr="009B6FF9">
              <w:rPr>
                <w:rFonts w:asciiTheme="minorHAnsi" w:hAnsiTheme="minorHAnsi" w:cstheme="minorHAnsi"/>
                <w:b/>
                <w:bCs/>
                <w:color w:val="FFFFFF" w:themeColor="background1"/>
                <w:sz w:val="16"/>
                <w:szCs w:val="16"/>
              </w:rPr>
              <w:t>Valor Total</w:t>
            </w:r>
          </w:p>
          <w:p w14:paraId="18897A10" w14:textId="72214BEE" w:rsidR="009B6FF9" w:rsidRPr="009B6FF9" w:rsidRDefault="009B6FF9" w:rsidP="00440F91">
            <w:pPr>
              <w:spacing w:before="80" w:after="80"/>
              <w:jc w:val="center"/>
              <w:rPr>
                <w:rFonts w:asciiTheme="minorHAnsi" w:hAnsiTheme="minorHAnsi" w:cstheme="minorHAnsi"/>
                <w:b/>
                <w:bCs/>
                <w:color w:val="FFFFFF" w:themeColor="background1"/>
                <w:sz w:val="16"/>
                <w:szCs w:val="16"/>
              </w:rPr>
            </w:pPr>
            <w:r w:rsidRPr="009B6FF9">
              <w:rPr>
                <w:rFonts w:asciiTheme="minorHAnsi" w:hAnsiTheme="minorHAnsi" w:cstheme="minorHAnsi"/>
                <w:b/>
                <w:bCs/>
                <w:color w:val="FFFFFF" w:themeColor="background1"/>
                <w:sz w:val="16"/>
                <w:szCs w:val="16"/>
              </w:rPr>
              <w:t>Em R$</w:t>
            </w:r>
            <w:r w:rsidR="0009638F" w:rsidRPr="009B6FF9">
              <w:rPr>
                <w:rFonts w:asciiTheme="minorHAnsi" w:hAnsiTheme="minorHAnsi" w:cstheme="minorHAnsi"/>
                <w:b/>
                <w:bCs/>
                <w:color w:val="FFFFFF" w:themeColor="background1"/>
                <w:sz w:val="16"/>
                <w:szCs w:val="16"/>
                <w:vertAlign w:val="superscript"/>
              </w:rPr>
              <w:t>(1)</w:t>
            </w:r>
          </w:p>
        </w:tc>
        <w:tc>
          <w:tcPr>
            <w:tcW w:w="626" w:type="pct"/>
            <w:tcBorders>
              <w:top w:val="single" w:sz="8" w:space="0" w:color="auto"/>
              <w:left w:val="single" w:sz="8" w:space="0" w:color="FFFFFF" w:themeColor="background1"/>
              <w:right w:val="single" w:sz="8" w:space="0" w:color="FFFFFF" w:themeColor="background1"/>
            </w:tcBorders>
            <w:shd w:val="clear" w:color="auto" w:fill="0082CB"/>
            <w:tcMar>
              <w:top w:w="15" w:type="dxa"/>
              <w:left w:w="15" w:type="dxa"/>
              <w:bottom w:w="0" w:type="dxa"/>
              <w:right w:w="15" w:type="dxa"/>
            </w:tcMar>
            <w:vAlign w:val="center"/>
            <w:hideMark/>
          </w:tcPr>
          <w:p w14:paraId="63219CA6" w14:textId="77777777" w:rsidR="009B6FF9" w:rsidRPr="009B6FF9" w:rsidRDefault="009B6FF9" w:rsidP="00440F91">
            <w:pPr>
              <w:spacing w:before="80" w:after="80"/>
              <w:jc w:val="center"/>
              <w:rPr>
                <w:rFonts w:asciiTheme="minorHAnsi" w:hAnsiTheme="minorHAnsi" w:cstheme="minorHAnsi"/>
                <w:b/>
                <w:bCs/>
                <w:color w:val="FFFFFF" w:themeColor="background1"/>
                <w:sz w:val="16"/>
                <w:szCs w:val="16"/>
              </w:rPr>
            </w:pPr>
            <w:r w:rsidRPr="009B6FF9">
              <w:rPr>
                <w:rFonts w:asciiTheme="minorHAnsi" w:hAnsiTheme="minorHAnsi" w:cstheme="minorHAnsi"/>
                <w:b/>
                <w:bCs/>
                <w:color w:val="FFFFFF" w:themeColor="background1"/>
                <w:sz w:val="16"/>
                <w:szCs w:val="16"/>
              </w:rPr>
              <w:t>Custo Unitário por Debênture</w:t>
            </w:r>
          </w:p>
          <w:p w14:paraId="6D1C6B49" w14:textId="2317B1E6" w:rsidR="009B6FF9" w:rsidRPr="009B6FF9" w:rsidRDefault="009B6FF9" w:rsidP="00440F91">
            <w:pPr>
              <w:spacing w:before="80" w:after="80"/>
              <w:jc w:val="center"/>
              <w:rPr>
                <w:rFonts w:asciiTheme="minorHAnsi" w:hAnsiTheme="minorHAnsi" w:cstheme="minorHAnsi"/>
                <w:b/>
                <w:bCs/>
                <w:color w:val="FFFFFF" w:themeColor="background1"/>
                <w:sz w:val="16"/>
                <w:szCs w:val="16"/>
              </w:rPr>
            </w:pPr>
            <w:r w:rsidRPr="009B6FF9">
              <w:rPr>
                <w:rFonts w:asciiTheme="minorHAnsi" w:hAnsiTheme="minorHAnsi" w:cstheme="minorHAnsi"/>
                <w:color w:val="FFFFFF" w:themeColor="background1"/>
                <w:sz w:val="16"/>
                <w:szCs w:val="16"/>
              </w:rPr>
              <w:t>Em R$</w:t>
            </w:r>
            <w:r w:rsidR="0009638F" w:rsidRPr="009B6FF9">
              <w:rPr>
                <w:rFonts w:asciiTheme="minorHAnsi" w:hAnsiTheme="minorHAnsi" w:cstheme="minorHAnsi"/>
                <w:b/>
                <w:bCs/>
                <w:color w:val="FFFFFF" w:themeColor="background1"/>
                <w:sz w:val="16"/>
                <w:szCs w:val="16"/>
                <w:vertAlign w:val="superscript"/>
              </w:rPr>
              <w:t>(</w:t>
            </w:r>
            <w:r w:rsidR="0009638F">
              <w:rPr>
                <w:rFonts w:asciiTheme="minorHAnsi" w:hAnsiTheme="minorHAnsi" w:cstheme="minorHAnsi"/>
                <w:b/>
                <w:bCs/>
                <w:color w:val="FFFFFF" w:themeColor="background1"/>
                <w:sz w:val="16"/>
                <w:szCs w:val="16"/>
                <w:vertAlign w:val="superscript"/>
              </w:rPr>
              <w:t>2</w:t>
            </w:r>
            <w:r w:rsidR="0009638F" w:rsidRPr="009B6FF9">
              <w:rPr>
                <w:rFonts w:asciiTheme="minorHAnsi" w:hAnsiTheme="minorHAnsi" w:cstheme="minorHAnsi"/>
                <w:b/>
                <w:bCs/>
                <w:color w:val="FFFFFF" w:themeColor="background1"/>
                <w:sz w:val="16"/>
                <w:szCs w:val="16"/>
                <w:vertAlign w:val="superscript"/>
              </w:rPr>
              <w:t>)</w:t>
            </w:r>
          </w:p>
        </w:tc>
        <w:tc>
          <w:tcPr>
            <w:tcW w:w="698" w:type="pct"/>
            <w:tcBorders>
              <w:top w:val="single" w:sz="8" w:space="0" w:color="auto"/>
              <w:left w:val="single" w:sz="8" w:space="0" w:color="FFFFFF" w:themeColor="background1"/>
              <w:right w:val="single" w:sz="8" w:space="0" w:color="auto"/>
            </w:tcBorders>
            <w:shd w:val="clear" w:color="auto" w:fill="0082CB"/>
            <w:tcMar>
              <w:top w:w="15" w:type="dxa"/>
              <w:left w:w="15" w:type="dxa"/>
              <w:bottom w:w="0" w:type="dxa"/>
              <w:right w:w="15" w:type="dxa"/>
            </w:tcMar>
            <w:vAlign w:val="center"/>
            <w:hideMark/>
          </w:tcPr>
          <w:p w14:paraId="764CC78D" w14:textId="1ED929E0" w:rsidR="009B6FF9" w:rsidRPr="009B6FF9" w:rsidRDefault="009B6FF9" w:rsidP="00440F91">
            <w:pPr>
              <w:spacing w:before="80" w:after="80"/>
              <w:jc w:val="center"/>
              <w:rPr>
                <w:rFonts w:asciiTheme="minorHAnsi" w:hAnsiTheme="minorHAnsi" w:cstheme="minorHAnsi"/>
                <w:b/>
                <w:bCs/>
                <w:color w:val="FFFFFF" w:themeColor="background1"/>
                <w:sz w:val="16"/>
                <w:szCs w:val="16"/>
              </w:rPr>
            </w:pPr>
            <w:r w:rsidRPr="009B6FF9">
              <w:rPr>
                <w:rFonts w:asciiTheme="minorHAnsi" w:hAnsiTheme="minorHAnsi" w:cstheme="minorHAnsi"/>
                <w:b/>
                <w:bCs/>
                <w:color w:val="FFFFFF" w:themeColor="background1"/>
                <w:sz w:val="16"/>
                <w:szCs w:val="16"/>
              </w:rPr>
              <w:t>% do Valor Total da Oferta</w:t>
            </w:r>
          </w:p>
        </w:tc>
      </w:tr>
      <w:tr w:rsidR="006F3767" w:rsidRPr="007B496B" w14:paraId="1A18091B"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BE81C54" w14:textId="77777777" w:rsidR="006F3767" w:rsidRPr="007B496B" w:rsidRDefault="006F3767" w:rsidP="00440F91">
            <w:pPr>
              <w:spacing w:before="80" w:after="80"/>
              <w:jc w:val="left"/>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Comissões dos Coordenadores e/ou Participantes Especiais</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293A51F" w14:textId="77777777" w:rsidR="006F3767" w:rsidRPr="007B496B" w:rsidRDefault="006F3767" w:rsidP="00440F91">
            <w:pPr>
              <w:spacing w:before="80" w:after="80"/>
              <w:jc w:val="center"/>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R$ 7.461.895,03</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532719A" w14:textId="77777777" w:rsidR="006F3767" w:rsidRPr="007B496B" w:rsidRDefault="006F3767" w:rsidP="00440F91">
            <w:pPr>
              <w:spacing w:before="80" w:after="80"/>
              <w:jc w:val="center"/>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R$ 37,31</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B3CE487" w14:textId="77777777" w:rsidR="006F3767" w:rsidRPr="007B496B" w:rsidRDefault="006F3767" w:rsidP="00440F91">
            <w:pPr>
              <w:spacing w:before="80" w:after="80"/>
              <w:jc w:val="center"/>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3,73%</w:t>
            </w:r>
          </w:p>
        </w:tc>
      </w:tr>
      <w:tr w:rsidR="006F3767" w:rsidRPr="007B496B" w14:paraId="6285BF5E"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722003D" w14:textId="0B35141F"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Comissão de Coordenação e Estruturação (flat)</w:t>
            </w:r>
            <w:r w:rsidR="0009638F" w:rsidRPr="007B496B">
              <w:rPr>
                <w:rFonts w:asciiTheme="minorHAnsi" w:hAnsiTheme="minorHAnsi" w:cstheme="minorHAnsi"/>
                <w:i/>
                <w:iCs/>
                <w:color w:val="000000"/>
                <w:sz w:val="16"/>
                <w:szCs w:val="16"/>
                <w:vertAlign w:val="superscript"/>
              </w:rPr>
              <w:t>(3)</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E6FFD2C"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R$ 1.000.000,00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9507919"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R$ 5,00</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F426E13"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0,50%</w:t>
            </w:r>
          </w:p>
        </w:tc>
      </w:tr>
      <w:tr w:rsidR="006F3767" w:rsidRPr="007B496B" w14:paraId="196C7A2B"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00B6BB7" w14:textId="1AC39EA6"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Prêmio de Garantia Firme (flat)</w:t>
            </w:r>
            <w:r w:rsidR="0009638F" w:rsidRPr="007B496B">
              <w:rPr>
                <w:rFonts w:asciiTheme="minorHAnsi" w:hAnsiTheme="minorHAnsi" w:cstheme="minorHAnsi"/>
                <w:i/>
                <w:iCs/>
                <w:color w:val="000000"/>
                <w:sz w:val="16"/>
                <w:szCs w:val="16"/>
                <w:vertAlign w:val="superscript"/>
              </w:rPr>
              <w:t xml:space="preserve"> </w:t>
            </w:r>
            <w:r w:rsidR="0009638F">
              <w:rPr>
                <w:rFonts w:asciiTheme="minorHAnsi" w:hAnsiTheme="minorHAnsi" w:cstheme="minorHAnsi"/>
                <w:i/>
                <w:iCs/>
                <w:color w:val="000000"/>
                <w:sz w:val="16"/>
                <w:szCs w:val="16"/>
                <w:vertAlign w:val="superscript"/>
              </w:rPr>
              <w:t>(4</w:t>
            </w:r>
            <w:r w:rsidR="0009638F" w:rsidRPr="007B496B">
              <w:rPr>
                <w:rFonts w:asciiTheme="minorHAnsi" w:hAnsiTheme="minorHAnsi" w:cstheme="minorHAnsi"/>
                <w:i/>
                <w:iCs/>
                <w:color w:val="000000"/>
                <w:sz w:val="16"/>
                <w:szCs w:val="16"/>
                <w:vertAlign w:val="superscript"/>
              </w:rPr>
              <w:t>)</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1301AE8"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R$ 1.000.000,00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D84FE6F"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R$ 5,00</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221E574"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0,50%</w:t>
            </w:r>
          </w:p>
        </w:tc>
      </w:tr>
      <w:tr w:rsidR="006F3767" w:rsidRPr="007B496B" w14:paraId="7DDAD80E"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197942B" w14:textId="565D58BE"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Comissão dos Canais de Distribuição  (flat)</w:t>
            </w:r>
            <w:r w:rsidR="0009638F" w:rsidRPr="007B496B">
              <w:rPr>
                <w:rFonts w:asciiTheme="minorHAnsi" w:hAnsiTheme="minorHAnsi" w:cstheme="minorHAnsi"/>
                <w:i/>
                <w:iCs/>
                <w:color w:val="000000"/>
                <w:sz w:val="16"/>
                <w:szCs w:val="16"/>
                <w:vertAlign w:val="superscript"/>
              </w:rPr>
              <w:t>(</w:t>
            </w:r>
            <w:r w:rsidR="0009638F">
              <w:rPr>
                <w:rFonts w:asciiTheme="minorHAnsi" w:hAnsiTheme="minorHAnsi" w:cstheme="minorHAnsi"/>
                <w:i/>
                <w:iCs/>
                <w:color w:val="000000"/>
                <w:sz w:val="16"/>
                <w:szCs w:val="16"/>
                <w:vertAlign w:val="superscript"/>
              </w:rPr>
              <w:t>5</w:t>
            </w:r>
            <w:r w:rsidR="0009638F" w:rsidRPr="007B496B">
              <w:rPr>
                <w:rFonts w:asciiTheme="minorHAnsi" w:hAnsiTheme="minorHAnsi" w:cstheme="minorHAnsi"/>
                <w:i/>
                <w:iCs/>
                <w:color w:val="000000"/>
                <w:sz w:val="16"/>
                <w:szCs w:val="16"/>
                <w:vertAlign w:val="superscript"/>
              </w:rPr>
              <w:t>)</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F1C1993"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R$ 4.715.000,00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40E023B"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R$ 23,58</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8786581"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2,36%</w:t>
            </w:r>
          </w:p>
        </w:tc>
      </w:tr>
      <w:tr w:rsidR="004A06FC" w:rsidRPr="007B496B" w14:paraId="04DE9631" w14:textId="77777777" w:rsidTr="004A06FC">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F9F9B41" w14:textId="666105CA" w:rsidR="004A06FC" w:rsidRPr="00CC0854" w:rsidRDefault="004A06FC" w:rsidP="004A06FC">
            <w:pPr>
              <w:spacing w:before="80" w:after="80"/>
              <w:jc w:val="left"/>
              <w:rPr>
                <w:rFonts w:asciiTheme="minorHAnsi" w:hAnsiTheme="minorHAnsi"/>
                <w:color w:val="000000"/>
                <w:sz w:val="16"/>
              </w:rPr>
            </w:pPr>
            <w:r w:rsidRPr="00CC0854">
              <w:rPr>
                <w:rFonts w:asciiTheme="minorHAnsi" w:hAnsiTheme="minorHAnsi"/>
                <w:color w:val="000000"/>
                <w:sz w:val="16"/>
              </w:rPr>
              <w:t>Comissão de Sucesso pela Colocação</w:t>
            </w:r>
            <w:r w:rsidRPr="00CC0854">
              <w:rPr>
                <w:rFonts w:asciiTheme="minorHAnsi" w:hAnsiTheme="minorHAnsi"/>
                <w:i/>
                <w:color w:val="000000"/>
                <w:sz w:val="16"/>
                <w:vertAlign w:val="superscript"/>
              </w:rPr>
              <w:t>(6)</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913E45B" w14:textId="64E03416" w:rsidR="004A06FC" w:rsidRPr="004A06FC" w:rsidRDefault="004A06FC" w:rsidP="004A06FC">
            <w:pPr>
              <w:spacing w:before="80" w:after="80"/>
              <w:jc w:val="center"/>
              <w:rPr>
                <w:rFonts w:asciiTheme="minorHAnsi" w:hAnsiTheme="minorHAnsi" w:cstheme="minorHAnsi"/>
                <w:color w:val="000000"/>
                <w:sz w:val="16"/>
                <w:szCs w:val="16"/>
              </w:rPr>
            </w:pPr>
            <w:r w:rsidRPr="004A06FC">
              <w:rPr>
                <w:rFonts w:asciiTheme="minorHAnsi" w:hAnsiTheme="minorHAnsi" w:cstheme="minorHAnsi"/>
                <w:color w:val="000000"/>
                <w:sz w:val="16"/>
                <w:szCs w:val="16"/>
              </w:rPr>
              <w:t>R$ 2.829.000,00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B2C456F" w14:textId="083B0E55" w:rsidR="004A06FC" w:rsidRPr="004A06FC" w:rsidRDefault="004A06FC" w:rsidP="004A06FC">
            <w:pPr>
              <w:spacing w:before="80" w:after="80"/>
              <w:jc w:val="center"/>
              <w:rPr>
                <w:rFonts w:asciiTheme="minorHAnsi" w:hAnsiTheme="minorHAnsi" w:cstheme="minorHAnsi"/>
                <w:color w:val="000000"/>
                <w:sz w:val="16"/>
                <w:szCs w:val="16"/>
              </w:rPr>
            </w:pPr>
            <w:r w:rsidRPr="004A06FC">
              <w:rPr>
                <w:rFonts w:asciiTheme="minorHAnsi" w:hAnsiTheme="minorHAnsi" w:cstheme="minorHAnsi"/>
                <w:color w:val="000000"/>
                <w:sz w:val="16"/>
                <w:szCs w:val="16"/>
              </w:rPr>
              <w:t>R$ 14,15</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C708D03" w14:textId="5CA17A4A" w:rsidR="004A06FC" w:rsidRPr="004A06FC" w:rsidRDefault="004A06FC" w:rsidP="004A06FC">
            <w:pPr>
              <w:spacing w:before="80" w:after="80"/>
              <w:jc w:val="center"/>
              <w:rPr>
                <w:rFonts w:asciiTheme="minorHAnsi" w:hAnsiTheme="minorHAnsi" w:cstheme="minorHAnsi"/>
                <w:color w:val="000000"/>
                <w:sz w:val="16"/>
                <w:szCs w:val="16"/>
              </w:rPr>
            </w:pPr>
            <w:r w:rsidRPr="004A06FC">
              <w:rPr>
                <w:rFonts w:asciiTheme="minorHAnsi" w:hAnsiTheme="minorHAnsi" w:cstheme="minorHAnsi"/>
                <w:color w:val="000000"/>
                <w:sz w:val="16"/>
                <w:szCs w:val="16"/>
              </w:rPr>
              <w:t>1,41%</w:t>
            </w:r>
          </w:p>
        </w:tc>
      </w:tr>
      <w:tr w:rsidR="006F3767" w:rsidRPr="007B496B" w14:paraId="1E2E50E9"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A349111" w14:textId="77777777"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Tributos</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DAE2D03"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R$ 746.895,03</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E01C540"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R$ 3,73</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4F8F726"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0,37%</w:t>
            </w:r>
          </w:p>
        </w:tc>
      </w:tr>
      <w:tr w:rsidR="006F3767" w:rsidRPr="007B496B" w14:paraId="4E8129B9"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1E2C7E5" w14:textId="77777777" w:rsidR="006F3767" w:rsidRPr="007B496B" w:rsidRDefault="006F3767" w:rsidP="00440F91">
            <w:pPr>
              <w:spacing w:before="80" w:after="80"/>
              <w:jc w:val="left"/>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Registros Debêntures</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41B8073" w14:textId="77777777" w:rsidR="006F3767" w:rsidRPr="007B496B" w:rsidRDefault="006F3767" w:rsidP="00440F91">
            <w:pPr>
              <w:spacing w:before="80" w:after="80"/>
              <w:jc w:val="center"/>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R$ 119.441,00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E1B70C0" w14:textId="77777777" w:rsidR="006F3767" w:rsidRPr="007B496B" w:rsidRDefault="006F3767" w:rsidP="00440F91">
            <w:pPr>
              <w:spacing w:before="80" w:after="80"/>
              <w:jc w:val="center"/>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R$ 0,60</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DC15FB4" w14:textId="77777777" w:rsidR="006F3767" w:rsidRPr="007B496B" w:rsidRDefault="006F3767" w:rsidP="00440F91">
            <w:pPr>
              <w:spacing w:before="80" w:after="80"/>
              <w:jc w:val="center"/>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0,06%</w:t>
            </w:r>
          </w:p>
        </w:tc>
      </w:tr>
      <w:tr w:rsidR="006F3767" w:rsidRPr="007B496B" w14:paraId="203EDF34"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C2A73ED" w14:textId="77777777"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Taxa de Fiscalização CVM (flat)</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3AE1D26"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R$ 60.000,00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9A0EA50"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R$ 0,30</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D49B8AF"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0,03%</w:t>
            </w:r>
          </w:p>
        </w:tc>
      </w:tr>
      <w:tr w:rsidR="006F3767" w:rsidRPr="007B496B" w14:paraId="3F6D2463"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7058843" w14:textId="77777777"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Taxa de Análise Prévia B3</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A4938ED"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R$ 49.000,00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61993A0"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R$ 0,25</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E410518"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0,02%</w:t>
            </w:r>
          </w:p>
        </w:tc>
      </w:tr>
      <w:tr w:rsidR="006F3767" w:rsidRPr="007B496B" w14:paraId="6725CB63"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919CC6B" w14:textId="77777777"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ANBIMA - Registro Debêntures (flat)</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DC418A3"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R$ 10.441,00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6F1F10A"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R$ 0,05</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AB905F1"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0,01%</w:t>
            </w:r>
          </w:p>
        </w:tc>
      </w:tr>
      <w:tr w:rsidR="006F3767" w:rsidRPr="007B496B" w14:paraId="02725DD8"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FF870D4" w14:textId="77777777" w:rsidR="006F3767" w:rsidRPr="007B496B" w:rsidRDefault="006F3767" w:rsidP="00440F91">
            <w:pPr>
              <w:spacing w:before="80" w:after="80"/>
              <w:jc w:val="left"/>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Prestadores de Serviço das Debêntures</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90D4304" w14:textId="77777777" w:rsidR="006F3767" w:rsidRPr="007B496B" w:rsidRDefault="006F3767" w:rsidP="00440F91">
            <w:pPr>
              <w:spacing w:before="80" w:after="80"/>
              <w:jc w:val="center"/>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R$ 1.153.657,23</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CD0CDAA" w14:textId="77777777" w:rsidR="006F3767" w:rsidRPr="007B496B" w:rsidRDefault="006F3767" w:rsidP="00440F91">
            <w:pPr>
              <w:spacing w:before="80" w:after="80"/>
              <w:jc w:val="center"/>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R$ 5,77</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16ECB19" w14:textId="77777777" w:rsidR="006F3767" w:rsidRPr="007B496B" w:rsidRDefault="006F3767" w:rsidP="00440F91">
            <w:pPr>
              <w:spacing w:before="80" w:after="80"/>
              <w:jc w:val="center"/>
              <w:rPr>
                <w:rFonts w:asciiTheme="minorHAnsi" w:hAnsiTheme="minorHAnsi" w:cstheme="minorHAnsi"/>
                <w:b/>
                <w:bCs/>
                <w:color w:val="000000"/>
                <w:sz w:val="16"/>
                <w:szCs w:val="16"/>
              </w:rPr>
            </w:pPr>
            <w:r w:rsidRPr="007B496B">
              <w:rPr>
                <w:rFonts w:asciiTheme="minorHAnsi" w:hAnsiTheme="minorHAnsi" w:cstheme="minorHAnsi"/>
                <w:b/>
                <w:bCs/>
                <w:color w:val="000000"/>
                <w:sz w:val="16"/>
                <w:szCs w:val="16"/>
              </w:rPr>
              <w:t>0,58%</w:t>
            </w:r>
          </w:p>
        </w:tc>
      </w:tr>
      <w:tr w:rsidR="006F3767" w:rsidRPr="007B496B" w14:paraId="4C76B66C"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886E030" w14:textId="77777777"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Agente Fiduciário das Debêntures (Manutenção) (anual)</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9537E89"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R$ 17.740,98</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32A2A4E"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R$ 0,09</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3A5D8B0"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0,01%</w:t>
            </w:r>
          </w:p>
        </w:tc>
      </w:tr>
      <w:tr w:rsidR="006F3767" w:rsidRPr="007B496B" w14:paraId="388AAEA6"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14128F3" w14:textId="77777777"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Agência de Classificação de Risco (Implantação) (anual)</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BCCB257"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R$ 361.516,03</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6E2990F"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R$ 1,81</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E16B781"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0,18%</w:t>
            </w:r>
          </w:p>
        </w:tc>
      </w:tr>
      <w:tr w:rsidR="006F3767" w:rsidRPr="007B496B" w14:paraId="4110808C"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B5AE787" w14:textId="77777777"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Escriturador e Banco Liquidante (implantação) (anual)</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970FBFD"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R$ 15.495,30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E7FD97F"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R$ 0,08</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9C7CD01"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0,01%</w:t>
            </w:r>
          </w:p>
        </w:tc>
      </w:tr>
      <w:tr w:rsidR="006F3767" w:rsidRPr="007B496B" w14:paraId="7F1BF6F9"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12044E4" w14:textId="6F474F00"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lastRenderedPageBreak/>
              <w:t>Auditores independentes (implantação) (flat)</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DFFA3FD"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R$ 375.000,00</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342ED7D"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R$ 1,88</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99DA051"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0,19%</w:t>
            </w:r>
          </w:p>
        </w:tc>
      </w:tr>
      <w:tr w:rsidR="006F3767" w:rsidRPr="007B496B" w14:paraId="458F09BC"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EDEAD75" w14:textId="77777777" w:rsidR="006F3767" w:rsidRPr="007B496B" w:rsidRDefault="006F3767" w:rsidP="00440F91">
            <w:pPr>
              <w:spacing w:before="80" w:after="80"/>
              <w:jc w:val="left"/>
              <w:rPr>
                <w:rFonts w:asciiTheme="minorHAnsi" w:hAnsiTheme="minorHAnsi" w:cstheme="minorHAnsi"/>
                <w:color w:val="000000"/>
                <w:sz w:val="16"/>
                <w:szCs w:val="16"/>
              </w:rPr>
            </w:pPr>
            <w:r w:rsidRPr="007B496B">
              <w:rPr>
                <w:rFonts w:asciiTheme="minorHAnsi" w:hAnsiTheme="minorHAnsi" w:cstheme="minorHAnsi"/>
                <w:color w:val="000000"/>
                <w:sz w:val="16"/>
                <w:szCs w:val="16"/>
              </w:rPr>
              <w:t xml:space="preserve">Assessores Jurídicos </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FB15D35"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R$ 383.904,92</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251B644"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R$ 1,92</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3C9F37F"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0,19%</w:t>
            </w:r>
          </w:p>
        </w:tc>
      </w:tr>
      <w:tr w:rsidR="006F3767" w:rsidRPr="007B496B" w14:paraId="3D3D867D" w14:textId="77777777" w:rsidTr="009B6FF9">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B753D6D" w14:textId="77777777" w:rsidR="006F3767" w:rsidRPr="00332057" w:rsidRDefault="006F3767" w:rsidP="00440F91">
            <w:pPr>
              <w:spacing w:before="80" w:after="80"/>
              <w:jc w:val="left"/>
              <w:rPr>
                <w:rFonts w:asciiTheme="minorHAnsi" w:hAnsiTheme="minorHAnsi" w:cstheme="minorHAnsi"/>
                <w:b/>
                <w:bCs/>
                <w:color w:val="000000"/>
                <w:sz w:val="16"/>
                <w:szCs w:val="16"/>
              </w:rPr>
            </w:pPr>
            <w:r w:rsidRPr="00332057">
              <w:rPr>
                <w:rFonts w:asciiTheme="minorHAnsi" w:hAnsiTheme="minorHAnsi" w:cstheme="minorHAnsi"/>
                <w:b/>
                <w:bCs/>
                <w:color w:val="000000"/>
                <w:sz w:val="16"/>
                <w:szCs w:val="16"/>
              </w:rPr>
              <w:t>Custo Total</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BC2470D"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R$ 8.734.993,26</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72CB05C"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R$ 43,67</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876B654" w14:textId="77777777" w:rsidR="006F3767" w:rsidRPr="007B496B" w:rsidRDefault="006F3767" w:rsidP="00440F91">
            <w:pPr>
              <w:spacing w:before="80" w:after="80"/>
              <w:jc w:val="center"/>
              <w:rPr>
                <w:rFonts w:asciiTheme="minorHAnsi" w:hAnsiTheme="minorHAnsi" w:cstheme="minorHAnsi"/>
                <w:color w:val="000000"/>
                <w:sz w:val="16"/>
                <w:szCs w:val="16"/>
              </w:rPr>
            </w:pPr>
            <w:r w:rsidRPr="007B496B">
              <w:rPr>
                <w:rFonts w:asciiTheme="minorHAnsi" w:hAnsiTheme="minorHAnsi" w:cstheme="minorHAnsi"/>
                <w:color w:val="000000"/>
                <w:sz w:val="16"/>
                <w:szCs w:val="16"/>
              </w:rPr>
              <w:t>4,37%</w:t>
            </w:r>
          </w:p>
        </w:tc>
      </w:tr>
      <w:tr w:rsidR="00332057" w:rsidRPr="007B496B" w14:paraId="6ECC2212" w14:textId="77777777" w:rsidTr="00440F91">
        <w:trPr>
          <w:trHeight w:val="20"/>
        </w:trPr>
        <w:tc>
          <w:tcPr>
            <w:tcW w:w="289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C5D384E" w14:textId="77777777" w:rsidR="00332057" w:rsidRPr="00CC0854" w:rsidRDefault="00332057" w:rsidP="00440F91">
            <w:pPr>
              <w:spacing w:before="80" w:after="80"/>
              <w:jc w:val="left"/>
              <w:rPr>
                <w:rFonts w:asciiTheme="minorHAnsi" w:hAnsiTheme="minorHAnsi"/>
                <w:b/>
                <w:color w:val="000000"/>
                <w:sz w:val="16"/>
              </w:rPr>
            </w:pPr>
            <w:r w:rsidRPr="00CC0854">
              <w:rPr>
                <w:rFonts w:asciiTheme="minorHAnsi" w:hAnsiTheme="minorHAnsi"/>
                <w:b/>
                <w:color w:val="000000"/>
                <w:sz w:val="16"/>
              </w:rPr>
              <w:t>Valor Líquido para a Emissora</w:t>
            </w:r>
          </w:p>
        </w:tc>
        <w:tc>
          <w:tcPr>
            <w:tcW w:w="784"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F4612CE" w14:textId="69C83CA7" w:rsidR="00332057" w:rsidRPr="00CC0854" w:rsidRDefault="00332057" w:rsidP="00440F91">
            <w:pPr>
              <w:spacing w:before="80" w:after="80"/>
              <w:jc w:val="center"/>
              <w:rPr>
                <w:rFonts w:asciiTheme="minorHAnsi" w:hAnsiTheme="minorHAnsi"/>
                <w:b/>
                <w:color w:val="000000"/>
                <w:sz w:val="16"/>
              </w:rPr>
            </w:pPr>
            <w:r w:rsidRPr="00CC0854">
              <w:rPr>
                <w:rFonts w:asciiTheme="minorHAnsi" w:hAnsiTheme="minorHAnsi"/>
                <w:b/>
                <w:color w:val="000000"/>
                <w:sz w:val="16"/>
              </w:rPr>
              <w:t xml:space="preserve">R$ </w:t>
            </w:r>
            <w:r w:rsidRPr="00332057">
              <w:rPr>
                <w:rFonts w:asciiTheme="minorHAnsi" w:hAnsiTheme="minorHAnsi" w:cstheme="minorHAnsi"/>
                <w:b/>
                <w:bCs/>
                <w:color w:val="000000"/>
                <w:sz w:val="16"/>
                <w:szCs w:val="16"/>
              </w:rPr>
              <w:t>188.203.744,48</w:t>
            </w:r>
          </w:p>
        </w:tc>
        <w:tc>
          <w:tcPr>
            <w:tcW w:w="626"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E4C3616" w14:textId="54970EF9" w:rsidR="00332057" w:rsidRPr="00CC0854" w:rsidRDefault="00332057" w:rsidP="00440F91">
            <w:pPr>
              <w:spacing w:before="80" w:after="80"/>
              <w:jc w:val="center"/>
              <w:rPr>
                <w:rFonts w:asciiTheme="minorHAnsi" w:hAnsiTheme="minorHAnsi"/>
                <w:b/>
                <w:color w:val="000000"/>
                <w:sz w:val="16"/>
              </w:rPr>
            </w:pPr>
            <w:r w:rsidRPr="00CC0854">
              <w:rPr>
                <w:rFonts w:asciiTheme="minorHAnsi" w:hAnsiTheme="minorHAnsi"/>
                <w:b/>
                <w:color w:val="000000"/>
                <w:sz w:val="16"/>
              </w:rPr>
              <w:t xml:space="preserve">R$ </w:t>
            </w:r>
            <w:r w:rsidRPr="00332057">
              <w:rPr>
                <w:rFonts w:asciiTheme="minorHAnsi" w:hAnsiTheme="minorHAnsi" w:cstheme="minorHAnsi"/>
                <w:b/>
                <w:bCs/>
                <w:color w:val="000000"/>
                <w:sz w:val="16"/>
                <w:szCs w:val="16"/>
              </w:rPr>
              <w:t>941,02</w:t>
            </w:r>
          </w:p>
        </w:tc>
        <w:tc>
          <w:tcPr>
            <w:tcW w:w="698"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CC3CE3F" w14:textId="27621D94" w:rsidR="00332057" w:rsidRPr="00440F91" w:rsidRDefault="00332057" w:rsidP="00440F91">
            <w:pPr>
              <w:spacing w:before="80" w:after="80"/>
              <w:jc w:val="center"/>
              <w:rPr>
                <w:rFonts w:asciiTheme="minorHAnsi" w:hAnsiTheme="minorHAnsi"/>
                <w:b/>
                <w:color w:val="000000"/>
                <w:sz w:val="16"/>
              </w:rPr>
            </w:pPr>
            <w:r w:rsidRPr="00332057">
              <w:rPr>
                <w:rFonts w:asciiTheme="minorHAnsi" w:hAnsiTheme="minorHAnsi" w:cstheme="minorHAnsi"/>
                <w:b/>
                <w:bCs/>
                <w:color w:val="000000"/>
                <w:sz w:val="16"/>
                <w:szCs w:val="16"/>
              </w:rPr>
              <w:t>94,10%</w:t>
            </w:r>
          </w:p>
        </w:tc>
      </w:tr>
    </w:tbl>
    <w:p w14:paraId="7120854D" w14:textId="2E502142" w:rsidR="0009638F" w:rsidRPr="001E6E9D" w:rsidRDefault="0009638F" w:rsidP="0009638F">
      <w:pPr>
        <w:spacing w:after="28"/>
        <w:ind w:left="396" w:hanging="396"/>
        <w:rPr>
          <w:rFonts w:asciiTheme="minorHAnsi" w:hAnsiTheme="minorHAnsi" w:cstheme="minorHAnsi"/>
        </w:rPr>
      </w:pPr>
      <w:r w:rsidRPr="001E6E9D">
        <w:rPr>
          <w:rFonts w:asciiTheme="minorHAnsi" w:hAnsiTheme="minorHAnsi" w:cstheme="minorHAnsi"/>
          <w:sz w:val="14"/>
          <w:vertAlign w:val="superscript"/>
        </w:rPr>
        <w:t>(1)</w:t>
      </w:r>
      <w:r w:rsidRPr="001E6E9D">
        <w:rPr>
          <w:rFonts w:asciiTheme="minorHAnsi" w:hAnsiTheme="minorHAnsi" w:cstheme="minorHAnsi"/>
          <w:sz w:val="14"/>
        </w:rPr>
        <w:tab/>
      </w:r>
      <w:r w:rsidRPr="0009638F">
        <w:rPr>
          <w:rFonts w:asciiTheme="minorHAnsi" w:hAnsiTheme="minorHAnsi" w:cstheme="minorHAnsi"/>
          <w:sz w:val="14"/>
        </w:rPr>
        <w:t>Valores arredondados e estimados calculados com base em dados da data deste Prospecto. Os valores finais das despesas podem vir a ser ligeiramente diferentes dos mencionados na tabela acima</w:t>
      </w:r>
      <w:r w:rsidRPr="001E6E9D">
        <w:rPr>
          <w:rFonts w:asciiTheme="minorHAnsi" w:hAnsiTheme="minorHAnsi" w:cstheme="minorHAnsi"/>
          <w:sz w:val="14"/>
        </w:rPr>
        <w:t>.</w:t>
      </w:r>
    </w:p>
    <w:p w14:paraId="07A6E0CC" w14:textId="2C430C20" w:rsidR="0009638F" w:rsidRPr="001E6E9D" w:rsidRDefault="0009638F" w:rsidP="0009638F">
      <w:pPr>
        <w:spacing w:after="28"/>
        <w:ind w:left="396" w:hanging="396"/>
        <w:rPr>
          <w:rFonts w:asciiTheme="minorHAnsi" w:hAnsiTheme="minorHAnsi" w:cstheme="minorHAnsi"/>
        </w:rPr>
      </w:pPr>
      <w:r w:rsidRPr="001E6E9D">
        <w:rPr>
          <w:rFonts w:asciiTheme="minorHAnsi" w:hAnsiTheme="minorHAnsi" w:cstheme="minorHAnsi"/>
          <w:sz w:val="14"/>
          <w:vertAlign w:val="superscript"/>
        </w:rPr>
        <w:t>(2)</w:t>
      </w:r>
      <w:r w:rsidRPr="001E6E9D">
        <w:rPr>
          <w:rFonts w:asciiTheme="minorHAnsi" w:hAnsiTheme="minorHAnsi" w:cstheme="minorHAnsi"/>
          <w:sz w:val="14"/>
        </w:rPr>
        <w:tab/>
      </w:r>
      <w:r w:rsidRPr="0009638F">
        <w:rPr>
          <w:rFonts w:asciiTheme="minorHAnsi" w:hAnsiTheme="minorHAnsi" w:cstheme="minorHAnsi"/>
          <w:sz w:val="14"/>
        </w:rPr>
        <w:t>O custo da Oferta por Debêntures corresponde ao quociente obtido pela divisão do custo total da Oferta pelo número de Debêntures</w:t>
      </w:r>
      <w:r w:rsidRPr="001E6E9D">
        <w:rPr>
          <w:rFonts w:asciiTheme="minorHAnsi" w:hAnsiTheme="minorHAnsi" w:cstheme="minorHAnsi"/>
          <w:sz w:val="14"/>
        </w:rPr>
        <w:t>.</w:t>
      </w:r>
    </w:p>
    <w:p w14:paraId="280AB579" w14:textId="12E9E53C" w:rsidR="0009638F" w:rsidRPr="001E6E9D" w:rsidRDefault="0009638F" w:rsidP="0009638F">
      <w:pPr>
        <w:spacing w:after="28"/>
        <w:ind w:left="396" w:hanging="396"/>
        <w:rPr>
          <w:rFonts w:asciiTheme="minorHAnsi" w:hAnsiTheme="minorHAnsi" w:cstheme="minorHAnsi"/>
        </w:rPr>
      </w:pPr>
      <w:r w:rsidRPr="001E6E9D">
        <w:rPr>
          <w:rFonts w:asciiTheme="minorHAnsi" w:hAnsiTheme="minorHAnsi" w:cstheme="minorHAnsi"/>
          <w:sz w:val="14"/>
          <w:vertAlign w:val="superscript"/>
        </w:rPr>
        <w:t>(3)</w:t>
      </w:r>
      <w:r w:rsidRPr="001E6E9D">
        <w:rPr>
          <w:rFonts w:asciiTheme="minorHAnsi" w:hAnsiTheme="minorHAnsi" w:cstheme="minorHAnsi"/>
          <w:sz w:val="14"/>
        </w:rPr>
        <w:tab/>
      </w:r>
      <w:r w:rsidR="00AC766D" w:rsidRPr="00AC766D">
        <w:rPr>
          <w:rFonts w:asciiTheme="minorHAnsi" w:hAnsiTheme="minorHAnsi" w:cstheme="minorHAnsi"/>
          <w:sz w:val="14"/>
        </w:rPr>
        <w:t>Pelos trabalhos de estruturação das Debêntures, os Coordenadores farão jus, a um comissionamento correspondente a 0,50% (cinquenta centésimos por cento) sobre o montante total emitido efetivamente subscrito e integralizado, calculado com base no Preço de Integralização das Debêntures, independente do exercício ou não da Garantia Firme, na proporção da respectiva Garantia Firme prestada por cada Coordenador, ou seja, 50% (cinquenta por cento) do valor indicado para cada Coordenador</w:t>
      </w:r>
      <w:r w:rsidRPr="001E6E9D">
        <w:rPr>
          <w:rFonts w:asciiTheme="minorHAnsi" w:hAnsiTheme="minorHAnsi" w:cstheme="minorHAnsi"/>
          <w:sz w:val="14"/>
        </w:rPr>
        <w:t>.</w:t>
      </w:r>
    </w:p>
    <w:p w14:paraId="3DE0A1BF" w14:textId="7D27406B" w:rsidR="0009638F" w:rsidRDefault="0009638F" w:rsidP="0009638F">
      <w:pPr>
        <w:spacing w:after="28"/>
        <w:ind w:left="396" w:hanging="396"/>
        <w:rPr>
          <w:rFonts w:asciiTheme="minorHAnsi" w:hAnsiTheme="minorHAnsi" w:cstheme="minorHAnsi"/>
          <w:sz w:val="14"/>
        </w:rPr>
      </w:pPr>
      <w:r w:rsidRPr="001E6E9D">
        <w:rPr>
          <w:rFonts w:asciiTheme="minorHAnsi" w:hAnsiTheme="minorHAnsi" w:cstheme="minorHAnsi"/>
          <w:sz w:val="14"/>
          <w:vertAlign w:val="superscript"/>
        </w:rPr>
        <w:t>(4)</w:t>
      </w:r>
      <w:r w:rsidRPr="001E6E9D">
        <w:rPr>
          <w:rFonts w:asciiTheme="minorHAnsi" w:hAnsiTheme="minorHAnsi" w:cstheme="minorHAnsi"/>
          <w:sz w:val="14"/>
        </w:rPr>
        <w:tab/>
      </w:r>
      <w:r w:rsidR="00AC766D" w:rsidRPr="00AC766D">
        <w:rPr>
          <w:rFonts w:asciiTheme="minorHAnsi" w:hAnsiTheme="minorHAnsi" w:cstheme="minorHAnsi"/>
          <w:sz w:val="14"/>
        </w:rPr>
        <w:t>Pela prestação de Garantia Firme referente às Debêntures os Coordenadores e/ou as Empresas do Grupo BTG Pactual e/ou as Empresas do Grupo Itaú, conforme aplicável</w:t>
      </w:r>
      <w:r w:rsidR="00986C47">
        <w:rPr>
          <w:rFonts w:asciiTheme="minorHAnsi" w:hAnsiTheme="minorHAnsi" w:cstheme="minorHAnsi"/>
          <w:sz w:val="14"/>
        </w:rPr>
        <w:t>, farão jus</w:t>
      </w:r>
      <w:r w:rsidR="00AC766D" w:rsidRPr="00AC766D">
        <w:rPr>
          <w:rFonts w:asciiTheme="minorHAnsi" w:hAnsiTheme="minorHAnsi" w:cstheme="minorHAnsi"/>
          <w:sz w:val="14"/>
        </w:rPr>
        <w:t xml:space="preserve"> a um comissionamento correspondente a 0,50% (cinquenta centésimos por cento) sobre o montante total emitido efetivamente subscrito e integralizado, calculado com base no Preço de Integralização das Debêntures, na proporção da respectiva Garantia Firme prestada por cada Coordenador, ou seja, 50% (cinquenta por cento) do valor indicado para cada Coordenador</w:t>
      </w:r>
      <w:r w:rsidRPr="001E6E9D">
        <w:rPr>
          <w:rFonts w:asciiTheme="minorHAnsi" w:hAnsiTheme="minorHAnsi" w:cstheme="minorHAnsi"/>
          <w:sz w:val="14"/>
        </w:rPr>
        <w:t>.</w:t>
      </w:r>
    </w:p>
    <w:p w14:paraId="4A9DFCE8" w14:textId="6FA63E12" w:rsidR="00540CC8" w:rsidRPr="001E6E9D" w:rsidRDefault="00540CC8" w:rsidP="00540CC8">
      <w:pPr>
        <w:spacing w:after="28"/>
        <w:ind w:left="396" w:hanging="396"/>
        <w:rPr>
          <w:rFonts w:asciiTheme="minorHAnsi" w:hAnsiTheme="minorHAnsi" w:cstheme="minorHAnsi"/>
        </w:rPr>
      </w:pPr>
      <w:r w:rsidRPr="001E6E9D">
        <w:rPr>
          <w:rFonts w:asciiTheme="minorHAnsi" w:hAnsiTheme="minorHAnsi" w:cstheme="minorHAnsi"/>
          <w:sz w:val="14"/>
          <w:vertAlign w:val="superscript"/>
        </w:rPr>
        <w:t>(</w:t>
      </w:r>
      <w:r>
        <w:rPr>
          <w:rFonts w:asciiTheme="minorHAnsi" w:hAnsiTheme="minorHAnsi" w:cstheme="minorHAnsi"/>
          <w:sz w:val="14"/>
          <w:vertAlign w:val="superscript"/>
        </w:rPr>
        <w:t>5</w:t>
      </w:r>
      <w:r w:rsidRPr="001E6E9D">
        <w:rPr>
          <w:rFonts w:asciiTheme="minorHAnsi" w:hAnsiTheme="minorHAnsi" w:cstheme="minorHAnsi"/>
          <w:sz w:val="14"/>
          <w:vertAlign w:val="superscript"/>
        </w:rPr>
        <w:t>)</w:t>
      </w:r>
      <w:r w:rsidRPr="001E6E9D">
        <w:rPr>
          <w:rFonts w:asciiTheme="minorHAnsi" w:hAnsiTheme="minorHAnsi" w:cstheme="minorHAnsi"/>
          <w:sz w:val="14"/>
        </w:rPr>
        <w:tab/>
      </w:r>
      <w:r w:rsidR="009006F4">
        <w:rPr>
          <w:rFonts w:asciiTheme="minorHAnsi" w:hAnsiTheme="minorHAnsi" w:cstheme="minorHAnsi"/>
          <w:sz w:val="14"/>
        </w:rPr>
        <w:t xml:space="preserve">A </w:t>
      </w:r>
      <w:r w:rsidR="00AC766D" w:rsidRPr="00AC766D">
        <w:rPr>
          <w:rFonts w:asciiTheme="minorHAnsi" w:hAnsiTheme="minorHAnsi" w:cstheme="minorHAnsi"/>
          <w:sz w:val="14"/>
        </w:rPr>
        <w:t>este título, a Emissora pagará aos Coordenadores e/ou às Empresas do Grupo BTG Pactual e/ou às Empresas do Grupo Itaú, conforme aplicável, uma comissão no valor equivalente ao percentual de 0,25% (vinte e cinco centésimos por cento) ao ano, multiplicado pelo prazo médio das Debêntures e incidente sobre o Valor Total da Emissão, na proporção da respectiva Garantia Firme prestada por cada Coordenador, ou seja, 50% (cinquenta por cento) do valor indicado para cada Coordenador</w:t>
      </w:r>
      <w:r w:rsidRPr="001E6E9D">
        <w:rPr>
          <w:rFonts w:asciiTheme="minorHAnsi" w:hAnsiTheme="minorHAnsi" w:cstheme="minorHAnsi"/>
          <w:sz w:val="14"/>
        </w:rPr>
        <w:t>.</w:t>
      </w:r>
    </w:p>
    <w:p w14:paraId="7E6D8541" w14:textId="126045D0" w:rsidR="00540CC8" w:rsidRDefault="00540CC8" w:rsidP="003E3FF8">
      <w:pPr>
        <w:spacing w:after="28"/>
        <w:ind w:left="396" w:hanging="396"/>
        <w:rPr>
          <w:rFonts w:asciiTheme="minorHAnsi" w:hAnsiTheme="minorHAnsi" w:cstheme="minorHAnsi"/>
          <w:sz w:val="14"/>
        </w:rPr>
      </w:pPr>
      <w:r w:rsidRPr="001E6E9D">
        <w:rPr>
          <w:rFonts w:asciiTheme="minorHAnsi" w:hAnsiTheme="minorHAnsi" w:cstheme="minorHAnsi"/>
          <w:sz w:val="14"/>
          <w:vertAlign w:val="superscript"/>
        </w:rPr>
        <w:t>(</w:t>
      </w:r>
      <w:r>
        <w:rPr>
          <w:rFonts w:asciiTheme="minorHAnsi" w:hAnsiTheme="minorHAnsi" w:cstheme="minorHAnsi"/>
          <w:sz w:val="14"/>
          <w:vertAlign w:val="superscript"/>
        </w:rPr>
        <w:t>6</w:t>
      </w:r>
      <w:r w:rsidRPr="001E6E9D">
        <w:rPr>
          <w:rFonts w:asciiTheme="minorHAnsi" w:hAnsiTheme="minorHAnsi" w:cstheme="minorHAnsi"/>
          <w:sz w:val="14"/>
          <w:vertAlign w:val="superscript"/>
        </w:rPr>
        <w:t>)</w:t>
      </w:r>
      <w:r w:rsidRPr="001E6E9D">
        <w:rPr>
          <w:rFonts w:asciiTheme="minorHAnsi" w:hAnsiTheme="minorHAnsi" w:cstheme="minorHAnsi"/>
          <w:sz w:val="14"/>
        </w:rPr>
        <w:tab/>
      </w:r>
      <w:r w:rsidR="009006F4">
        <w:rPr>
          <w:rFonts w:asciiTheme="minorHAnsi" w:hAnsiTheme="minorHAnsi" w:cstheme="minorHAnsi"/>
          <w:sz w:val="14"/>
        </w:rPr>
        <w:t>A</w:t>
      </w:r>
      <w:r w:rsidR="00AC766D" w:rsidRPr="00AC766D">
        <w:rPr>
          <w:rFonts w:asciiTheme="minorHAnsi" w:hAnsiTheme="minorHAnsi" w:cstheme="minorHAnsi"/>
          <w:sz w:val="14"/>
        </w:rPr>
        <w:t xml:space="preserve"> este título, exclusivamente em relação às Debêntures, a Emissora pagará aos Coordenadores e/ou às Empresas do Grupo BTG Pactual e/ou às Empresas Itaú, conforme aplicável, uma comissão de sucesso equivalente a 30% (trinta por cento) sobre a diferença entre a taxa máxima dos Juros Remuneratórios e a taxa final dos Juros Remuneratórios, apurada conforme o Procedimento de </w:t>
      </w:r>
      <w:r w:rsidR="00AC766D" w:rsidRPr="009006F4">
        <w:rPr>
          <w:rFonts w:asciiTheme="minorHAnsi" w:hAnsiTheme="minorHAnsi" w:cstheme="minorHAnsi"/>
          <w:i/>
          <w:sz w:val="14"/>
        </w:rPr>
        <w:t>Bookbuilding</w:t>
      </w:r>
      <w:r w:rsidR="00AC766D" w:rsidRPr="00AC766D">
        <w:rPr>
          <w:rFonts w:asciiTheme="minorHAnsi" w:hAnsiTheme="minorHAnsi" w:cstheme="minorHAnsi"/>
          <w:sz w:val="14"/>
        </w:rPr>
        <w:t>, multiplicada pelo prazo médio das Debêntures e pelo Valor Total da Emissão, na proporção da respectiva Garantia Firme prestada por cada Coordenador</w:t>
      </w:r>
      <w:r w:rsidR="009006F4" w:rsidRPr="00AC766D">
        <w:rPr>
          <w:rFonts w:asciiTheme="minorHAnsi" w:hAnsiTheme="minorHAnsi" w:cstheme="minorHAnsi"/>
          <w:sz w:val="14"/>
        </w:rPr>
        <w:t>, ou seja, 50% (cinquenta por cento) do valor indicado para cada Coordenador</w:t>
      </w:r>
      <w:r w:rsidRPr="001E6E9D">
        <w:rPr>
          <w:rFonts w:asciiTheme="minorHAnsi" w:hAnsiTheme="minorHAnsi" w:cstheme="minorHAnsi"/>
          <w:sz w:val="14"/>
        </w:rPr>
        <w:t>.</w:t>
      </w:r>
    </w:p>
    <w:p w14:paraId="11CF325C" w14:textId="77777777" w:rsidR="003468A1" w:rsidRPr="001E6E9D" w:rsidRDefault="0053704D" w:rsidP="00DC7081">
      <w:pPr>
        <w:pStyle w:val="Ttulo1"/>
        <w:rPr>
          <w:lang w:eastAsia="pt-BR"/>
        </w:rPr>
      </w:pPr>
      <w:bookmarkStart w:id="272" w:name="_Ref158845024"/>
      <w:bookmarkStart w:id="273" w:name="_Toc159073501"/>
      <w:bookmarkStart w:id="274" w:name="_Toc184129244"/>
      <w:r w:rsidRPr="001E6E9D">
        <w:rPr>
          <w:lang w:eastAsia="pt-BR"/>
        </w:rPr>
        <w:lastRenderedPageBreak/>
        <w:t>10.</w:t>
      </w:r>
      <w:r w:rsidR="00DE38C0" w:rsidRPr="001E6E9D">
        <w:rPr>
          <w:lang w:eastAsia="pt-BR"/>
        </w:rPr>
        <w:t xml:space="preserve"> </w:t>
      </w:r>
      <w:r w:rsidRPr="001E6E9D">
        <w:rPr>
          <w:lang w:eastAsia="pt-BR"/>
        </w:rPr>
        <w:t>INFORMAÇÕES RELATIVAS AOS TERCEIROS PRESTADORES DE GARANTIA</w:t>
      </w:r>
      <w:bookmarkEnd w:id="272"/>
      <w:bookmarkEnd w:id="273"/>
      <w:bookmarkEnd w:id="274"/>
    </w:p>
    <w:p w14:paraId="54CBBCDA" w14:textId="77777777" w:rsidR="0053704D" w:rsidRPr="001E6E9D" w:rsidRDefault="0053704D" w:rsidP="00DC7081">
      <w:pPr>
        <w:pStyle w:val="Ttulo2"/>
        <w:rPr>
          <w:rFonts w:eastAsiaTheme="majorEastAsia"/>
        </w:rPr>
      </w:pPr>
      <w:bookmarkStart w:id="275" w:name="_Ref158845025"/>
      <w:bookmarkStart w:id="276" w:name="_Toc159073502"/>
      <w:bookmarkStart w:id="277" w:name="_Toc184129245"/>
      <w:r w:rsidRPr="001E6E9D">
        <w:rPr>
          <w:rFonts w:eastAsiaTheme="majorEastAsia"/>
        </w:rPr>
        <w:t>10.1.</w:t>
      </w:r>
      <w:r w:rsidR="0093395C" w:rsidRPr="001E6E9D">
        <w:rPr>
          <w:rFonts w:eastAsiaTheme="majorEastAsia"/>
        </w:rPr>
        <w:t xml:space="preserve"> </w:t>
      </w:r>
      <w:r w:rsidRPr="001E6E9D">
        <w:rPr>
          <w:rFonts w:eastAsiaTheme="majorEastAsia"/>
        </w:rPr>
        <w:t>Denominação social, CNPJ, sede e objeto social.</w:t>
      </w:r>
      <w:bookmarkEnd w:id="275"/>
      <w:bookmarkEnd w:id="276"/>
      <w:bookmarkEnd w:id="277"/>
    </w:p>
    <w:p w14:paraId="0DC7ABA3" w14:textId="588743EC" w:rsidR="006F5AF2" w:rsidRPr="001E6E9D" w:rsidRDefault="006F5AF2" w:rsidP="00DC7081">
      <w:pPr>
        <w:rPr>
          <w:rFonts w:asciiTheme="minorHAnsi" w:hAnsiTheme="minorHAnsi" w:cstheme="minorHAnsi"/>
          <w:szCs w:val="20"/>
        </w:rPr>
      </w:pPr>
      <w:r w:rsidRPr="001E6E9D">
        <w:rPr>
          <w:rFonts w:asciiTheme="minorHAnsi" w:hAnsiTheme="minorHAnsi" w:cstheme="minorHAnsi"/>
          <w:b/>
          <w:bCs/>
          <w:szCs w:val="20"/>
        </w:rPr>
        <w:t>UFV MG II EQUIPAMENTOS FOTOVOLTAICOS LTDA</w:t>
      </w:r>
      <w:r w:rsidRPr="001E6E9D">
        <w:rPr>
          <w:rFonts w:asciiTheme="minorHAnsi" w:hAnsiTheme="minorHAnsi" w:cstheme="minorHAnsi"/>
          <w:b/>
          <w:szCs w:val="20"/>
        </w:rPr>
        <w:t>.</w:t>
      </w:r>
      <w:r w:rsidR="00D00168" w:rsidRPr="001E6E9D">
        <w:rPr>
          <w:rFonts w:asciiTheme="minorHAnsi" w:hAnsiTheme="minorHAnsi" w:cstheme="minorHAnsi"/>
          <w:b/>
          <w:szCs w:val="20"/>
        </w:rPr>
        <w:t xml:space="preserve"> </w:t>
      </w:r>
      <w:r w:rsidR="00D00168" w:rsidRPr="001E6E9D">
        <w:rPr>
          <w:rFonts w:asciiTheme="minorHAnsi" w:hAnsiTheme="minorHAnsi" w:cstheme="minorHAnsi"/>
          <w:szCs w:val="20"/>
        </w:rPr>
        <w:t>(</w:t>
      </w:r>
      <w:r w:rsidR="000D5E35" w:rsidRPr="001E6E9D">
        <w:rPr>
          <w:rFonts w:asciiTheme="minorHAnsi" w:hAnsiTheme="minorHAnsi" w:cstheme="minorHAnsi"/>
          <w:szCs w:val="20"/>
        </w:rPr>
        <w:t>“</w:t>
      </w:r>
      <w:r w:rsidR="00D00168" w:rsidRPr="001E6E9D">
        <w:rPr>
          <w:rFonts w:asciiTheme="minorHAnsi" w:hAnsiTheme="minorHAnsi" w:cstheme="minorHAnsi"/>
          <w:szCs w:val="20"/>
          <w:u w:val="single"/>
        </w:rPr>
        <w:t>SPE</w:t>
      </w:r>
      <w:r w:rsidR="00BD6052" w:rsidRPr="001E6E9D">
        <w:rPr>
          <w:rFonts w:asciiTheme="minorHAnsi" w:hAnsiTheme="minorHAnsi" w:cstheme="minorHAnsi"/>
          <w:szCs w:val="20"/>
          <w:u w:val="single"/>
        </w:rPr>
        <w:t xml:space="preserve"> 1</w:t>
      </w:r>
      <w:r w:rsidR="00D00168" w:rsidRPr="001E6E9D">
        <w:rPr>
          <w:rFonts w:asciiTheme="minorHAnsi" w:hAnsiTheme="minorHAnsi" w:cstheme="minorHAnsi"/>
          <w:szCs w:val="20"/>
        </w:rPr>
        <w:t>”)</w:t>
      </w:r>
    </w:p>
    <w:p w14:paraId="0E1D25F4" w14:textId="0DD26025" w:rsidR="00345FED" w:rsidRPr="001E6E9D" w:rsidRDefault="00345FE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xml:space="preserve">: </w:t>
      </w:r>
      <w:r w:rsidR="00D00168" w:rsidRPr="001E6E9D">
        <w:rPr>
          <w:rFonts w:asciiTheme="minorHAnsi" w:eastAsia="Times New Roman" w:hAnsiTheme="minorHAnsi" w:cstheme="minorHAnsi"/>
          <w:szCs w:val="20"/>
          <w:lang w:eastAsia="pt-BR"/>
        </w:rPr>
        <w:t>UFV MG II EQUIPAMENTOS FOTOVOLTAICOS LTDA.</w:t>
      </w:r>
    </w:p>
    <w:p w14:paraId="0F45CA19" w14:textId="5CC37451" w:rsidR="00345FED" w:rsidRPr="001E6E9D" w:rsidRDefault="00345FE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00D00168" w:rsidRPr="001E6E9D">
        <w:rPr>
          <w:rFonts w:asciiTheme="minorHAnsi" w:hAnsiTheme="minorHAnsi" w:cstheme="minorHAnsi"/>
          <w:szCs w:val="20"/>
        </w:rPr>
        <w:t>30.245.874/0001-70</w:t>
      </w:r>
    </w:p>
    <w:p w14:paraId="0366ED5D" w14:textId="1C2C1A03" w:rsidR="00345FED" w:rsidRPr="001E6E9D" w:rsidRDefault="00345FE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00D00168" w:rsidRPr="001E6E9D">
        <w:rPr>
          <w:rFonts w:asciiTheme="minorHAnsi" w:hAnsiTheme="minorHAnsi" w:cstheme="minorHAnsi"/>
          <w:szCs w:val="20"/>
        </w:rPr>
        <w:t>cidade de Jaíba, estado de Minas Gerais, loteamento Nova Cachoeirinha – Rio Verde II, CEP 39.508-000</w:t>
      </w:r>
    </w:p>
    <w:p w14:paraId="10423B5B" w14:textId="77777777" w:rsidR="00065DBC" w:rsidRPr="001E6E9D" w:rsidRDefault="00345FE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D00168" w:rsidRPr="001E6E9D">
        <w:rPr>
          <w:rFonts w:asciiTheme="minorHAnsi" w:hAnsiTheme="minorHAnsi" w:cstheme="minorHAnsi"/>
          <w:szCs w:val="20"/>
        </w:rPr>
        <w:t>(i) o aluguel de máquinas e equipamentos fotovoltaicos; (ii) a locação e sublocação de imóveis; (iii) a instalação de máquinas e equipamentos industriais; (iv) obras de montagem industrial; e (v) comércio atacadista de máquinas e equipamentos.</w:t>
      </w:r>
    </w:p>
    <w:p w14:paraId="62CD889F" w14:textId="7FAC4CDF" w:rsidR="0072083D" w:rsidRPr="001E6E9D" w:rsidRDefault="006F5AF2" w:rsidP="00DC7081">
      <w:pPr>
        <w:rPr>
          <w:rFonts w:asciiTheme="minorHAnsi" w:hAnsiTheme="minorHAnsi" w:cstheme="minorHAnsi"/>
          <w:szCs w:val="20"/>
        </w:rPr>
      </w:pPr>
      <w:bookmarkStart w:id="278" w:name="_Hlk182302133"/>
      <w:r w:rsidRPr="001E6E9D">
        <w:rPr>
          <w:rFonts w:asciiTheme="minorHAnsi" w:hAnsiTheme="minorHAnsi" w:cstheme="minorHAnsi"/>
          <w:b/>
          <w:bCs/>
          <w:szCs w:val="20"/>
        </w:rPr>
        <w:t>UFV MG III EQUIPAMENTOS FOTOVOLTAICOS LTDA.</w:t>
      </w:r>
      <w:bookmarkEnd w:id="278"/>
      <w:r w:rsidR="00785D2D" w:rsidRPr="001E6E9D">
        <w:rPr>
          <w:rFonts w:asciiTheme="minorHAnsi" w:hAnsiTheme="minorHAnsi" w:cstheme="minorHAnsi"/>
          <w:szCs w:val="20"/>
        </w:rPr>
        <w:t xml:space="preserve"> (</w:t>
      </w:r>
      <w:r w:rsidR="000D5E35" w:rsidRPr="001E6E9D">
        <w:rPr>
          <w:rFonts w:asciiTheme="minorHAnsi" w:hAnsiTheme="minorHAnsi" w:cstheme="minorHAnsi"/>
          <w:szCs w:val="20"/>
        </w:rPr>
        <w:t>“</w:t>
      </w:r>
      <w:r w:rsidR="00785D2D" w:rsidRPr="001E6E9D">
        <w:rPr>
          <w:rFonts w:asciiTheme="minorHAnsi" w:hAnsiTheme="minorHAnsi" w:cstheme="minorHAnsi"/>
          <w:szCs w:val="20"/>
          <w:u w:val="single"/>
        </w:rPr>
        <w:t xml:space="preserve">SPE </w:t>
      </w:r>
      <w:r w:rsidR="00BD6052" w:rsidRPr="001E6E9D">
        <w:rPr>
          <w:rFonts w:asciiTheme="minorHAnsi" w:hAnsiTheme="minorHAnsi" w:cstheme="minorHAnsi"/>
          <w:szCs w:val="20"/>
          <w:u w:val="single"/>
        </w:rPr>
        <w:t>2</w:t>
      </w:r>
      <w:r w:rsidR="00785D2D" w:rsidRPr="001E6E9D">
        <w:rPr>
          <w:rFonts w:asciiTheme="minorHAnsi" w:hAnsiTheme="minorHAnsi" w:cstheme="minorHAnsi"/>
          <w:szCs w:val="20"/>
        </w:rPr>
        <w:t>”)</w:t>
      </w:r>
      <w:r w:rsidRPr="001E6E9D">
        <w:rPr>
          <w:rFonts w:asciiTheme="minorHAnsi" w:hAnsiTheme="minorHAnsi" w:cstheme="minorHAnsi"/>
          <w:szCs w:val="20"/>
        </w:rPr>
        <w:t xml:space="preserve"> </w:t>
      </w:r>
    </w:p>
    <w:p w14:paraId="6B3437FB" w14:textId="0134B1BA" w:rsidR="00345FED" w:rsidRPr="001E6E9D" w:rsidRDefault="00345FE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xml:space="preserve">: </w:t>
      </w:r>
      <w:r w:rsidR="00785D2D" w:rsidRPr="001E6E9D">
        <w:rPr>
          <w:rFonts w:asciiTheme="minorHAnsi" w:eastAsia="Times New Roman" w:hAnsiTheme="minorHAnsi" w:cstheme="minorHAnsi"/>
          <w:szCs w:val="20"/>
          <w:lang w:eastAsia="pt-BR"/>
        </w:rPr>
        <w:t>UFV MG III EQUIPAMENTOS FOTOVOLTAICOS LTDA.</w:t>
      </w:r>
    </w:p>
    <w:p w14:paraId="4D547B2A" w14:textId="2A9AEAB8" w:rsidR="00345FED" w:rsidRPr="001E6E9D" w:rsidRDefault="00345FE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00785D2D" w:rsidRPr="001E6E9D">
        <w:rPr>
          <w:rFonts w:asciiTheme="minorHAnsi" w:hAnsiTheme="minorHAnsi" w:cstheme="minorHAnsi"/>
          <w:szCs w:val="20"/>
        </w:rPr>
        <w:t>30.165.140/0001-80</w:t>
      </w:r>
    </w:p>
    <w:p w14:paraId="3D05D226" w14:textId="46F0D9E2" w:rsidR="00345FED" w:rsidRPr="001E6E9D" w:rsidRDefault="00345FE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00785D2D" w:rsidRPr="001E6E9D">
        <w:rPr>
          <w:rFonts w:asciiTheme="minorHAnsi" w:hAnsiTheme="minorHAnsi" w:cstheme="minorHAnsi"/>
          <w:szCs w:val="20"/>
        </w:rPr>
        <w:t xml:space="preserve">cidade de </w:t>
      </w:r>
      <w:r w:rsidR="001E6CF7" w:rsidRPr="001E6E9D">
        <w:rPr>
          <w:rFonts w:asciiTheme="minorHAnsi" w:hAnsiTheme="minorHAnsi" w:cstheme="minorHAnsi"/>
          <w:szCs w:val="20"/>
        </w:rPr>
        <w:t>Janaúba</w:t>
      </w:r>
      <w:r w:rsidR="00785D2D" w:rsidRPr="001E6E9D">
        <w:rPr>
          <w:rFonts w:asciiTheme="minorHAnsi" w:hAnsiTheme="minorHAnsi" w:cstheme="minorHAnsi"/>
          <w:szCs w:val="20"/>
        </w:rPr>
        <w:t>, estado de Minas Gerais, na Est. Janaúba/Jatai, CEP 39440-001</w:t>
      </w:r>
    </w:p>
    <w:p w14:paraId="0BE6205C" w14:textId="4CAB6EBB" w:rsidR="00065DBC" w:rsidRPr="001E6E9D" w:rsidRDefault="00345FE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hAnsiTheme="minorHAnsi" w:cstheme="minorHAnsi"/>
          <w:szCs w:val="20"/>
        </w:rPr>
        <w:t>(i) o aluguel de máquinas e equipamentos fotovoltaicos; (ii) a locação e sublocação de imóveis; (iii) a instalação de máquinas e equipamentos industriais; (iv) obras de montagem industrial; e (v) comércio atacadista de máquinas e equipamentos.</w:t>
      </w:r>
    </w:p>
    <w:p w14:paraId="542710F5" w14:textId="06263012" w:rsidR="00BD6052" w:rsidRPr="001E6E9D" w:rsidRDefault="00BD6052" w:rsidP="00DC7081">
      <w:pPr>
        <w:rPr>
          <w:rFonts w:asciiTheme="minorHAnsi" w:hAnsiTheme="minorHAnsi" w:cstheme="minorHAnsi"/>
          <w:szCs w:val="20"/>
        </w:rPr>
      </w:pPr>
      <w:r w:rsidRPr="001E6E9D">
        <w:rPr>
          <w:rFonts w:asciiTheme="minorHAnsi" w:hAnsiTheme="minorHAnsi" w:cstheme="minorHAnsi"/>
          <w:b/>
          <w:bCs/>
          <w:szCs w:val="20"/>
        </w:rPr>
        <w:t xml:space="preserve">FARO OLINDA LOCAÇÃO E SOLUÇÕES EM ENERGIA SOLAR LTDA. </w:t>
      </w:r>
      <w:r w:rsidRPr="001E6E9D">
        <w:rPr>
          <w:rFonts w:asciiTheme="minorHAnsi" w:hAnsiTheme="minorHAnsi" w:cstheme="minorHAnsi"/>
          <w:szCs w:val="20"/>
        </w:rPr>
        <w:t>(</w:t>
      </w:r>
      <w:r w:rsidR="000D5E35" w:rsidRPr="001E6E9D">
        <w:rPr>
          <w:rFonts w:asciiTheme="minorHAnsi" w:hAnsiTheme="minorHAnsi" w:cstheme="minorHAnsi"/>
          <w:szCs w:val="20"/>
        </w:rPr>
        <w:t>“</w:t>
      </w:r>
      <w:r w:rsidRPr="001E6E9D">
        <w:rPr>
          <w:rFonts w:asciiTheme="minorHAnsi" w:hAnsiTheme="minorHAnsi" w:cstheme="minorHAnsi"/>
          <w:szCs w:val="20"/>
          <w:u w:val="single"/>
        </w:rPr>
        <w:t>SPE 3</w:t>
      </w:r>
      <w:r w:rsidRPr="001E6E9D">
        <w:rPr>
          <w:rFonts w:asciiTheme="minorHAnsi" w:hAnsiTheme="minorHAnsi" w:cstheme="minorHAnsi"/>
          <w:szCs w:val="20"/>
        </w:rPr>
        <w:t>”)</w:t>
      </w:r>
    </w:p>
    <w:p w14:paraId="79C27A9D" w14:textId="5047FD6C" w:rsidR="00BD6052" w:rsidRPr="001E6E9D" w:rsidRDefault="00BD6052"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OLINDA LOCAÇÃO E SOLUÇÕES EM ENERGIA SOLAR LTDA.</w:t>
      </w:r>
    </w:p>
    <w:p w14:paraId="34E6E3A7" w14:textId="48A8B48D" w:rsidR="00BD6052" w:rsidRPr="001E6E9D" w:rsidRDefault="00BD6052"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41.217.227/0001-80</w:t>
      </w:r>
    </w:p>
    <w:p w14:paraId="18B85902" w14:textId="58C147DF" w:rsidR="00BD6052" w:rsidRPr="001E6E9D" w:rsidRDefault="00BD6052"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cidade de Belém do São Francisco, estado de Pernambuco, na Estrada BR 316 KM 01, Novo Horizonte, CEP 56.440-000</w:t>
      </w:r>
    </w:p>
    <w:p w14:paraId="7D468F17" w14:textId="34A90767" w:rsidR="00065DBC" w:rsidRPr="001E6E9D" w:rsidRDefault="00BD6052"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 O objeto social também inclui: “(a) aluguel de máquinas e equipamentos comerciais e industriais sem operador (CNAE: 77.39-0/99); a prestação de serviços de desenvolvimento, gerenciamento e gestão de projetos de energia solar e demais energias renováveis, intermediação de negócios referentes à energia solar e demais energias renováveis (CNAE: 71.12-0/00); e serviços de preparação de documentos e serviços especializados de apoio administrativo, assessoria de escritório e apoio administrativo (CNAE: 82.19-9/99)</w:t>
      </w:r>
    </w:p>
    <w:p w14:paraId="2B3336E6" w14:textId="10B62C4A" w:rsidR="000865C3" w:rsidRPr="001E6E9D" w:rsidRDefault="000865C3" w:rsidP="00DC7081">
      <w:pPr>
        <w:rPr>
          <w:rFonts w:asciiTheme="minorHAnsi" w:hAnsiTheme="minorHAnsi" w:cstheme="minorHAnsi"/>
          <w:szCs w:val="20"/>
        </w:rPr>
      </w:pPr>
      <w:r w:rsidRPr="001E6E9D">
        <w:rPr>
          <w:rFonts w:asciiTheme="minorHAnsi" w:hAnsiTheme="minorHAnsi" w:cstheme="minorHAnsi"/>
          <w:b/>
          <w:bCs/>
          <w:szCs w:val="20"/>
          <w:lang w:eastAsia="pt-BR"/>
        </w:rPr>
        <w:t>FARO PRAIA DO FUTURO LOCAÇÃO E SOLUÇÕES EM ENERGIA SOLAR LTDA</w:t>
      </w:r>
      <w:r w:rsidRPr="001E6E9D">
        <w:rPr>
          <w:rFonts w:asciiTheme="minorHAnsi" w:hAnsiTheme="minorHAnsi" w:cstheme="minorHAnsi"/>
          <w:szCs w:val="20"/>
          <w:lang w:eastAsia="pt-BR"/>
        </w:rPr>
        <w:t>. (</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 xml:space="preserve">SPE </w:t>
      </w:r>
      <w:r w:rsidR="00220149" w:rsidRPr="001E6E9D">
        <w:rPr>
          <w:rFonts w:asciiTheme="minorHAnsi" w:hAnsiTheme="minorHAnsi" w:cstheme="minorHAnsi"/>
          <w:szCs w:val="20"/>
          <w:u w:val="single"/>
          <w:lang w:eastAsia="pt-BR"/>
        </w:rPr>
        <w:t>4</w:t>
      </w:r>
      <w:r w:rsidRPr="001E6E9D">
        <w:rPr>
          <w:rFonts w:asciiTheme="minorHAnsi" w:hAnsiTheme="minorHAnsi" w:cstheme="minorHAnsi"/>
          <w:szCs w:val="20"/>
          <w:lang w:eastAsia="pt-BR"/>
        </w:rPr>
        <w:t>”)</w:t>
      </w:r>
    </w:p>
    <w:p w14:paraId="66CDE6C6" w14:textId="2FEA2FC7" w:rsidR="000865C3" w:rsidRPr="001E6E9D" w:rsidRDefault="000865C3"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PRAIA DO FUTURO LOCAÇÃO E SOLUÇÕES EM ENERGIA SOLAR LTDA.</w:t>
      </w:r>
    </w:p>
    <w:p w14:paraId="041B363D" w14:textId="1B16B658" w:rsidR="000865C3" w:rsidRPr="001E6E9D" w:rsidRDefault="000865C3"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41.965.818/0001-26</w:t>
      </w:r>
    </w:p>
    <w:p w14:paraId="22FC82C0" w14:textId="6D377E2C" w:rsidR="000865C3" w:rsidRPr="001E6E9D" w:rsidRDefault="000865C3"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cidade de Nova Rosalândia, Tocantins, Rodovia TO 255, Fazenda loteamento Santa Rosa, Área Rural, CEP 77.495-000</w:t>
      </w:r>
    </w:p>
    <w:p w14:paraId="02F8D39E" w14:textId="77777777" w:rsidR="00065DBC" w:rsidRPr="001E6E9D" w:rsidRDefault="000865C3"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220149" w:rsidRPr="001E6E9D">
        <w:rPr>
          <w:rFonts w:asciiTheme="minorHAnsi" w:eastAsia="Times New Roman" w:hAnsiTheme="minorHAnsi" w:cstheme="minorHAnsi"/>
          <w:szCs w:val="20"/>
          <w:lang w:eastAsia="pt-BR"/>
        </w:rPr>
        <w:t>Locação de máquinas e equipamentos comerciais e industriais relacionados a geração de energia elétrica a partir de fonte solar, bem como a implantação dos respectivos equipamentos de transmissão de interesse restrito a constituição e participação em consórcios para consecução do seu objeto social, serviços de preparação de documentos e serviços especializados de apoio administrativo e serviços de engenharia</w:t>
      </w:r>
    </w:p>
    <w:p w14:paraId="74C2BBF1" w14:textId="6C707DE5" w:rsidR="00F958A4" w:rsidRPr="001E6E9D" w:rsidRDefault="00F958A4" w:rsidP="00CA339D">
      <w:pPr>
        <w:keepNext/>
        <w:keepLines/>
        <w:pageBreakBefore/>
        <w:spacing w:after="180"/>
        <w:rPr>
          <w:rFonts w:asciiTheme="minorHAnsi" w:hAnsiTheme="minorHAnsi" w:cstheme="minorHAnsi"/>
          <w:szCs w:val="20"/>
          <w:lang w:eastAsia="pt-BR"/>
        </w:rPr>
      </w:pPr>
      <w:r w:rsidRPr="001E6E9D">
        <w:rPr>
          <w:rFonts w:asciiTheme="minorHAnsi" w:hAnsiTheme="minorHAnsi" w:cstheme="minorHAnsi"/>
          <w:b/>
          <w:bCs/>
          <w:szCs w:val="20"/>
          <w:lang w:eastAsia="pt-BR"/>
        </w:rPr>
        <w:lastRenderedPageBreak/>
        <w:t>FARO TRINDADE LOCAÇÃO E SOLUÇÕES EM ENERGIA SOLAR LTDA.</w:t>
      </w:r>
      <w:r w:rsidRPr="001E6E9D">
        <w:rPr>
          <w:rFonts w:asciiTheme="minorHAnsi" w:hAnsiTheme="minorHAnsi" w:cstheme="minorHAnsi"/>
          <w:szCs w:val="20"/>
          <w:lang w:eastAsia="pt-BR"/>
        </w:rPr>
        <w:t xml:space="preserve"> (</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SPE 5</w:t>
      </w:r>
      <w:r w:rsidRPr="001E6E9D">
        <w:rPr>
          <w:rFonts w:asciiTheme="minorHAnsi" w:hAnsiTheme="minorHAnsi" w:cstheme="minorHAnsi"/>
          <w:szCs w:val="20"/>
          <w:lang w:eastAsia="pt-BR"/>
        </w:rPr>
        <w:t xml:space="preserve">”) </w:t>
      </w:r>
    </w:p>
    <w:p w14:paraId="6DB0F659" w14:textId="218FDB66" w:rsidR="00F958A4" w:rsidRPr="001E6E9D" w:rsidRDefault="00F958A4"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TRINDADE LOCAÇÃO E SOLUÇÕES EM ENERGIA SOLAR LTDA.</w:t>
      </w:r>
    </w:p>
    <w:p w14:paraId="38E7A074" w14:textId="3111D96B" w:rsidR="00F958A4" w:rsidRPr="001E6E9D" w:rsidRDefault="00F958A4"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54.175.110/0001-13</w:t>
      </w:r>
    </w:p>
    <w:p w14:paraId="2903602D" w14:textId="31CF15AE" w:rsidR="00F958A4" w:rsidRPr="001E6E9D" w:rsidRDefault="00F958A4"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cidade de Brasília, Distrito Federal, na Rod. DF-001, Brazlândia, CEP 72.770-100</w:t>
      </w:r>
    </w:p>
    <w:p w14:paraId="54C9C28A" w14:textId="69667201" w:rsidR="00065DBC" w:rsidRPr="001E6E9D" w:rsidRDefault="00F958A4"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da implantação e exploração de usinas fotovoltaicas, bem como a implantação dos respectivos sistemas de transmissão de interesse restrito, a importação, a distribuição e/ou comercialização e a locação de geradores, equipamentos elétricos e eletroeletrônicos relacionados a geração de energia elétrica a partir de fonte solar, bem como a constituição e/ou participação em consórcios para consecução do seu objeto social.</w:t>
      </w:r>
    </w:p>
    <w:p w14:paraId="17418C86" w14:textId="74804B5A" w:rsidR="00BD6052" w:rsidRPr="001E6E9D" w:rsidRDefault="00BD6052" w:rsidP="00CA339D">
      <w:pPr>
        <w:keepNext/>
        <w:spacing w:after="180"/>
        <w:rPr>
          <w:rFonts w:asciiTheme="minorHAnsi" w:hAnsiTheme="minorHAnsi" w:cstheme="minorHAnsi"/>
          <w:b/>
          <w:bCs/>
          <w:caps/>
          <w:szCs w:val="20"/>
          <w:u w:val="single"/>
          <w:lang w:eastAsia="pt-BR"/>
        </w:rPr>
      </w:pPr>
      <w:r w:rsidRPr="001E6E9D">
        <w:rPr>
          <w:rFonts w:asciiTheme="minorHAnsi" w:eastAsia="Times New Roman" w:hAnsiTheme="minorHAnsi" w:cstheme="minorHAnsi"/>
          <w:b/>
          <w:bCs/>
          <w:caps/>
          <w:szCs w:val="20"/>
          <w:lang w:eastAsia="pt-BR"/>
        </w:rPr>
        <w:t>FARO CAPITANIA LOCAÇÃO E SOLUÇÕES EM ENERGIA SOLAR LTDA.</w:t>
      </w:r>
      <w:r w:rsidRPr="001E6E9D">
        <w:rPr>
          <w:rFonts w:asciiTheme="minorHAnsi" w:eastAsia="Times New Roman" w:hAnsiTheme="minorHAnsi" w:cstheme="minorHAnsi"/>
          <w:b/>
          <w:bCs/>
          <w:caps/>
          <w:szCs w:val="20"/>
          <w:u w:val="single"/>
          <w:lang w:eastAsia="pt-BR"/>
        </w:rPr>
        <w:t xml:space="preserve"> </w:t>
      </w:r>
      <w:r w:rsidRPr="001E6E9D">
        <w:rPr>
          <w:rFonts w:asciiTheme="minorHAnsi" w:hAnsiTheme="minorHAnsi" w:cstheme="minorHAnsi"/>
          <w:szCs w:val="20"/>
          <w:lang w:eastAsia="pt-BR"/>
        </w:rPr>
        <w:t>(</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 xml:space="preserve">SPE </w:t>
      </w:r>
      <w:r w:rsidR="00AF331D" w:rsidRPr="001E6E9D">
        <w:rPr>
          <w:rFonts w:asciiTheme="minorHAnsi" w:hAnsiTheme="minorHAnsi" w:cstheme="minorHAnsi"/>
          <w:szCs w:val="20"/>
          <w:u w:val="single"/>
          <w:lang w:eastAsia="pt-BR"/>
        </w:rPr>
        <w:t>6</w:t>
      </w:r>
      <w:r w:rsidRPr="001E6E9D">
        <w:rPr>
          <w:rFonts w:asciiTheme="minorHAnsi" w:hAnsiTheme="minorHAnsi" w:cstheme="minorHAnsi"/>
          <w:szCs w:val="20"/>
          <w:lang w:eastAsia="pt-BR"/>
        </w:rPr>
        <w:t>”)</w:t>
      </w:r>
    </w:p>
    <w:p w14:paraId="48B8AC3F" w14:textId="77777777" w:rsidR="00BD6052" w:rsidRPr="001E6E9D" w:rsidRDefault="00BD6052"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CAPITANIA LOCAÇÃO E SOLUÇÕES EM ENERGIA SOLAR LTDA.</w:t>
      </w:r>
    </w:p>
    <w:p w14:paraId="6FB4D63C" w14:textId="77777777" w:rsidR="00BD6052" w:rsidRPr="001E6E9D" w:rsidRDefault="00BD6052"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46.709.438/0001-44</w:t>
      </w:r>
    </w:p>
    <w:p w14:paraId="078BA47A" w14:textId="77777777" w:rsidR="00BD6052" w:rsidRPr="001E6E9D" w:rsidRDefault="00BD6052"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cidade de Nova Rosalândia, estado do Tocantins, no Lote 27, SN, Lote Santa Rosa – Gleba 7, CEP 77.495-000.</w:t>
      </w:r>
    </w:p>
    <w:p w14:paraId="3535BD52" w14:textId="77777777" w:rsidR="00065DBC" w:rsidRPr="001E6E9D" w:rsidRDefault="00BD6052"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Aluguel de máquinas e equipamentos comerciais e industriais sem operador; a prestação de serviços de desenvolvimento, gerenciamento e gestão de projetos de energia solar e demais energias renováveis, intermediação de negócios referentes à energia solar e demais energias renováveis; e serviços de preparação de documentos e serviços especializados de apoio administrativo, assessoria de escritório e apoio administrativo.</w:t>
      </w:r>
    </w:p>
    <w:p w14:paraId="639F06A1" w14:textId="030349C3" w:rsidR="00CA424B" w:rsidRPr="001E6E9D" w:rsidRDefault="00CA424B" w:rsidP="00CA339D">
      <w:pPr>
        <w:spacing w:after="180"/>
        <w:rPr>
          <w:rFonts w:asciiTheme="minorHAnsi" w:hAnsiTheme="minorHAnsi" w:cstheme="minorHAnsi"/>
          <w:szCs w:val="20"/>
        </w:rPr>
      </w:pPr>
      <w:r w:rsidRPr="001E6E9D">
        <w:rPr>
          <w:rFonts w:asciiTheme="minorHAnsi" w:hAnsiTheme="minorHAnsi" w:cstheme="minorHAnsi"/>
          <w:b/>
          <w:bCs/>
          <w:szCs w:val="20"/>
          <w:lang w:eastAsia="pt-BR"/>
        </w:rPr>
        <w:t>FARO TITAN LOCAÇÃO E SOLUÇÕES EM ENERGIA SOLAR LTDA.</w:t>
      </w:r>
      <w:r w:rsidRPr="001E6E9D">
        <w:rPr>
          <w:rFonts w:asciiTheme="minorHAnsi" w:hAnsiTheme="minorHAnsi" w:cstheme="minorHAnsi"/>
          <w:szCs w:val="20"/>
          <w:lang w:eastAsia="pt-BR"/>
        </w:rPr>
        <w:t xml:space="preserve"> (</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SPE 7</w:t>
      </w:r>
      <w:r w:rsidRPr="001E6E9D">
        <w:rPr>
          <w:rFonts w:asciiTheme="minorHAnsi" w:hAnsiTheme="minorHAnsi" w:cstheme="minorHAnsi"/>
          <w:szCs w:val="20"/>
          <w:lang w:eastAsia="pt-BR"/>
        </w:rPr>
        <w:t>”)</w:t>
      </w:r>
    </w:p>
    <w:p w14:paraId="66CE4493" w14:textId="667FAB82" w:rsidR="00CA424B" w:rsidRPr="001E6E9D" w:rsidRDefault="00CA424B"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TITAN LOCAÇÃO E SOLUÇÕES EM ENERGIA SOLAR LTDA.</w:t>
      </w:r>
    </w:p>
    <w:p w14:paraId="12299F6F" w14:textId="376592EB" w:rsidR="00CA424B" w:rsidRPr="001E6E9D" w:rsidRDefault="00CA424B"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48.113.244/0001-07</w:t>
      </w:r>
    </w:p>
    <w:p w14:paraId="61D62B9B" w14:textId="54DB3F1B" w:rsidR="00CA424B" w:rsidRPr="001E6E9D" w:rsidRDefault="00CA424B"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cidade de Iguatu, estado do Ceará, na Sit. Lagoa Iguatu, acesso pela CE 282,215, Localidade Minas, CEP 63.500-970</w:t>
      </w:r>
    </w:p>
    <w:p w14:paraId="223C304E" w14:textId="2228C7D4" w:rsidR="00065DBC" w:rsidRPr="001E6E9D" w:rsidRDefault="00CA424B"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 O objeto social também inclui: “(a) aluguel de máquinas e equipamentos comerciais e industriais sem operador (CNAE: 77.39-0/99); a prestação de serviços de desenvolvimento, gerenciamento e gestão de projetos de energia solar e demais energias renováveis, intermediação de negócios referentes à energia solar e demais energias renováveis (CNAE: 71.12-0/00); e serviços de preparação de documentos e serviços especializados de apoio administrativo, assessoria de escritório e apoio administrativo (CNAE: 82.19-9/99)</w:t>
      </w:r>
    </w:p>
    <w:p w14:paraId="58F0F3C1" w14:textId="7498794E" w:rsidR="00E91FCA" w:rsidRPr="001E6E9D" w:rsidRDefault="00E91FCA" w:rsidP="00CA339D">
      <w:pPr>
        <w:spacing w:after="180"/>
        <w:rPr>
          <w:rFonts w:asciiTheme="minorHAnsi" w:hAnsiTheme="minorHAnsi" w:cstheme="minorHAnsi"/>
          <w:szCs w:val="20"/>
        </w:rPr>
      </w:pPr>
      <w:r w:rsidRPr="001E6E9D">
        <w:rPr>
          <w:rFonts w:asciiTheme="minorHAnsi" w:hAnsiTheme="minorHAnsi" w:cstheme="minorHAnsi"/>
          <w:b/>
          <w:bCs/>
          <w:szCs w:val="20"/>
          <w:lang w:eastAsia="pt-BR"/>
        </w:rPr>
        <w:t>FARO ITAÚNA LOCAÇÃO E SOLUÇÕES EM ENERGIA SOLAR LTDA.</w:t>
      </w:r>
      <w:r w:rsidRPr="001E6E9D">
        <w:rPr>
          <w:rFonts w:asciiTheme="minorHAnsi" w:hAnsiTheme="minorHAnsi" w:cstheme="minorHAnsi"/>
          <w:szCs w:val="20"/>
          <w:lang w:eastAsia="pt-BR"/>
        </w:rPr>
        <w:t xml:space="preserve"> (</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SPE 8</w:t>
      </w:r>
      <w:r w:rsidRPr="001E6E9D">
        <w:rPr>
          <w:rFonts w:asciiTheme="minorHAnsi" w:hAnsiTheme="minorHAnsi" w:cstheme="minorHAnsi"/>
          <w:szCs w:val="20"/>
          <w:lang w:eastAsia="pt-BR"/>
        </w:rPr>
        <w:t>”)</w:t>
      </w:r>
      <w:r w:rsidRPr="001E6E9D">
        <w:rPr>
          <w:rFonts w:asciiTheme="minorHAnsi" w:hAnsiTheme="minorHAnsi" w:cstheme="minorHAnsi"/>
          <w:szCs w:val="20"/>
        </w:rPr>
        <w:t>.</w:t>
      </w:r>
    </w:p>
    <w:p w14:paraId="2EC41C8A" w14:textId="2FEBF497" w:rsidR="00E91FCA" w:rsidRPr="001E6E9D" w:rsidRDefault="00E91FCA"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ITAÚNA LOCAÇÃO E SOLUÇÕES EM ENERGIA SOLAR LTDA.</w:t>
      </w:r>
    </w:p>
    <w:p w14:paraId="3487A36A" w14:textId="6643AC7F" w:rsidR="00E91FCA" w:rsidRPr="001E6E9D" w:rsidRDefault="00E91FCA"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53.259.266/0001-10</w:t>
      </w:r>
    </w:p>
    <w:p w14:paraId="5294E5B6" w14:textId="2A9EA534" w:rsidR="00E91FCA" w:rsidRPr="001E6E9D" w:rsidRDefault="00E91FCA"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cidade de São João dos Patos, estado do Maranhão, Data Buritizal, CEP 65.665-000</w:t>
      </w:r>
    </w:p>
    <w:p w14:paraId="346B4D37" w14:textId="44E0F366" w:rsidR="00065DBC" w:rsidRPr="001E6E9D" w:rsidRDefault="00E91FCA" w:rsidP="00CA339D">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 O objeto social também inclui: “(a) aluguel de máquinas e equipamentos comerciais e industriais sem operador (CNAE: 77.39-0/99); a prestação de serviços de desenvolvimento, gerenciamento e gestão de projetos de energia solar e demais energias renováveis, intermediação de negócios referentes à energia solar e demais energias renováveis (CNAE: 71.12-0/00); e serviços de preparação de documentos e serviços especializados de apoio administrativo, assessoria de escritório e apoio administrativo (CNAE: 82.19-9/99).</w:t>
      </w:r>
    </w:p>
    <w:p w14:paraId="6DFC2713" w14:textId="7D268044" w:rsidR="00BD6052" w:rsidRPr="001E6E9D" w:rsidRDefault="00BD6052" w:rsidP="001F7A69">
      <w:pPr>
        <w:spacing w:after="180"/>
        <w:rPr>
          <w:rFonts w:asciiTheme="minorHAnsi" w:hAnsiTheme="minorHAnsi" w:cstheme="minorHAnsi"/>
          <w:szCs w:val="20"/>
        </w:rPr>
      </w:pPr>
      <w:r w:rsidRPr="001E6E9D">
        <w:rPr>
          <w:rFonts w:asciiTheme="minorHAnsi" w:hAnsiTheme="minorHAnsi" w:cstheme="minorHAnsi"/>
          <w:b/>
          <w:bCs/>
          <w:szCs w:val="20"/>
          <w:lang w:eastAsia="pt-BR"/>
        </w:rPr>
        <w:lastRenderedPageBreak/>
        <w:t>FARO COLARES LOCAÇÃO E SOLUÇÕES EM ENERGIA SOLAR LTDA.</w:t>
      </w:r>
      <w:r w:rsidRPr="001E6E9D">
        <w:rPr>
          <w:rFonts w:asciiTheme="minorHAnsi" w:hAnsiTheme="minorHAnsi" w:cstheme="minorHAnsi"/>
          <w:szCs w:val="20"/>
          <w:lang w:eastAsia="pt-BR"/>
        </w:rPr>
        <w:t xml:space="preserve"> (</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 xml:space="preserve">SPE </w:t>
      </w:r>
      <w:r w:rsidR="00910C74" w:rsidRPr="001E6E9D">
        <w:rPr>
          <w:rFonts w:asciiTheme="minorHAnsi" w:hAnsiTheme="minorHAnsi" w:cstheme="minorHAnsi"/>
          <w:szCs w:val="20"/>
          <w:u w:val="single"/>
          <w:lang w:eastAsia="pt-BR"/>
        </w:rPr>
        <w:t>9</w:t>
      </w:r>
      <w:r w:rsidRPr="001E6E9D">
        <w:rPr>
          <w:rFonts w:asciiTheme="minorHAnsi" w:hAnsiTheme="minorHAnsi" w:cstheme="minorHAnsi"/>
          <w:szCs w:val="20"/>
          <w:lang w:eastAsia="pt-BR"/>
        </w:rPr>
        <w:t>”)</w:t>
      </w:r>
    </w:p>
    <w:p w14:paraId="7D73F1D2" w14:textId="25CCB1F3" w:rsidR="00BD6052" w:rsidRPr="001E6E9D" w:rsidRDefault="00BD6052"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xml:space="preserve">: </w:t>
      </w:r>
      <w:r w:rsidR="00910C74" w:rsidRPr="001E6E9D">
        <w:rPr>
          <w:rFonts w:asciiTheme="minorHAnsi" w:eastAsia="Times New Roman" w:hAnsiTheme="minorHAnsi" w:cstheme="minorHAnsi"/>
          <w:szCs w:val="20"/>
          <w:lang w:eastAsia="pt-BR"/>
        </w:rPr>
        <w:t>FARO COLARES LOCAÇÃO E SOLUÇÕES EM ENERGIA SOLAR LTDA.</w:t>
      </w:r>
    </w:p>
    <w:p w14:paraId="6410F11C" w14:textId="44E5F529" w:rsidR="00BD6052" w:rsidRPr="001E6E9D" w:rsidRDefault="00BD6052"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00910C74" w:rsidRPr="001E6E9D">
        <w:rPr>
          <w:rFonts w:asciiTheme="minorHAnsi" w:hAnsiTheme="minorHAnsi" w:cstheme="minorHAnsi"/>
          <w:szCs w:val="20"/>
          <w:lang w:eastAsia="pt-BR"/>
        </w:rPr>
        <w:t>46.092.985/0001-23</w:t>
      </w:r>
    </w:p>
    <w:p w14:paraId="78FEA7B2" w14:textId="23BCAF31" w:rsidR="00BD6052" w:rsidRPr="001E6E9D" w:rsidRDefault="00BD6052"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00910C74" w:rsidRPr="001E6E9D">
        <w:rPr>
          <w:rFonts w:asciiTheme="minorHAnsi" w:hAnsiTheme="minorHAnsi" w:cstheme="minorHAnsi"/>
          <w:szCs w:val="20"/>
          <w:lang w:eastAsia="pt-BR"/>
        </w:rPr>
        <w:t>cidade de Cassilândia, estado do Mato Grosso do Sul, na Rodovia BR-158, Lote A, CEP 79.540-000</w:t>
      </w:r>
    </w:p>
    <w:p w14:paraId="6594A2C1" w14:textId="77777777" w:rsidR="00065DBC" w:rsidRPr="001E6E9D" w:rsidRDefault="00BD6052" w:rsidP="001F7A69">
      <w:pPr>
        <w:spacing w:after="180"/>
        <w:rPr>
          <w:rFonts w:asciiTheme="minorHAnsi" w:hAnsiTheme="minorHAnsi" w:cstheme="minorHAnsi"/>
          <w:szCs w:val="20"/>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910C74" w:rsidRPr="001E6E9D">
        <w:rPr>
          <w:rFonts w:asciiTheme="minorHAnsi" w:hAnsiTheme="minorHAnsi" w:cstheme="minorHAnsi"/>
          <w:szCs w:val="20"/>
        </w:rPr>
        <w:t>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w:t>
      </w:r>
    </w:p>
    <w:p w14:paraId="310E7E1A" w14:textId="10154D09" w:rsidR="00F5359B" w:rsidRPr="001E6E9D" w:rsidRDefault="00F5359B" w:rsidP="001F7A69">
      <w:pPr>
        <w:spacing w:after="180"/>
        <w:rPr>
          <w:rFonts w:asciiTheme="minorHAnsi" w:hAnsiTheme="minorHAnsi" w:cstheme="minorHAnsi"/>
          <w:szCs w:val="20"/>
        </w:rPr>
      </w:pPr>
      <w:r w:rsidRPr="001E6E9D">
        <w:rPr>
          <w:rFonts w:asciiTheme="minorHAnsi" w:hAnsiTheme="minorHAnsi" w:cstheme="minorHAnsi"/>
          <w:b/>
          <w:bCs/>
          <w:szCs w:val="20"/>
          <w:lang w:eastAsia="pt-BR"/>
        </w:rPr>
        <w:t>FARO UBATUBA LOCAÇÃO E SOLUÇÕES EM ENERGIA SOLAR LTDA.</w:t>
      </w:r>
      <w:r w:rsidRPr="001E6E9D">
        <w:rPr>
          <w:rFonts w:asciiTheme="minorHAnsi" w:hAnsiTheme="minorHAnsi" w:cstheme="minorHAnsi"/>
          <w:szCs w:val="20"/>
          <w:lang w:eastAsia="pt-BR"/>
        </w:rPr>
        <w:t xml:space="preserve"> (</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SPE 10</w:t>
      </w:r>
      <w:r w:rsidRPr="001E6E9D">
        <w:rPr>
          <w:rFonts w:asciiTheme="minorHAnsi" w:hAnsiTheme="minorHAnsi" w:cstheme="minorHAnsi"/>
          <w:szCs w:val="20"/>
          <w:lang w:eastAsia="pt-BR"/>
        </w:rPr>
        <w:t>”)</w:t>
      </w:r>
    </w:p>
    <w:p w14:paraId="1408722E" w14:textId="575904EA" w:rsidR="00F5359B" w:rsidRPr="001E6E9D" w:rsidRDefault="00F5359B"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UBATUBA LOCAÇÃO E SOLUÇÕES EM ENERGIA SOLAR LTDA.</w:t>
      </w:r>
    </w:p>
    <w:p w14:paraId="2311142C" w14:textId="3B1514C7" w:rsidR="00F5359B" w:rsidRPr="001E6E9D" w:rsidRDefault="00F5359B"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52.786.371/0001-44</w:t>
      </w:r>
    </w:p>
    <w:p w14:paraId="613F9E12" w14:textId="10E2F0B9" w:rsidR="00F5359B" w:rsidRPr="001E6E9D" w:rsidRDefault="00F5359B"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cidade de Ipuã, estado de São Paulo, na Fazenda Abelha, Estrada de Ipuã a Plantec, CEP 14.610-000</w:t>
      </w:r>
    </w:p>
    <w:p w14:paraId="099851EB" w14:textId="47F37585" w:rsidR="00065DBC" w:rsidRPr="001E6E9D" w:rsidRDefault="00F5359B"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w:t>
      </w:r>
    </w:p>
    <w:p w14:paraId="629CB824" w14:textId="50CF76E1" w:rsidR="00BD6052" w:rsidRPr="001E6E9D" w:rsidRDefault="00BD6052" w:rsidP="001F7A69">
      <w:pPr>
        <w:keepNext/>
        <w:spacing w:after="180"/>
        <w:rPr>
          <w:rFonts w:asciiTheme="minorHAnsi" w:hAnsiTheme="minorHAnsi" w:cstheme="minorHAnsi"/>
          <w:szCs w:val="20"/>
          <w:lang w:eastAsia="pt-BR"/>
        </w:rPr>
      </w:pPr>
      <w:r w:rsidRPr="001E6E9D">
        <w:rPr>
          <w:rFonts w:asciiTheme="minorHAnsi" w:hAnsiTheme="minorHAnsi" w:cstheme="minorHAnsi"/>
          <w:b/>
          <w:bCs/>
          <w:szCs w:val="20"/>
          <w:lang w:eastAsia="pt-BR"/>
        </w:rPr>
        <w:t>FARO CONCHAS LOCAÇÃO E SOLUÇÕES EM ENERGIA SOLAR LTDA.</w:t>
      </w:r>
      <w:r w:rsidR="00003C53" w:rsidRPr="001E6E9D">
        <w:rPr>
          <w:rFonts w:asciiTheme="minorHAnsi" w:hAnsiTheme="minorHAnsi" w:cstheme="minorHAnsi"/>
          <w:szCs w:val="20"/>
          <w:lang w:eastAsia="pt-BR"/>
        </w:rPr>
        <w:t xml:space="preserve"> </w:t>
      </w:r>
      <w:r w:rsidRPr="001E6E9D">
        <w:rPr>
          <w:rFonts w:asciiTheme="minorHAnsi" w:hAnsiTheme="minorHAnsi" w:cstheme="minorHAnsi"/>
          <w:szCs w:val="20"/>
          <w:lang w:eastAsia="pt-BR"/>
        </w:rPr>
        <w:t>(</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 xml:space="preserve">SPE </w:t>
      </w:r>
      <w:r w:rsidR="009160D5" w:rsidRPr="001E6E9D">
        <w:rPr>
          <w:rFonts w:asciiTheme="minorHAnsi" w:hAnsiTheme="minorHAnsi" w:cstheme="minorHAnsi"/>
          <w:szCs w:val="20"/>
          <w:u w:val="single"/>
          <w:lang w:eastAsia="pt-BR"/>
        </w:rPr>
        <w:t>11</w:t>
      </w:r>
      <w:r w:rsidRPr="001E6E9D">
        <w:rPr>
          <w:rFonts w:asciiTheme="minorHAnsi" w:hAnsiTheme="minorHAnsi" w:cstheme="minorHAnsi"/>
          <w:szCs w:val="20"/>
          <w:lang w:eastAsia="pt-BR"/>
        </w:rPr>
        <w:t>”)</w:t>
      </w:r>
    </w:p>
    <w:p w14:paraId="31512767" w14:textId="5381CBC3" w:rsidR="00BD6052" w:rsidRPr="001E6E9D" w:rsidRDefault="00BD6052"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xml:space="preserve">: </w:t>
      </w:r>
      <w:r w:rsidR="009160D5" w:rsidRPr="001E6E9D">
        <w:rPr>
          <w:rFonts w:asciiTheme="minorHAnsi" w:eastAsia="Times New Roman" w:hAnsiTheme="minorHAnsi" w:cstheme="minorHAnsi"/>
          <w:szCs w:val="20"/>
          <w:lang w:eastAsia="pt-BR"/>
        </w:rPr>
        <w:t>FARO CONCHAS LOCAÇÃO E SOLUÇÕES EM ENERGIA SOLAR LTDA.</w:t>
      </w:r>
    </w:p>
    <w:p w14:paraId="11616A98" w14:textId="73742F87" w:rsidR="00BD6052" w:rsidRPr="001E6E9D" w:rsidRDefault="00BD6052"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009160D5" w:rsidRPr="001E6E9D">
        <w:rPr>
          <w:rFonts w:asciiTheme="minorHAnsi" w:hAnsiTheme="minorHAnsi" w:cstheme="minorHAnsi"/>
          <w:szCs w:val="20"/>
          <w:lang w:eastAsia="pt-BR"/>
        </w:rPr>
        <w:t>48.275.022/0001-90</w:t>
      </w:r>
    </w:p>
    <w:p w14:paraId="61430A54" w14:textId="1848918D" w:rsidR="00BD6052" w:rsidRPr="001E6E9D" w:rsidRDefault="00BD6052"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009160D5" w:rsidRPr="001E6E9D">
        <w:rPr>
          <w:rFonts w:asciiTheme="minorHAnsi" w:hAnsiTheme="minorHAnsi" w:cstheme="minorHAnsi"/>
          <w:szCs w:val="20"/>
          <w:lang w:eastAsia="pt-BR"/>
        </w:rPr>
        <w:t>cidade de Loanda, estado do Paraná, na Ro</w:t>
      </w:r>
      <w:r w:rsidR="00381227" w:rsidRPr="001E6E9D">
        <w:rPr>
          <w:rFonts w:asciiTheme="minorHAnsi" w:hAnsiTheme="minorHAnsi" w:cstheme="minorHAnsi"/>
          <w:szCs w:val="20"/>
          <w:lang w:eastAsia="pt-BR"/>
        </w:rPr>
        <w:t>d</w:t>
      </w:r>
      <w:r w:rsidR="009160D5" w:rsidRPr="001E6E9D">
        <w:rPr>
          <w:rFonts w:asciiTheme="minorHAnsi" w:hAnsiTheme="minorHAnsi" w:cstheme="minorHAnsi"/>
          <w:szCs w:val="20"/>
          <w:lang w:eastAsia="pt-BR"/>
        </w:rPr>
        <w:t>ovia. Julio Motta, Zona Rural, CEP 87.900-000</w:t>
      </w:r>
    </w:p>
    <w:p w14:paraId="02FDF9C9" w14:textId="26336C83" w:rsidR="00065DBC" w:rsidRPr="001E6E9D" w:rsidRDefault="00BD6052"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 O objeto social também inclui: “(a) aluguel de máquinas e equipamentos comerciais e industriais sem operador (CNAE: 77.39-0/99); a prestação de serviços de desenvolvimento, gerenciamento e gestão de projetos de energia solar e demais energias renováveis, intermediação de negócios referentes à energia solar e demais energias renováveis (CNAE: 71.12-0/00); e serviços de preparação de documentos e serviços especializados de apoio administrativo, assessoria de escritório e apoio administrativo (CNAE: 82.19-9/99)</w:t>
      </w:r>
    </w:p>
    <w:p w14:paraId="39E048FD" w14:textId="0D361FB0" w:rsidR="00381227" w:rsidRPr="001E6E9D" w:rsidRDefault="00381227" w:rsidP="001F7A69">
      <w:pPr>
        <w:spacing w:after="180"/>
        <w:rPr>
          <w:rFonts w:asciiTheme="minorHAnsi" w:hAnsiTheme="minorHAnsi" w:cstheme="minorHAnsi"/>
          <w:szCs w:val="20"/>
        </w:rPr>
      </w:pPr>
      <w:r w:rsidRPr="001E6E9D">
        <w:rPr>
          <w:rFonts w:asciiTheme="minorHAnsi" w:hAnsiTheme="minorHAnsi" w:cstheme="minorHAnsi"/>
          <w:b/>
          <w:bCs/>
          <w:szCs w:val="20"/>
          <w:lang w:eastAsia="pt-BR"/>
        </w:rPr>
        <w:t xml:space="preserve">FARO SÃO ROQUE LOCAÇÃO E SOLUÇÕES EM ENERGIA SOLAR LTDA. </w:t>
      </w:r>
      <w:r w:rsidRPr="001E6E9D">
        <w:rPr>
          <w:rFonts w:asciiTheme="minorHAnsi" w:hAnsiTheme="minorHAnsi" w:cstheme="minorHAnsi"/>
          <w:szCs w:val="20"/>
          <w:lang w:eastAsia="pt-BR"/>
        </w:rPr>
        <w:t>(</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SPE 12</w:t>
      </w:r>
      <w:r w:rsidRPr="001E6E9D">
        <w:rPr>
          <w:rFonts w:asciiTheme="minorHAnsi" w:hAnsiTheme="minorHAnsi" w:cstheme="minorHAnsi"/>
          <w:szCs w:val="20"/>
          <w:lang w:eastAsia="pt-BR"/>
        </w:rPr>
        <w:t>”)</w:t>
      </w:r>
    </w:p>
    <w:p w14:paraId="6C5CD245" w14:textId="1DB087A5" w:rsidR="00381227" w:rsidRPr="001E6E9D" w:rsidRDefault="00381227"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xml:space="preserve">: </w:t>
      </w:r>
      <w:r w:rsidR="006D2255" w:rsidRPr="001E6E9D">
        <w:rPr>
          <w:rFonts w:asciiTheme="minorHAnsi" w:eastAsia="Times New Roman" w:hAnsiTheme="minorHAnsi" w:cstheme="minorHAnsi"/>
          <w:szCs w:val="20"/>
          <w:lang w:eastAsia="pt-BR"/>
        </w:rPr>
        <w:t>FARO SÃO ROQUE LOCAÇÃO E SOLUÇÕES EM ENERGIA SOLAR LTDA.</w:t>
      </w:r>
    </w:p>
    <w:p w14:paraId="3FFBA265" w14:textId="1448EB56" w:rsidR="00381227" w:rsidRPr="001E6E9D" w:rsidRDefault="00381227"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54.902.629/0001-56</w:t>
      </w:r>
    </w:p>
    <w:p w14:paraId="3391C3F3" w14:textId="7BE60B12" w:rsidR="00381227" w:rsidRPr="001E6E9D" w:rsidRDefault="00381227"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cidade de São Joaquim da Barra, estado de São Paulo, na Rodovia Anhanguera, S/N, Zona Rural, KM 384 a esquerda, 2 KM, CEP 146000-000</w:t>
      </w:r>
    </w:p>
    <w:p w14:paraId="754E6DDC" w14:textId="39D37888" w:rsidR="00065DBC" w:rsidRPr="001E6E9D" w:rsidRDefault="00381227" w:rsidP="001F7A69">
      <w:pPr>
        <w:spacing w:after="180"/>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 O objeto social também inclui: “(a) aluguel de máquinas e equipamentos comerciais e industriais não especificados anteriormente, sem operador (CNAE: 77.39-0/99); e preparação de documentos e serviços especializados de apoio administrativo não especificados anteriormente (CNAE: 82.19-9/99).</w:t>
      </w:r>
    </w:p>
    <w:p w14:paraId="787BC942" w14:textId="3CE076E4" w:rsidR="00480F0F" w:rsidRPr="001E6E9D" w:rsidRDefault="00480F0F" w:rsidP="00DC7081">
      <w:pPr>
        <w:rPr>
          <w:rFonts w:asciiTheme="minorHAnsi" w:hAnsiTheme="minorHAnsi" w:cstheme="minorHAnsi"/>
          <w:szCs w:val="20"/>
        </w:rPr>
      </w:pPr>
      <w:r w:rsidRPr="001E6E9D">
        <w:rPr>
          <w:rFonts w:asciiTheme="minorHAnsi" w:hAnsiTheme="minorHAnsi" w:cstheme="minorHAnsi"/>
          <w:b/>
          <w:bCs/>
          <w:szCs w:val="20"/>
        </w:rPr>
        <w:lastRenderedPageBreak/>
        <w:t>FARO MARAMBAIA LOCAÇÃO E SOLUÇÕES EM ENERGIA SOLAR LTDA.</w:t>
      </w:r>
      <w:r w:rsidRPr="001E6E9D">
        <w:rPr>
          <w:rFonts w:asciiTheme="minorHAnsi" w:hAnsiTheme="minorHAnsi" w:cstheme="minorHAnsi"/>
          <w:szCs w:val="20"/>
        </w:rPr>
        <w:t xml:space="preserve"> (</w:t>
      </w:r>
      <w:r w:rsidR="000D5E35" w:rsidRPr="001E6E9D">
        <w:rPr>
          <w:rFonts w:asciiTheme="minorHAnsi" w:hAnsiTheme="minorHAnsi" w:cstheme="minorHAnsi"/>
          <w:szCs w:val="20"/>
        </w:rPr>
        <w:t>“</w:t>
      </w:r>
      <w:r w:rsidRPr="001E6E9D">
        <w:rPr>
          <w:rFonts w:asciiTheme="minorHAnsi" w:hAnsiTheme="minorHAnsi" w:cstheme="minorHAnsi"/>
          <w:szCs w:val="20"/>
          <w:u w:val="single"/>
          <w:lang w:eastAsia="pt-BR"/>
        </w:rPr>
        <w:t>SPE 13</w:t>
      </w:r>
      <w:r w:rsidRPr="001E6E9D">
        <w:rPr>
          <w:rFonts w:asciiTheme="minorHAnsi" w:hAnsiTheme="minorHAnsi" w:cstheme="minorHAnsi"/>
          <w:szCs w:val="20"/>
        </w:rPr>
        <w:t>”)</w:t>
      </w:r>
    </w:p>
    <w:p w14:paraId="3FE4D566" w14:textId="61133F17" w:rsidR="00480F0F" w:rsidRPr="001E6E9D" w:rsidRDefault="00480F0F"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MARAMBAIA LOCAÇÃO E SOLUÇÕES EM ENERGIA SOLAR LTDA.</w:t>
      </w:r>
    </w:p>
    <w:p w14:paraId="48DB7D99" w14:textId="1706CD0C" w:rsidR="00480F0F" w:rsidRPr="001E6E9D" w:rsidRDefault="00480F0F"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rPr>
        <w:t>53.470.880/0001-26</w:t>
      </w:r>
    </w:p>
    <w:p w14:paraId="276E44BA" w14:textId="20A9CE50" w:rsidR="00480F0F" w:rsidRPr="001E6E9D" w:rsidRDefault="00480F0F"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rPr>
        <w:t>cidade de Paraíba do Sul, estado do Rio de Janeiro, na Estrada do Barreiro, CEP 64.880-000</w:t>
      </w:r>
    </w:p>
    <w:p w14:paraId="223F6356" w14:textId="149FB2F4" w:rsidR="00065DBC" w:rsidRPr="001E6E9D" w:rsidRDefault="00480F0F"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w:t>
      </w:r>
    </w:p>
    <w:p w14:paraId="0199AEDD" w14:textId="050AB654" w:rsidR="00600C0A" w:rsidRPr="001E6E9D" w:rsidRDefault="00600C0A" w:rsidP="00DC7081">
      <w:pPr>
        <w:rPr>
          <w:rFonts w:asciiTheme="minorHAnsi" w:hAnsiTheme="minorHAnsi" w:cstheme="minorHAnsi"/>
          <w:szCs w:val="20"/>
        </w:rPr>
      </w:pPr>
      <w:r w:rsidRPr="001E6E9D">
        <w:rPr>
          <w:rFonts w:asciiTheme="minorHAnsi" w:hAnsiTheme="minorHAnsi" w:cstheme="minorHAnsi"/>
          <w:b/>
          <w:bCs/>
          <w:szCs w:val="20"/>
        </w:rPr>
        <w:t>FARO TAIPU LOCAÇÃO E SOLUÇÕES EM ENERGIA SOLAR LTDA.</w:t>
      </w:r>
      <w:r w:rsidRPr="001E6E9D">
        <w:rPr>
          <w:rFonts w:asciiTheme="minorHAnsi" w:hAnsiTheme="minorHAnsi" w:cstheme="minorHAnsi"/>
          <w:szCs w:val="20"/>
        </w:rPr>
        <w:t xml:space="preserve"> (</w:t>
      </w:r>
      <w:r w:rsidR="000D5E35" w:rsidRPr="001E6E9D">
        <w:rPr>
          <w:rFonts w:asciiTheme="minorHAnsi" w:hAnsiTheme="minorHAnsi" w:cstheme="minorHAnsi"/>
          <w:szCs w:val="20"/>
        </w:rPr>
        <w:t>“</w:t>
      </w:r>
      <w:r w:rsidRPr="001E6E9D">
        <w:rPr>
          <w:rFonts w:asciiTheme="minorHAnsi" w:hAnsiTheme="minorHAnsi" w:cstheme="minorHAnsi"/>
          <w:szCs w:val="20"/>
          <w:u w:val="single"/>
        </w:rPr>
        <w:t>SPE 14</w:t>
      </w:r>
      <w:r w:rsidRPr="001E6E9D">
        <w:rPr>
          <w:rFonts w:asciiTheme="minorHAnsi" w:hAnsiTheme="minorHAnsi" w:cstheme="minorHAnsi"/>
          <w:szCs w:val="20"/>
        </w:rPr>
        <w:t>”)</w:t>
      </w:r>
    </w:p>
    <w:p w14:paraId="7FD606DC" w14:textId="0ED5C759" w:rsidR="00600C0A" w:rsidRPr="001E6E9D" w:rsidRDefault="00600C0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TAIPU LOCAÇÃO E SOLUÇÕES EM ENERGIA SOLAR LTDA.</w:t>
      </w:r>
    </w:p>
    <w:p w14:paraId="50D21710" w14:textId="253FA529" w:rsidR="00600C0A" w:rsidRPr="001E6E9D" w:rsidRDefault="00600C0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rPr>
        <w:t>55.253.656/0001-88</w:t>
      </w:r>
    </w:p>
    <w:p w14:paraId="26CBB0D5" w14:textId="074E9B22" w:rsidR="00600C0A" w:rsidRPr="001E6E9D" w:rsidRDefault="00600C0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rPr>
        <w:t>cidade de Aparecida do Taboado, estado do Mato Grosso do Sul, na Rod. BR-436, KM 11, margem esquerda, a 500 Metros, CEP 79.570-000</w:t>
      </w:r>
    </w:p>
    <w:p w14:paraId="4F202028" w14:textId="11CFFD5F" w:rsidR="00065DBC" w:rsidRPr="001E6E9D" w:rsidRDefault="00600C0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 O objeto social também inclui: “(a) aluguel de máquinas e equipamentos comerciais e industriais não especificados anteriormente, sem operador (CNAE: 77.39-0/99); e preparação de documentos e serviços especializados de apoio administrativo não especificados anteriormente (CNAE: 82.19-9/99).</w:t>
      </w:r>
    </w:p>
    <w:p w14:paraId="156D1F36" w14:textId="5CE54299" w:rsidR="00600C0A" w:rsidRPr="001E6E9D" w:rsidRDefault="00600C0A" w:rsidP="00DC7081">
      <w:pPr>
        <w:rPr>
          <w:rFonts w:asciiTheme="minorHAnsi" w:hAnsiTheme="minorHAnsi" w:cstheme="minorHAnsi"/>
          <w:szCs w:val="20"/>
        </w:rPr>
      </w:pPr>
      <w:r w:rsidRPr="001E6E9D">
        <w:rPr>
          <w:rFonts w:asciiTheme="minorHAnsi" w:hAnsiTheme="minorHAnsi" w:cstheme="minorHAnsi"/>
          <w:b/>
          <w:bCs/>
          <w:szCs w:val="20"/>
          <w:lang w:eastAsia="pt-BR"/>
        </w:rPr>
        <w:t>FARO MANGUE SECO LOCAÇÃO E SOLUÇÕES EM ENERGIA SOLAR LTDA.</w:t>
      </w:r>
      <w:r w:rsidRPr="001E6E9D">
        <w:rPr>
          <w:rFonts w:asciiTheme="minorHAnsi" w:hAnsiTheme="minorHAnsi" w:cstheme="minorHAnsi"/>
          <w:szCs w:val="20"/>
          <w:lang w:eastAsia="pt-BR"/>
        </w:rPr>
        <w:t xml:space="preserve"> (</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SPE 15</w:t>
      </w:r>
      <w:r w:rsidRPr="001E6E9D">
        <w:rPr>
          <w:rFonts w:asciiTheme="minorHAnsi" w:hAnsiTheme="minorHAnsi" w:cstheme="minorHAnsi"/>
          <w:szCs w:val="20"/>
          <w:lang w:eastAsia="pt-BR"/>
        </w:rPr>
        <w:t>”)</w:t>
      </w:r>
    </w:p>
    <w:p w14:paraId="16530F72" w14:textId="695EFAC9" w:rsidR="00600C0A" w:rsidRPr="001E6E9D" w:rsidRDefault="00600C0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MANGUE SECO LOCAÇÃO E SOLUÇÕES EM ENERGIA SOLAR LTDA.</w:t>
      </w:r>
    </w:p>
    <w:p w14:paraId="0B843E11" w14:textId="10819096" w:rsidR="00600C0A" w:rsidRPr="001E6E9D" w:rsidRDefault="00600C0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48.284.752/0001-58</w:t>
      </w:r>
    </w:p>
    <w:p w14:paraId="6B4DC7BF" w14:textId="50C5F5AD" w:rsidR="00600C0A" w:rsidRPr="001E6E9D" w:rsidRDefault="00600C0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cidade de Iaciara, estado de Goiás, Fazenda Olho D Água, S/N, Lote 05, Zona Rural, CEP 73920-000</w:t>
      </w:r>
    </w:p>
    <w:p w14:paraId="7857BE17" w14:textId="3D133433" w:rsidR="00065DBC" w:rsidRPr="001E6E9D" w:rsidRDefault="00600C0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w:t>
      </w:r>
    </w:p>
    <w:p w14:paraId="03446F3D" w14:textId="38A5C3C8" w:rsidR="00C12DF4" w:rsidRPr="001E6E9D" w:rsidRDefault="00C12DF4" w:rsidP="00DC7081">
      <w:pPr>
        <w:rPr>
          <w:rFonts w:asciiTheme="minorHAnsi" w:hAnsiTheme="minorHAnsi" w:cstheme="minorHAnsi"/>
          <w:szCs w:val="20"/>
        </w:rPr>
      </w:pPr>
      <w:r w:rsidRPr="001E6E9D">
        <w:rPr>
          <w:rFonts w:asciiTheme="minorHAnsi" w:hAnsiTheme="minorHAnsi" w:cstheme="minorHAnsi"/>
          <w:b/>
          <w:bCs/>
          <w:szCs w:val="20"/>
          <w:lang w:eastAsia="pt-BR"/>
        </w:rPr>
        <w:t>FARO ILHA DO DRAGÃO LOCAÇÃO E SOLUÇÕES EM ENERGIA SOLAR LTDA.</w:t>
      </w:r>
      <w:r w:rsidRPr="001E6E9D">
        <w:rPr>
          <w:rFonts w:asciiTheme="minorHAnsi" w:hAnsiTheme="minorHAnsi" w:cstheme="minorHAnsi"/>
          <w:szCs w:val="20"/>
          <w:lang w:eastAsia="pt-BR"/>
        </w:rPr>
        <w:t xml:space="preserve"> (</w:t>
      </w:r>
      <w:r w:rsidR="000D5E35" w:rsidRPr="001E6E9D">
        <w:rPr>
          <w:rFonts w:asciiTheme="minorHAnsi" w:hAnsiTheme="minorHAnsi" w:cstheme="minorHAnsi"/>
          <w:szCs w:val="20"/>
          <w:lang w:eastAsia="pt-BR"/>
        </w:rPr>
        <w:t>“</w:t>
      </w:r>
      <w:r w:rsidRPr="001E6E9D">
        <w:rPr>
          <w:rFonts w:asciiTheme="minorHAnsi" w:hAnsiTheme="minorHAnsi" w:cstheme="minorHAnsi"/>
          <w:szCs w:val="20"/>
          <w:u w:val="single"/>
          <w:lang w:eastAsia="pt-BR"/>
        </w:rPr>
        <w:t>SPE 16</w:t>
      </w:r>
      <w:r w:rsidRPr="001E6E9D">
        <w:rPr>
          <w:rFonts w:asciiTheme="minorHAnsi" w:hAnsiTheme="minorHAnsi" w:cstheme="minorHAnsi"/>
          <w:szCs w:val="20"/>
          <w:lang w:eastAsia="pt-BR"/>
        </w:rPr>
        <w:t>”)</w:t>
      </w:r>
    </w:p>
    <w:p w14:paraId="736C1B0C" w14:textId="30C484C5" w:rsidR="00C12DF4" w:rsidRPr="001E6E9D" w:rsidRDefault="00C12DF4"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FARO ILHA DO DRAGÃO LOCAÇÃO E SOLUÇÕES EM ENERGIA SOLAR LTDA.</w:t>
      </w:r>
    </w:p>
    <w:p w14:paraId="15569BCB" w14:textId="2C99856B" w:rsidR="00C12DF4" w:rsidRPr="001E6E9D" w:rsidRDefault="00C12DF4"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55.269.957/0001-20</w:t>
      </w:r>
    </w:p>
    <w:p w14:paraId="36A36BAD" w14:textId="43E4E658" w:rsidR="00C12DF4" w:rsidRPr="001E6E9D" w:rsidRDefault="00C12DF4"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Pr="001E6E9D">
        <w:rPr>
          <w:rFonts w:asciiTheme="minorHAnsi" w:hAnsiTheme="minorHAnsi" w:cstheme="minorHAnsi"/>
          <w:szCs w:val="20"/>
          <w:lang w:eastAsia="pt-BR"/>
        </w:rPr>
        <w:t xml:space="preserve">cidade de Iguatu, estado do Ceará, na Estrada Iguatu ao Sitio Bau, S/N, Zona Rural, </w:t>
      </w:r>
      <w:r w:rsidR="008E3A6A" w:rsidRPr="001E6E9D">
        <w:rPr>
          <w:rFonts w:asciiTheme="minorHAnsi" w:hAnsiTheme="minorHAnsi" w:cstheme="minorHAnsi"/>
          <w:szCs w:val="20"/>
          <w:lang w:eastAsia="pt-BR"/>
        </w:rPr>
        <w:br/>
      </w:r>
      <w:r w:rsidRPr="001E6E9D">
        <w:rPr>
          <w:rFonts w:asciiTheme="minorHAnsi" w:hAnsiTheme="minorHAnsi" w:cstheme="minorHAnsi"/>
          <w:szCs w:val="20"/>
          <w:lang w:eastAsia="pt-BR"/>
        </w:rPr>
        <w:t>CEP 63512-000</w:t>
      </w:r>
    </w:p>
    <w:p w14:paraId="6565EC63" w14:textId="018776BD" w:rsidR="00065DBC" w:rsidRPr="001E6E9D" w:rsidRDefault="00C12DF4"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locação de sistemas de energia elétrica a partir de fonte solar, por meio de implementação e exploração de usinas fotovoltaicas, bem como a implementação dos respectivos sistemas de transmissão de interesse restrito, a importação, a distribuição e/ou comercialização e a locação de geradores, equipamentos elétricos e eletroeletrônicos relacionados à geração de energia elétrica a partir de fonte solar, bem como a constituição e/ou participação em consórcio para consecução do seu objeto social”. O objeto social também inclui: “(a) aluguel de máquinas e equipamentos comerciais e industriais não especificados anteriormente, sem operador (CNAE: 77.39-0/99); e preparação de documentos e serviços especializados de apoio administrativo não especificados anteriormente (CNAE: 82.19-9/99).</w:t>
      </w:r>
    </w:p>
    <w:p w14:paraId="566E9418" w14:textId="7E0B2116" w:rsidR="00345FED" w:rsidRPr="001E6E9D" w:rsidRDefault="00345FED" w:rsidP="00DC7081">
      <w:pPr>
        <w:rPr>
          <w:rFonts w:asciiTheme="minorHAnsi" w:hAnsiTheme="minorHAnsi" w:cstheme="minorHAnsi"/>
          <w:szCs w:val="20"/>
        </w:rPr>
      </w:pPr>
      <w:r w:rsidRPr="001E6E9D">
        <w:rPr>
          <w:rFonts w:asciiTheme="minorHAnsi" w:hAnsiTheme="minorHAnsi" w:cstheme="minorHAnsi"/>
          <w:b/>
          <w:bCs/>
          <w:caps/>
          <w:szCs w:val="20"/>
        </w:rPr>
        <w:lastRenderedPageBreak/>
        <w:t xml:space="preserve">Faro Energy Renováveis Participações S.A. </w:t>
      </w:r>
      <w:r w:rsidRPr="001E6E9D">
        <w:rPr>
          <w:rFonts w:asciiTheme="minorHAnsi" w:hAnsiTheme="minorHAnsi" w:cstheme="minorHAnsi"/>
          <w:szCs w:val="20"/>
        </w:rPr>
        <w:t>(</w:t>
      </w:r>
      <w:r w:rsidR="000D5E35" w:rsidRPr="001E6E9D">
        <w:rPr>
          <w:rFonts w:asciiTheme="minorHAnsi" w:hAnsiTheme="minorHAnsi" w:cstheme="minorHAnsi"/>
          <w:szCs w:val="20"/>
        </w:rPr>
        <w:t>“</w:t>
      </w:r>
      <w:r w:rsidRPr="001E6E9D">
        <w:rPr>
          <w:rFonts w:asciiTheme="minorHAnsi" w:hAnsiTheme="minorHAnsi" w:cstheme="minorHAnsi"/>
          <w:bCs/>
          <w:szCs w:val="20"/>
          <w:u w:val="single"/>
        </w:rPr>
        <w:t>FERP</w:t>
      </w:r>
      <w:r w:rsidRPr="001E6E9D">
        <w:rPr>
          <w:rFonts w:asciiTheme="minorHAnsi" w:hAnsiTheme="minorHAnsi" w:cstheme="minorHAnsi"/>
          <w:szCs w:val="20"/>
        </w:rPr>
        <w:t>”)</w:t>
      </w:r>
      <w:r w:rsidR="001B37DA" w:rsidRPr="001E6E9D">
        <w:rPr>
          <w:rFonts w:asciiTheme="minorHAnsi" w:hAnsiTheme="minorHAnsi" w:cstheme="minorHAnsi"/>
          <w:szCs w:val="20"/>
        </w:rPr>
        <w:t xml:space="preserve"> </w:t>
      </w:r>
    </w:p>
    <w:p w14:paraId="6A0C48EA" w14:textId="0FB005BA" w:rsidR="001B37DA" w:rsidRPr="001E6E9D" w:rsidRDefault="001B37D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xml:space="preserve">: </w:t>
      </w:r>
      <w:r w:rsidR="000F3A3E" w:rsidRPr="001E6E9D">
        <w:rPr>
          <w:rFonts w:asciiTheme="minorHAnsi" w:eastAsia="Times New Roman" w:hAnsiTheme="minorHAnsi" w:cstheme="minorHAnsi"/>
          <w:szCs w:val="20"/>
          <w:lang w:eastAsia="pt-BR"/>
        </w:rPr>
        <w:t>FARO ENERGY RENOVÁVEIS PARTICIPAÇÕES S.A.</w:t>
      </w:r>
    </w:p>
    <w:p w14:paraId="74561D2F" w14:textId="01642739" w:rsidR="001B37DA" w:rsidRPr="001E6E9D" w:rsidRDefault="001B37D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000F3A3E" w:rsidRPr="001E6E9D">
        <w:rPr>
          <w:rFonts w:asciiTheme="minorHAnsi" w:hAnsiTheme="minorHAnsi" w:cstheme="minorHAnsi"/>
          <w:szCs w:val="20"/>
        </w:rPr>
        <w:t>46.556.111/001-80</w:t>
      </w:r>
    </w:p>
    <w:p w14:paraId="26AA8EA9" w14:textId="46279967" w:rsidR="001B37DA" w:rsidRPr="001E6E9D" w:rsidRDefault="001B37D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000F3A3E" w:rsidRPr="001E6E9D">
        <w:rPr>
          <w:rFonts w:asciiTheme="minorHAnsi" w:hAnsiTheme="minorHAnsi" w:cstheme="minorHAnsi"/>
          <w:szCs w:val="20"/>
        </w:rPr>
        <w:t xml:space="preserve">cidade de São Paulo, estado de São Paulo, na Avenida das Nações Unidas, </w:t>
      </w:r>
      <w:r w:rsidR="000D5E35" w:rsidRPr="001E6E9D">
        <w:rPr>
          <w:rFonts w:asciiTheme="minorHAnsi" w:hAnsiTheme="minorHAnsi" w:cstheme="minorHAnsi"/>
          <w:szCs w:val="20"/>
        </w:rPr>
        <w:t>nº</w:t>
      </w:r>
      <w:r w:rsidR="000F3A3E" w:rsidRPr="001E6E9D">
        <w:rPr>
          <w:rFonts w:asciiTheme="minorHAnsi" w:hAnsiTheme="minorHAnsi" w:cstheme="minorHAnsi"/>
          <w:szCs w:val="20"/>
        </w:rPr>
        <w:t xml:space="preserve"> 11.541, 11º andar, conjunto 112, sala 13, Brooklin Paulista, CEP 04.578-907</w:t>
      </w:r>
    </w:p>
    <w:p w14:paraId="33919BBC" w14:textId="7F83439B" w:rsidR="00065DBC" w:rsidRPr="001E6E9D" w:rsidRDefault="001B37D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 participação no capital de outras sociedades do setor de energia no Brasil, como sócia quotista, acionista e/ou titular de instrumentos de dívida conversíveis em participação societária.</w:t>
      </w:r>
    </w:p>
    <w:p w14:paraId="19C1EC33" w14:textId="16901FD5" w:rsidR="00345FED" w:rsidRPr="001E6E9D" w:rsidRDefault="00345FED" w:rsidP="00DC7081">
      <w:pPr>
        <w:rPr>
          <w:rFonts w:asciiTheme="minorHAnsi" w:hAnsiTheme="minorHAnsi" w:cstheme="minorHAnsi"/>
          <w:szCs w:val="20"/>
        </w:rPr>
      </w:pPr>
      <w:r w:rsidRPr="001E6E9D">
        <w:rPr>
          <w:rFonts w:asciiTheme="minorHAnsi" w:hAnsiTheme="minorHAnsi" w:cstheme="minorHAnsi"/>
          <w:b/>
          <w:bCs/>
          <w:caps/>
          <w:szCs w:val="20"/>
        </w:rPr>
        <w:t xml:space="preserve">Faro Energy Desenvolvimento e Locação de Projetos Ltda. </w:t>
      </w:r>
      <w:r w:rsidRPr="001E6E9D">
        <w:rPr>
          <w:rFonts w:asciiTheme="minorHAnsi" w:hAnsiTheme="minorHAnsi" w:cstheme="minorHAnsi"/>
          <w:szCs w:val="20"/>
        </w:rPr>
        <w:t>(</w:t>
      </w:r>
      <w:r w:rsidR="000D5E35" w:rsidRPr="001E6E9D">
        <w:rPr>
          <w:rFonts w:asciiTheme="minorHAnsi" w:hAnsiTheme="minorHAnsi" w:cstheme="minorHAnsi"/>
          <w:szCs w:val="20"/>
        </w:rPr>
        <w:t>“</w:t>
      </w:r>
      <w:r w:rsidRPr="001E6E9D">
        <w:rPr>
          <w:rFonts w:asciiTheme="minorHAnsi" w:hAnsiTheme="minorHAnsi" w:cstheme="minorHAnsi"/>
          <w:szCs w:val="20"/>
          <w:u w:val="single"/>
        </w:rPr>
        <w:t>FED</w:t>
      </w:r>
      <w:r w:rsidRPr="001E6E9D">
        <w:rPr>
          <w:rFonts w:asciiTheme="minorHAnsi" w:hAnsiTheme="minorHAnsi" w:cstheme="minorHAnsi"/>
          <w:szCs w:val="20"/>
        </w:rPr>
        <w:t>”)</w:t>
      </w:r>
    </w:p>
    <w:p w14:paraId="16C9F1C4" w14:textId="6E76199A" w:rsidR="001B37DA" w:rsidRPr="001E6E9D" w:rsidRDefault="001B37D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 </w:t>
      </w:r>
      <w:r w:rsidRPr="001E6E9D">
        <w:rPr>
          <w:rFonts w:asciiTheme="minorHAnsi" w:eastAsia="Times New Roman" w:hAnsiTheme="minorHAnsi" w:cstheme="minorHAnsi"/>
          <w:szCs w:val="20"/>
          <w:u w:val="single"/>
          <w:lang w:eastAsia="pt-BR"/>
        </w:rPr>
        <w:t>Denominação social</w:t>
      </w:r>
      <w:r w:rsidRPr="001E6E9D">
        <w:rPr>
          <w:rFonts w:asciiTheme="minorHAnsi" w:eastAsia="Times New Roman" w:hAnsiTheme="minorHAnsi" w:cstheme="minorHAnsi"/>
          <w:szCs w:val="20"/>
          <w:lang w:eastAsia="pt-BR"/>
        </w:rPr>
        <w:t xml:space="preserve">: </w:t>
      </w:r>
      <w:r w:rsidR="002E691E" w:rsidRPr="001E6E9D">
        <w:rPr>
          <w:rFonts w:asciiTheme="minorHAnsi" w:eastAsia="Times New Roman" w:hAnsiTheme="minorHAnsi" w:cstheme="minorHAnsi"/>
          <w:szCs w:val="20"/>
          <w:lang w:eastAsia="pt-BR"/>
        </w:rPr>
        <w:t>FARO ENERGY DESENVOLVIMENTO E LOCAÇÃO DE PROJETOS LTDA.</w:t>
      </w:r>
    </w:p>
    <w:p w14:paraId="5C4CA034" w14:textId="4A16EA30" w:rsidR="001B37DA" w:rsidRPr="001E6E9D" w:rsidRDefault="001B37D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 </w:t>
      </w:r>
      <w:r w:rsidRPr="001E6E9D">
        <w:rPr>
          <w:rFonts w:asciiTheme="minorHAnsi" w:eastAsia="Times New Roman" w:hAnsiTheme="minorHAnsi" w:cstheme="minorHAnsi"/>
          <w:szCs w:val="20"/>
          <w:u w:val="single"/>
          <w:lang w:eastAsia="pt-BR"/>
        </w:rPr>
        <w:t>CNPJ</w:t>
      </w:r>
      <w:r w:rsidRPr="001E6E9D">
        <w:rPr>
          <w:rFonts w:asciiTheme="minorHAnsi" w:eastAsia="Times New Roman" w:hAnsiTheme="minorHAnsi" w:cstheme="minorHAnsi"/>
          <w:szCs w:val="20"/>
          <w:lang w:eastAsia="pt-BR"/>
        </w:rPr>
        <w:t xml:space="preserve">: </w:t>
      </w:r>
      <w:r w:rsidR="002E691E" w:rsidRPr="001E6E9D">
        <w:rPr>
          <w:rFonts w:asciiTheme="minorHAnsi" w:hAnsiTheme="minorHAnsi" w:cstheme="minorHAnsi"/>
          <w:szCs w:val="20"/>
        </w:rPr>
        <w:t>24.494.187/0001-95</w:t>
      </w:r>
    </w:p>
    <w:p w14:paraId="02AAC6FB" w14:textId="1F285CAF" w:rsidR="001B37DA" w:rsidRPr="001E6E9D" w:rsidRDefault="001B37D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(iii) </w:t>
      </w:r>
      <w:r w:rsidRPr="001E6E9D">
        <w:rPr>
          <w:rFonts w:asciiTheme="minorHAnsi" w:eastAsia="Times New Roman" w:hAnsiTheme="minorHAnsi" w:cstheme="minorHAnsi"/>
          <w:szCs w:val="20"/>
          <w:u w:val="single"/>
          <w:lang w:eastAsia="pt-BR"/>
        </w:rPr>
        <w:t>Sede social</w:t>
      </w:r>
      <w:r w:rsidRPr="001E6E9D">
        <w:rPr>
          <w:rFonts w:asciiTheme="minorHAnsi" w:eastAsia="Times New Roman" w:hAnsiTheme="minorHAnsi" w:cstheme="minorHAnsi"/>
          <w:szCs w:val="20"/>
          <w:lang w:eastAsia="pt-BR"/>
        </w:rPr>
        <w:t xml:space="preserve">: </w:t>
      </w:r>
      <w:r w:rsidR="002E691E" w:rsidRPr="001E6E9D">
        <w:rPr>
          <w:rFonts w:asciiTheme="minorHAnsi" w:hAnsiTheme="minorHAnsi" w:cstheme="minorHAnsi"/>
          <w:szCs w:val="20"/>
        </w:rPr>
        <w:t xml:space="preserve">cidade de São Paulo, estado de São Paulo, na Avenida das Nações Unidas, </w:t>
      </w:r>
      <w:r w:rsidR="000D5E35" w:rsidRPr="001E6E9D">
        <w:rPr>
          <w:rFonts w:asciiTheme="minorHAnsi" w:hAnsiTheme="minorHAnsi" w:cstheme="minorHAnsi"/>
          <w:szCs w:val="20"/>
        </w:rPr>
        <w:t>nº</w:t>
      </w:r>
      <w:r w:rsidR="002E691E" w:rsidRPr="001E6E9D">
        <w:rPr>
          <w:rFonts w:asciiTheme="minorHAnsi" w:hAnsiTheme="minorHAnsi" w:cstheme="minorHAnsi"/>
          <w:szCs w:val="20"/>
        </w:rPr>
        <w:t xml:space="preserve"> 11.541, 11º andar, conjunto 112, sala 13, Brooklin Paulista, CEP 04.578-907</w:t>
      </w:r>
    </w:p>
    <w:p w14:paraId="6CA047B9" w14:textId="00829C08" w:rsidR="001B37DA" w:rsidRPr="001E6E9D" w:rsidRDefault="001B37DA"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(iv) </w:t>
      </w:r>
      <w:r w:rsidRPr="001E6E9D">
        <w:rPr>
          <w:rFonts w:asciiTheme="minorHAnsi" w:eastAsia="Times New Roman" w:hAnsiTheme="minorHAnsi" w:cstheme="minorHAnsi"/>
          <w:szCs w:val="20"/>
          <w:u w:val="single"/>
          <w:lang w:eastAsia="pt-BR"/>
        </w:rPr>
        <w:t>Objeto social</w:t>
      </w:r>
      <w:r w:rsidRPr="001E6E9D">
        <w:rPr>
          <w:rFonts w:asciiTheme="minorHAnsi" w:eastAsia="Times New Roman" w:hAnsiTheme="minorHAnsi" w:cstheme="minorHAnsi"/>
          <w:szCs w:val="20"/>
          <w:lang w:eastAsia="pt-BR"/>
        </w:rPr>
        <w:t xml:space="preserve">: </w:t>
      </w:r>
      <w:r w:rsidR="001E73E6" w:rsidRPr="001E6E9D">
        <w:rPr>
          <w:rFonts w:asciiTheme="minorHAnsi" w:eastAsia="Times New Roman" w:hAnsiTheme="minorHAnsi" w:cstheme="minorHAnsi"/>
          <w:szCs w:val="20"/>
          <w:lang w:eastAsia="pt-BR"/>
        </w:rPr>
        <w:t>aluguel de máquinas e equipamentos comerciais e industriais sem operador (CNAE: 77.39-0/99); O comércio por atacado e varejo, importação e exportação de sistemas para produção de energia elétrica e térmica; de módulo fotovoltaicos seus componentes, sendo que não haverá estoque e manuseio na sede da empresa (CNAES: 46.69-9/99, 47.57-1/00); e a prestação de serviços de desenvolvimento, gerenciamento e gestão de projetos de energia solar e demais energias renováveis, serviços de preparação de documentos e serviços especializados de apoio administrativo, assessoria de escritório e apoio administrativo, bem como a participação no capital de outras sociedades, como sócia quotista ou acionista, no país ou no exterior (“holding”) (CNAES: 71.12-0/00, 64.62-0/00, 82.19-9/99).</w:t>
      </w:r>
    </w:p>
    <w:p w14:paraId="01CBA2DA" w14:textId="40D10E23" w:rsidR="005C508C" w:rsidRPr="001E6E9D" w:rsidRDefault="0053704D" w:rsidP="00DC7081">
      <w:pPr>
        <w:pStyle w:val="Ttulo2"/>
        <w:rPr>
          <w:rFonts w:eastAsiaTheme="majorEastAsia"/>
        </w:rPr>
      </w:pPr>
      <w:bookmarkStart w:id="279" w:name="_Ref158845026"/>
      <w:bookmarkStart w:id="280" w:name="_Toc159073503"/>
      <w:bookmarkStart w:id="281" w:name="_Toc184129246"/>
      <w:r w:rsidRPr="001E6E9D">
        <w:rPr>
          <w:rFonts w:eastAsiaTheme="majorEastAsia"/>
        </w:rPr>
        <w:t>10.2.</w:t>
      </w:r>
      <w:r w:rsidR="009A22ED" w:rsidRPr="001E6E9D">
        <w:rPr>
          <w:rFonts w:eastAsiaTheme="majorEastAsia"/>
        </w:rPr>
        <w:t xml:space="preserve"> </w:t>
      </w:r>
      <w:r w:rsidRPr="001E6E9D">
        <w:rPr>
          <w:rFonts w:eastAsiaTheme="majorEastAsia"/>
        </w:rPr>
        <w:t>Informações descritas nas subseções 1.1, 1.2, 1.11, 1.14, 6.1, 7.1, 8.2, 11.2, 12.1 e 12.3 do formulário de referência do terceiro prestador de garantia.</w:t>
      </w:r>
      <w:bookmarkEnd w:id="279"/>
      <w:bookmarkEnd w:id="280"/>
      <w:bookmarkEnd w:id="281"/>
    </w:p>
    <w:p w14:paraId="59EB0DEA" w14:textId="77777777" w:rsidR="00C879FE" w:rsidRPr="001E6E9D" w:rsidRDefault="00C879FE" w:rsidP="00DC7081">
      <w:pPr>
        <w:pStyle w:val="Ttulo4"/>
        <w:rPr>
          <w:rFonts w:asciiTheme="minorHAnsi" w:hAnsiTheme="minorHAnsi"/>
          <w:i w:val="0"/>
        </w:rPr>
      </w:pPr>
      <w:r w:rsidRPr="001E6E9D">
        <w:rPr>
          <w:rFonts w:asciiTheme="minorHAnsi" w:hAnsiTheme="minorHAnsi"/>
          <w:i w:val="0"/>
        </w:rPr>
        <w:t>10.2.1. Breve histórico dos garantidores.</w:t>
      </w:r>
    </w:p>
    <w:p w14:paraId="2981AFFD" w14:textId="5B1790E5" w:rsidR="00C879FE" w:rsidRPr="001E6E9D" w:rsidRDefault="00C879FE" w:rsidP="00DC7081">
      <w:pPr>
        <w:rPr>
          <w:rFonts w:asciiTheme="minorHAnsi" w:eastAsia="SimSun" w:hAnsiTheme="minorHAnsi" w:cstheme="minorHAnsi"/>
          <w:bCs/>
          <w:szCs w:val="20"/>
          <w:lang w:eastAsia="en-GB"/>
        </w:rPr>
      </w:pPr>
      <w:r w:rsidRPr="001E6E9D">
        <w:rPr>
          <w:rFonts w:asciiTheme="minorHAnsi" w:eastAsia="SimSun" w:hAnsiTheme="minorHAnsi" w:cstheme="minorHAnsi"/>
          <w:bCs/>
          <w:szCs w:val="20"/>
          <w:lang w:eastAsia="en-GB"/>
        </w:rPr>
        <w:t>O grupo Faro Energy foi iniciado com a constituição da FED em 4 de março de 2016, com o objetivo de desenvolver, gerenciar, implantar, operar e manter ativos de geração solar fotovoltaica no sistema de geração distribuída. Em 2017, a FED recebeu o primeiro investimento do grupo norte-americano Modern Energy, uma plataforma de investimento em empresas focadas na transição e modernização da matriz energética, cujo portfólio compreende empresas com diferentes propostas para energia limpa e renovável, tais como eficiência energética, hidrogênio verde, veículos elétricos e geração solar. Em 2019, foi constituído o Faro Energy Fundo de Investimento em Participações – Multiestratégia (</w:t>
      </w:r>
      <w:r w:rsidR="000D5E35" w:rsidRPr="001E6E9D">
        <w:rPr>
          <w:rFonts w:asciiTheme="minorHAnsi" w:eastAsia="SimSun" w:hAnsiTheme="minorHAnsi" w:cstheme="minorHAnsi"/>
          <w:bCs/>
          <w:szCs w:val="20"/>
          <w:lang w:eastAsia="en-GB"/>
        </w:rPr>
        <w:t>“</w:t>
      </w:r>
      <w:r w:rsidRPr="001E6E9D">
        <w:rPr>
          <w:rFonts w:asciiTheme="minorHAnsi" w:eastAsia="SimSun" w:hAnsiTheme="minorHAnsi" w:cstheme="minorHAnsi"/>
          <w:bCs/>
          <w:szCs w:val="20"/>
          <w:u w:val="single"/>
          <w:lang w:eastAsia="en-GB"/>
        </w:rPr>
        <w:t>Faro FIP</w:t>
      </w:r>
      <w:r w:rsidRPr="001E6E9D">
        <w:rPr>
          <w:rFonts w:asciiTheme="minorHAnsi" w:eastAsia="SimSun" w:hAnsiTheme="minorHAnsi" w:cstheme="minorHAnsi"/>
          <w:bCs/>
          <w:szCs w:val="20"/>
          <w:lang w:eastAsia="en-GB"/>
        </w:rPr>
        <w:t>”), um fundo para a captação de recursos no exterior e investimento em projetos que vinham sendo desenvolvidos pela FED. Atualmente o Faro FIP possui um patrimônio líquido de aproximadamente R$ 648 milhões, exclusivamente investidos no grupo Faro Energy.</w:t>
      </w:r>
    </w:p>
    <w:p w14:paraId="6F49388D" w14:textId="2E808D6B" w:rsidR="00C879FE" w:rsidRPr="001E6E9D" w:rsidRDefault="00C879FE" w:rsidP="00DC7081">
      <w:pPr>
        <w:rPr>
          <w:rFonts w:asciiTheme="minorHAnsi" w:eastAsia="SimSun" w:hAnsiTheme="minorHAnsi" w:cstheme="minorHAnsi"/>
          <w:bCs/>
          <w:szCs w:val="20"/>
          <w:lang w:eastAsia="en-GB"/>
        </w:rPr>
      </w:pPr>
      <w:r w:rsidRPr="001E6E9D">
        <w:rPr>
          <w:rFonts w:asciiTheme="minorHAnsi" w:eastAsia="SimSun" w:hAnsiTheme="minorHAnsi" w:cstheme="minorHAnsi"/>
          <w:bCs/>
          <w:szCs w:val="20"/>
          <w:lang w:eastAsia="en-GB"/>
        </w:rPr>
        <w:t xml:space="preserve">Em setembro de 2022, visando a racionalização da estrutura societária, foi realizada uma reorganização do grupo por meio da qual a FERP passou a ser a </w:t>
      </w:r>
      <w:r w:rsidRPr="001E6E9D">
        <w:rPr>
          <w:rFonts w:asciiTheme="minorHAnsi" w:eastAsia="SimSun" w:hAnsiTheme="minorHAnsi" w:cstheme="minorHAnsi"/>
          <w:bCs/>
          <w:i/>
          <w:iCs/>
          <w:szCs w:val="20"/>
          <w:lang w:eastAsia="en-GB"/>
        </w:rPr>
        <w:t xml:space="preserve">holding </w:t>
      </w:r>
      <w:r w:rsidRPr="001E6E9D">
        <w:rPr>
          <w:rFonts w:asciiTheme="minorHAnsi" w:eastAsia="SimSun" w:hAnsiTheme="minorHAnsi" w:cstheme="minorHAnsi"/>
          <w:bCs/>
          <w:szCs w:val="20"/>
          <w:lang w:eastAsia="en-GB"/>
        </w:rPr>
        <w:t xml:space="preserve">de todos os investimentos do Faro FIP no Brasil, passando a FERP a controlar a FED bem como a Companhia, além de outras empresas que formam o grupo Faro Energy. A FED permanece como a entidade do grupo responsável pelo desenvolvimento de todos os projetos da Faro Energy, gerenciando todas as etapas, desde a identificação de áreas com potencial para instalação de usinas solares fotovoltaicas até a conquista do status de </w:t>
      </w:r>
      <w:r w:rsidR="000D5E35" w:rsidRPr="001E6E9D">
        <w:rPr>
          <w:rFonts w:asciiTheme="minorHAnsi" w:eastAsia="SimSun" w:hAnsiTheme="minorHAnsi" w:cstheme="minorHAnsi"/>
          <w:bCs/>
          <w:szCs w:val="20"/>
          <w:lang w:eastAsia="en-GB"/>
        </w:rPr>
        <w:t>“</w:t>
      </w:r>
      <w:r w:rsidRPr="001E6E9D">
        <w:rPr>
          <w:rFonts w:asciiTheme="minorHAnsi" w:eastAsia="SimSun" w:hAnsiTheme="minorHAnsi" w:cstheme="minorHAnsi"/>
          <w:bCs/>
          <w:szCs w:val="20"/>
          <w:lang w:eastAsia="en-GB"/>
        </w:rPr>
        <w:t>pronto para construção”. Isso inclui a condução de atividades essenciais, como a obtenção de licenças e autorizações ambientais e regulatórias.</w:t>
      </w:r>
    </w:p>
    <w:p w14:paraId="670B698A" w14:textId="77777777" w:rsidR="00C879FE" w:rsidRPr="001E6E9D" w:rsidRDefault="00C879FE" w:rsidP="00DC7081">
      <w:pPr>
        <w:rPr>
          <w:rFonts w:asciiTheme="minorHAnsi" w:eastAsia="SimSun" w:hAnsiTheme="minorHAnsi" w:cstheme="minorHAnsi"/>
          <w:bCs/>
          <w:spacing w:val="-2"/>
          <w:szCs w:val="20"/>
          <w:lang w:eastAsia="en-GB"/>
        </w:rPr>
      </w:pPr>
      <w:r w:rsidRPr="001E6E9D">
        <w:rPr>
          <w:rFonts w:asciiTheme="minorHAnsi" w:eastAsia="SimSun" w:hAnsiTheme="minorHAnsi" w:cstheme="minorHAnsi"/>
          <w:bCs/>
          <w:spacing w:val="-2"/>
          <w:szCs w:val="20"/>
          <w:lang w:eastAsia="en-GB"/>
        </w:rPr>
        <w:t>As demais garantidoras são sociedades de propósito específico, controladas da Companhia, e foram constituídas para serem os veículos proprietários das usinas solares fotovoltaicas, exercendo direta ou indiretamente todas as atividades para o desenvolvimento, gerenciamento, instalação, operação e manutenção dos seus ativos próprios.</w:t>
      </w:r>
    </w:p>
    <w:p w14:paraId="2E5D56E5" w14:textId="6C42F658" w:rsidR="00065DBC" w:rsidRPr="001E6E9D" w:rsidRDefault="00C879FE" w:rsidP="001F7A69">
      <w:pPr>
        <w:spacing w:after="160"/>
        <w:rPr>
          <w:rFonts w:asciiTheme="minorHAnsi" w:hAnsiTheme="minorHAnsi" w:cstheme="minorHAnsi"/>
          <w:szCs w:val="20"/>
        </w:rPr>
      </w:pPr>
      <w:r w:rsidRPr="001E6E9D">
        <w:rPr>
          <w:rFonts w:asciiTheme="minorHAnsi" w:hAnsiTheme="minorHAnsi" w:cstheme="minorHAnsi"/>
          <w:szCs w:val="20"/>
        </w:rPr>
        <w:t>Recentes mudanças regulatórias têm reforçado o ambiente de negócios para a geração solar distribuída no Brasil, beneficiando a estrutura operacional e estratégica do grupo Faro Energy. Em janeiro de 2022, a promulgação da Lei 14.300, de 6 de janeiro de 2022 (</w:t>
      </w:r>
      <w:r w:rsidR="000D5E35" w:rsidRPr="001E6E9D">
        <w:rPr>
          <w:rFonts w:asciiTheme="minorHAnsi" w:hAnsiTheme="minorHAnsi" w:cstheme="minorHAnsi"/>
          <w:szCs w:val="20"/>
        </w:rPr>
        <w:t>“</w:t>
      </w:r>
      <w:r w:rsidRPr="001E6E9D">
        <w:rPr>
          <w:rFonts w:asciiTheme="minorHAnsi" w:hAnsiTheme="minorHAnsi" w:cstheme="minorHAnsi"/>
          <w:szCs w:val="20"/>
          <w:u w:val="single"/>
        </w:rPr>
        <w:t>Lei 14.300</w:t>
      </w:r>
      <w:r w:rsidRPr="001E6E9D">
        <w:rPr>
          <w:rFonts w:asciiTheme="minorHAnsi" w:hAnsiTheme="minorHAnsi" w:cstheme="minorHAnsi"/>
          <w:szCs w:val="20"/>
        </w:rPr>
        <w:t>”) instituiu o marco legal da geração distribuída, fornecendo uma base normativa para o crescimento sustentável do setor, com definições claras sobre créditos de energia e prazos de conexão do empreendimento ao sistema de distribuição. A Resolução Normativa da Agência Nacional de Energia Elétrica (</w:t>
      </w:r>
      <w:r w:rsidR="000D5E35" w:rsidRPr="001E6E9D">
        <w:rPr>
          <w:rFonts w:asciiTheme="minorHAnsi" w:hAnsiTheme="minorHAnsi" w:cstheme="minorHAnsi"/>
          <w:szCs w:val="20"/>
        </w:rPr>
        <w:t>“</w:t>
      </w:r>
      <w:r w:rsidRPr="001E6E9D">
        <w:rPr>
          <w:rFonts w:asciiTheme="minorHAnsi" w:hAnsiTheme="minorHAnsi" w:cstheme="minorHAnsi"/>
          <w:szCs w:val="20"/>
          <w:u w:val="single"/>
        </w:rPr>
        <w:t>ANEEL</w:t>
      </w:r>
      <w:r w:rsidRPr="001E6E9D">
        <w:rPr>
          <w:rFonts w:asciiTheme="minorHAnsi" w:hAnsiTheme="minorHAnsi" w:cstheme="minorHAnsi"/>
          <w:szCs w:val="20"/>
        </w:rPr>
        <w:t>”) nº 1.000, de 7 de dezembro de 2021 (</w:t>
      </w:r>
      <w:r w:rsidR="000D5E35" w:rsidRPr="001E6E9D">
        <w:rPr>
          <w:rFonts w:asciiTheme="minorHAnsi" w:hAnsiTheme="minorHAnsi" w:cstheme="minorHAnsi"/>
          <w:szCs w:val="20"/>
        </w:rPr>
        <w:t>“</w:t>
      </w:r>
      <w:r w:rsidRPr="001E6E9D">
        <w:rPr>
          <w:rFonts w:asciiTheme="minorHAnsi" w:hAnsiTheme="minorHAnsi" w:cstheme="minorHAnsi"/>
          <w:szCs w:val="20"/>
          <w:u w:val="single"/>
        </w:rPr>
        <w:t>Resolução ANEEL nº 1.000</w:t>
      </w:r>
      <w:r w:rsidRPr="001E6E9D">
        <w:rPr>
          <w:rFonts w:asciiTheme="minorHAnsi" w:hAnsiTheme="minorHAnsi" w:cstheme="minorHAnsi"/>
          <w:szCs w:val="20"/>
        </w:rPr>
        <w:t xml:space="preserve">”), consolida as normas para o setor e moderniza a regulamentação aplicável à geração distribuída e, em 2023, a Resolução </w:t>
      </w:r>
      <w:r w:rsidRPr="001E6E9D">
        <w:rPr>
          <w:rFonts w:asciiTheme="minorHAnsi" w:hAnsiTheme="minorHAnsi" w:cstheme="minorHAnsi"/>
          <w:szCs w:val="20"/>
        </w:rPr>
        <w:lastRenderedPageBreak/>
        <w:t>Normativa ANEEL nº 1.059, de 7 de fevereiro de 2023, introduziu novos ajustes nas regras de compensação de energia e procedimentos específicos para sistemas de micro e minigeração, fortalecendo a segurança jurídica e previsibilidade para investidores e operadores. Esse conjunto regulatório posiciona o Brasil como um dos principais mercados para geração distribuída solar, oferecendo ao grupo Faro Energy um ambiente propício para a expansão de suas atividades e para a realização de investimentos de longo prazo, assegurando ainda maior solidez e estabilidade ao mercado.</w:t>
      </w:r>
    </w:p>
    <w:p w14:paraId="342EC1A2" w14:textId="74103F67" w:rsidR="00C879FE" w:rsidRPr="001E6E9D" w:rsidRDefault="00C879FE" w:rsidP="001F7A69">
      <w:pPr>
        <w:pStyle w:val="Ttulo4"/>
        <w:spacing w:after="160"/>
        <w:rPr>
          <w:rFonts w:asciiTheme="minorHAnsi" w:hAnsiTheme="minorHAnsi"/>
          <w:i w:val="0"/>
        </w:rPr>
      </w:pPr>
      <w:r w:rsidRPr="001E6E9D">
        <w:rPr>
          <w:rFonts w:asciiTheme="minorHAnsi" w:hAnsiTheme="minorHAnsi"/>
          <w:i w:val="0"/>
        </w:rPr>
        <w:t>10.2.2. Descrever sumariamente as atividades principais desenvolvidas pelos garantidores e suas controladas.</w:t>
      </w:r>
    </w:p>
    <w:p w14:paraId="7068627B" w14:textId="77777777" w:rsidR="00065DBC" w:rsidRPr="001E6E9D" w:rsidRDefault="00C879FE" w:rsidP="001F7A69">
      <w:pPr>
        <w:spacing w:after="160"/>
        <w:rPr>
          <w:rFonts w:asciiTheme="minorHAnsi" w:eastAsiaTheme="majorEastAsia" w:hAnsiTheme="minorHAnsi" w:cstheme="minorHAnsi"/>
          <w:iCs/>
          <w:szCs w:val="20"/>
          <w:lang w:eastAsia="pt-BR"/>
        </w:rPr>
      </w:pPr>
      <w:r w:rsidRPr="001E6E9D">
        <w:rPr>
          <w:rFonts w:asciiTheme="minorHAnsi" w:eastAsiaTheme="majorEastAsia" w:hAnsiTheme="minorHAnsi" w:cstheme="minorHAnsi"/>
          <w:iCs/>
          <w:szCs w:val="20"/>
          <w:lang w:eastAsia="pt-BR"/>
        </w:rPr>
        <w:t>O grupo Faro Energy desenvolve, constrói e opera projetos de usinas fotovoltaicas de minigeração distribuída, adotando uma estratégia de longo prazo. O objetivo principal é atender clientes na modalidade de autoconsumo remoto ou geração compartilhada, permitindo que eles possam compensar o consumo de energia conforme previsto na Lei 14.300 e na Resolução ANEEL nº 1.000.</w:t>
      </w:r>
    </w:p>
    <w:p w14:paraId="5B72960D" w14:textId="4DDB4810" w:rsidR="00C879FE" w:rsidRPr="001E6E9D" w:rsidRDefault="00C879FE" w:rsidP="001F7A69">
      <w:pPr>
        <w:spacing w:after="160"/>
        <w:rPr>
          <w:rFonts w:asciiTheme="minorHAnsi" w:eastAsiaTheme="majorEastAsia" w:hAnsiTheme="minorHAnsi" w:cstheme="minorHAnsi"/>
          <w:b/>
          <w:bCs/>
          <w:iCs/>
          <w:szCs w:val="20"/>
          <w:lang w:eastAsia="pt-BR"/>
        </w:rPr>
      </w:pPr>
      <w:r w:rsidRPr="001E6E9D">
        <w:rPr>
          <w:rFonts w:asciiTheme="minorHAnsi" w:eastAsiaTheme="majorEastAsia" w:hAnsiTheme="minorHAnsi" w:cstheme="minorHAnsi"/>
          <w:b/>
          <w:bCs/>
          <w:iCs/>
          <w:szCs w:val="20"/>
          <w:lang w:eastAsia="pt-BR"/>
        </w:rPr>
        <w:t>FERP e FED</w:t>
      </w:r>
    </w:p>
    <w:p w14:paraId="55F35E57" w14:textId="77777777" w:rsidR="00C879FE" w:rsidRPr="001E6E9D" w:rsidRDefault="00C879FE" w:rsidP="001F7A69">
      <w:pPr>
        <w:spacing w:after="160"/>
        <w:rPr>
          <w:rFonts w:asciiTheme="minorHAnsi" w:eastAsiaTheme="majorEastAsia" w:hAnsiTheme="minorHAnsi" w:cstheme="minorHAnsi"/>
          <w:iCs/>
          <w:szCs w:val="20"/>
          <w:lang w:eastAsia="pt-BR"/>
        </w:rPr>
      </w:pPr>
      <w:r w:rsidRPr="001E6E9D">
        <w:rPr>
          <w:rFonts w:asciiTheme="minorHAnsi" w:eastAsiaTheme="majorEastAsia" w:hAnsiTheme="minorHAnsi" w:cstheme="minorHAnsi"/>
          <w:iCs/>
          <w:szCs w:val="20"/>
          <w:lang w:eastAsia="pt-BR"/>
        </w:rPr>
        <w:t>A FERP é a holding do grupo Faro Energy, sendo o único veículo investido do Faro FIP. Através de suas controladas, a FERP se faz presente em 16 estados e no Distrito Federal, com um portfólio de 88 usinas solares fotovoltaicas em operação e 14 em construção.</w:t>
      </w:r>
      <w:r w:rsidRPr="001E6E9D">
        <w:rPr>
          <w:rFonts w:asciiTheme="minorHAnsi" w:hAnsiTheme="minorHAnsi" w:cstheme="minorHAnsi"/>
          <w:szCs w:val="20"/>
        </w:rPr>
        <w:t xml:space="preserve"> </w:t>
      </w:r>
      <w:r w:rsidRPr="001E6E9D">
        <w:rPr>
          <w:rFonts w:asciiTheme="minorHAnsi" w:eastAsiaTheme="majorEastAsia" w:hAnsiTheme="minorHAnsi" w:cstheme="minorHAnsi"/>
          <w:iCs/>
          <w:szCs w:val="20"/>
          <w:lang w:eastAsia="pt-BR"/>
        </w:rPr>
        <w:t>Em 2024, a FERP alcançou a marca de 400 GWh de energia gerada. Com foco na gestão efetiva dos ativos, a FERP investiu e desenvolveu o software proprietário FAMA para monitorar e otimizar o desempenho das suas usinas. O FAMA permite gestão detalhada da operação e manutenção, integrando dados dos principais equipamentos nas usinas (inversores, módulos, trackers, estações meteorológicas, entre outros), facilitando o controle em tempo real por meio de tecnologias de Internet das Coisas (IoT). Ferramentas preditivas e preventivas apoiam a gestão, visando otimizar a eficiência dos ativos.</w:t>
      </w:r>
    </w:p>
    <w:p w14:paraId="747725D7" w14:textId="798AF6E9" w:rsidR="00C879FE" w:rsidRPr="001E6E9D" w:rsidRDefault="00C879FE" w:rsidP="001F7A69">
      <w:pPr>
        <w:spacing w:after="160"/>
        <w:rPr>
          <w:rFonts w:asciiTheme="minorHAnsi" w:eastAsiaTheme="majorEastAsia" w:hAnsiTheme="minorHAnsi" w:cstheme="minorHAnsi"/>
          <w:iCs/>
          <w:szCs w:val="20"/>
          <w:lang w:eastAsia="pt-BR"/>
        </w:rPr>
      </w:pPr>
      <w:r w:rsidRPr="001E6E9D">
        <w:rPr>
          <w:rFonts w:asciiTheme="minorHAnsi" w:eastAsiaTheme="majorEastAsia" w:hAnsiTheme="minorHAnsi" w:cstheme="minorHAnsi"/>
          <w:iCs/>
          <w:szCs w:val="20"/>
          <w:lang w:eastAsia="pt-BR"/>
        </w:rPr>
        <w:t xml:space="preserve">Com mais de R$ 700 milhões em investimentos, a FERP atende mais de 6 mil unidades consumidoras, abrangendo 17 distribuidoras de energia elétrica no Brasil. Em </w:t>
      </w:r>
      <w:r w:rsidR="00B81CCE" w:rsidRPr="001E6E9D">
        <w:rPr>
          <w:rFonts w:asciiTheme="minorHAnsi" w:eastAsiaTheme="majorEastAsia" w:hAnsiTheme="minorHAnsi" w:cstheme="minorHAnsi"/>
          <w:iCs/>
          <w:szCs w:val="20"/>
          <w:lang w:eastAsia="pt-BR"/>
        </w:rPr>
        <w:t>2023</w:t>
      </w:r>
      <w:r w:rsidRPr="001E6E9D">
        <w:rPr>
          <w:rFonts w:asciiTheme="minorHAnsi" w:eastAsiaTheme="majorEastAsia" w:hAnsiTheme="minorHAnsi" w:cstheme="minorHAnsi"/>
          <w:iCs/>
          <w:szCs w:val="20"/>
          <w:lang w:eastAsia="pt-BR"/>
        </w:rPr>
        <w:t xml:space="preserve">, uma de suas subsidiárias, a </w:t>
      </w:r>
      <w:r w:rsidRPr="001E6E9D">
        <w:rPr>
          <w:rFonts w:asciiTheme="minorHAnsi" w:eastAsia="SimSun" w:hAnsiTheme="minorHAnsi" w:cstheme="minorHAnsi"/>
          <w:bCs/>
          <w:szCs w:val="20"/>
          <w:lang w:eastAsia="en-GB"/>
        </w:rPr>
        <w:t xml:space="preserve">Faro Energy Projetos Solares Holding S.A., realizou a emissão da maior operação de certificados de recebíveis imobiliários envolvendo projetos de geração distribuída até então, atingindo </w:t>
      </w:r>
      <w:r w:rsidRPr="001E6E9D">
        <w:rPr>
          <w:rFonts w:asciiTheme="minorHAnsi" w:eastAsiaTheme="majorEastAsia" w:hAnsiTheme="minorHAnsi" w:cstheme="minorHAnsi"/>
          <w:iCs/>
          <w:szCs w:val="20"/>
          <w:lang w:eastAsia="pt-BR"/>
        </w:rPr>
        <w:t>R$ 320 milhões, tendo conquistado a maior classificação de risco (</w:t>
      </w:r>
      <w:r w:rsidRPr="001E6E9D">
        <w:rPr>
          <w:rFonts w:asciiTheme="minorHAnsi" w:eastAsiaTheme="majorEastAsia" w:hAnsiTheme="minorHAnsi" w:cstheme="minorHAnsi"/>
          <w:i/>
          <w:szCs w:val="20"/>
          <w:lang w:eastAsia="pt-BR"/>
        </w:rPr>
        <w:t>rating</w:t>
      </w:r>
      <w:r w:rsidRPr="001E6E9D">
        <w:rPr>
          <w:rFonts w:asciiTheme="minorHAnsi" w:eastAsiaTheme="majorEastAsia" w:hAnsiTheme="minorHAnsi" w:cstheme="minorHAnsi"/>
          <w:iCs/>
          <w:szCs w:val="20"/>
          <w:lang w:eastAsia="pt-BR"/>
        </w:rPr>
        <w:t>) nacional para portfólios de geração solar distribuída.</w:t>
      </w:r>
    </w:p>
    <w:p w14:paraId="0BF2AF9E" w14:textId="77777777" w:rsidR="00065DBC" w:rsidRPr="001E6E9D" w:rsidRDefault="00C879FE" w:rsidP="001F7A69">
      <w:pPr>
        <w:spacing w:after="160"/>
        <w:rPr>
          <w:rFonts w:asciiTheme="minorHAnsi" w:eastAsiaTheme="majorEastAsia" w:hAnsiTheme="minorHAnsi" w:cstheme="minorHAnsi"/>
          <w:iCs/>
          <w:szCs w:val="20"/>
          <w:lang w:eastAsia="pt-BR"/>
        </w:rPr>
      </w:pPr>
      <w:r w:rsidRPr="001E6E9D">
        <w:rPr>
          <w:rFonts w:asciiTheme="minorHAnsi" w:eastAsiaTheme="majorEastAsia" w:hAnsiTheme="minorHAnsi" w:cstheme="minorHAnsi"/>
          <w:iCs/>
          <w:szCs w:val="20"/>
          <w:lang w:eastAsia="pt-BR"/>
        </w:rPr>
        <w:t xml:space="preserve">A FED foi a primeira empresa do grupo, constituída em 2016, sendo pioneira no setor de geração solar, sempre com o objetivo de desenvolver e implantar projetos de geração solar fotovoltaica. </w:t>
      </w:r>
    </w:p>
    <w:p w14:paraId="1ED5178C" w14:textId="6F96EC43" w:rsidR="00C879FE" w:rsidRPr="001E6E9D" w:rsidRDefault="00C879FE" w:rsidP="001F7A69">
      <w:pPr>
        <w:spacing w:after="160"/>
        <w:rPr>
          <w:rFonts w:asciiTheme="minorHAnsi" w:eastAsiaTheme="majorEastAsia" w:hAnsiTheme="minorHAnsi" w:cstheme="minorHAnsi"/>
          <w:b/>
          <w:bCs/>
          <w:iCs/>
          <w:szCs w:val="20"/>
          <w:lang w:eastAsia="pt-BR"/>
        </w:rPr>
      </w:pPr>
      <w:r w:rsidRPr="001E6E9D">
        <w:rPr>
          <w:rFonts w:asciiTheme="minorHAnsi" w:eastAsiaTheme="majorEastAsia" w:hAnsiTheme="minorHAnsi" w:cstheme="minorHAnsi"/>
          <w:b/>
          <w:bCs/>
          <w:iCs/>
          <w:szCs w:val="20"/>
          <w:lang w:eastAsia="pt-BR"/>
        </w:rPr>
        <w:t>SPEs (Sociedades de Propósito Específico)</w:t>
      </w:r>
    </w:p>
    <w:p w14:paraId="7C945C56" w14:textId="77777777" w:rsidR="00065DBC" w:rsidRPr="001E6E9D" w:rsidRDefault="00C879FE" w:rsidP="001F7A69">
      <w:pPr>
        <w:spacing w:after="160"/>
        <w:rPr>
          <w:rFonts w:asciiTheme="minorHAnsi" w:eastAsiaTheme="majorEastAsia" w:hAnsiTheme="minorHAnsi" w:cstheme="minorHAnsi"/>
          <w:iCs/>
          <w:szCs w:val="20"/>
          <w:lang w:eastAsia="pt-BR"/>
        </w:rPr>
      </w:pPr>
      <w:r w:rsidRPr="001E6E9D">
        <w:rPr>
          <w:rFonts w:asciiTheme="minorHAnsi" w:eastAsiaTheme="majorEastAsia" w:hAnsiTheme="minorHAnsi" w:cstheme="minorHAnsi"/>
          <w:iCs/>
          <w:szCs w:val="20"/>
          <w:lang w:eastAsia="pt-BR"/>
        </w:rPr>
        <w:t>Cada SPE, controlada pela Companhia, é dedicada ao desenvolvimento e gestão das usinas solares. As atividades de minigeração distribuída não requerem autorização específica do Ministério de Minas e Energia (MME) ou da ANEEL, garantindo agilidade e flexibilidade no atendimento ao mercado.</w:t>
      </w:r>
    </w:p>
    <w:p w14:paraId="41B2E670" w14:textId="7847FBD0" w:rsidR="00C879FE" w:rsidRPr="001E6E9D" w:rsidRDefault="00C879FE" w:rsidP="001F7A69">
      <w:pPr>
        <w:pStyle w:val="Ttulo4"/>
        <w:spacing w:after="160"/>
        <w:rPr>
          <w:rFonts w:asciiTheme="minorHAnsi" w:hAnsiTheme="minorHAnsi"/>
          <w:i w:val="0"/>
        </w:rPr>
      </w:pPr>
      <w:r w:rsidRPr="001E6E9D">
        <w:rPr>
          <w:rFonts w:asciiTheme="minorHAnsi" w:hAnsiTheme="minorHAnsi"/>
          <w:i w:val="0"/>
        </w:rPr>
        <w:t>10.2.3. Aquisição ou alienação de qualquer ativo relevante que não se enquadre como operação normal nos negócios dos garantidores.</w:t>
      </w:r>
    </w:p>
    <w:p w14:paraId="073F2644" w14:textId="77777777" w:rsidR="00C879FE" w:rsidRPr="001E6E9D" w:rsidRDefault="00C879FE" w:rsidP="001F7A69">
      <w:pPr>
        <w:spacing w:after="160"/>
        <w:rPr>
          <w:rFonts w:asciiTheme="minorHAnsi" w:eastAsiaTheme="majorEastAsia" w:hAnsiTheme="minorHAnsi" w:cstheme="minorHAnsi"/>
          <w:iCs/>
          <w:szCs w:val="20"/>
          <w:lang w:eastAsia="pt-BR"/>
        </w:rPr>
      </w:pPr>
      <w:r w:rsidRPr="001E6E9D">
        <w:rPr>
          <w:rFonts w:asciiTheme="minorHAnsi" w:eastAsia="SimSun" w:hAnsiTheme="minorHAnsi" w:cstheme="minorHAnsi"/>
          <w:szCs w:val="20"/>
          <w:lang w:eastAsia="en-GB"/>
        </w:rPr>
        <w:t>Nos últimos 3 exercícios sociais e no exercício social em andamento, não houve aquisição ou alienação de qualquer ativo relevante por qualquer dos garantidores que não</w:t>
      </w:r>
      <w:r w:rsidRPr="001E6E9D">
        <w:rPr>
          <w:rFonts w:asciiTheme="minorHAnsi" w:eastAsia="Arial" w:hAnsiTheme="minorHAnsi" w:cstheme="minorHAnsi"/>
          <w:szCs w:val="20"/>
        </w:rPr>
        <w:t xml:space="preserve"> se enquadre como operação normal nos seus respectivos negócios. </w:t>
      </w:r>
    </w:p>
    <w:p w14:paraId="1CABAE6F" w14:textId="77777777" w:rsidR="00C879FE" w:rsidRPr="001E6E9D" w:rsidRDefault="00C879FE" w:rsidP="001F7A69">
      <w:pPr>
        <w:pStyle w:val="Ttulo4"/>
        <w:spacing w:after="160"/>
        <w:rPr>
          <w:rFonts w:asciiTheme="minorHAnsi" w:hAnsiTheme="minorHAnsi"/>
          <w:i w:val="0"/>
        </w:rPr>
      </w:pPr>
      <w:r w:rsidRPr="001E6E9D">
        <w:rPr>
          <w:rFonts w:asciiTheme="minorHAnsi" w:hAnsiTheme="minorHAnsi"/>
          <w:i w:val="0"/>
        </w:rPr>
        <w:t>10.2.4. Alterações significativas na forma de condução dos negócios dos garantidores.</w:t>
      </w:r>
    </w:p>
    <w:p w14:paraId="4555348B" w14:textId="77777777" w:rsidR="00065DBC" w:rsidRPr="001E6E9D" w:rsidRDefault="00C879FE" w:rsidP="001F7A69">
      <w:pPr>
        <w:spacing w:after="160"/>
        <w:ind w:left="-5" w:right="6" w:hanging="10"/>
        <w:rPr>
          <w:rFonts w:asciiTheme="minorHAnsi" w:eastAsia="Arial" w:hAnsiTheme="minorHAnsi" w:cstheme="minorHAnsi"/>
          <w:b/>
          <w:bCs/>
          <w:szCs w:val="20"/>
          <w:highlight w:val="yellow"/>
        </w:rPr>
      </w:pPr>
      <w:r w:rsidRPr="001E6E9D">
        <w:rPr>
          <w:rFonts w:asciiTheme="minorHAnsi" w:eastAsia="SimSun" w:hAnsiTheme="minorHAnsi" w:cstheme="minorHAnsi"/>
          <w:szCs w:val="20"/>
          <w:lang w:eastAsia="en-GB"/>
        </w:rPr>
        <w:t>Nos últimos 3 exercícios sociais e no exercício social em andamento, n</w:t>
      </w:r>
      <w:r w:rsidRPr="001E6E9D">
        <w:rPr>
          <w:rFonts w:asciiTheme="minorHAnsi" w:eastAsia="Arial" w:hAnsiTheme="minorHAnsi" w:cstheme="minorHAnsi"/>
          <w:szCs w:val="20"/>
        </w:rPr>
        <w:t xml:space="preserve">ão houve alterações significativas na forma de condução dos negócios de qualquer dos garantidores. </w:t>
      </w:r>
    </w:p>
    <w:p w14:paraId="67BDFC5C" w14:textId="62A74028" w:rsidR="00C879FE" w:rsidRPr="001E6E9D" w:rsidRDefault="00C879FE" w:rsidP="001F7A69">
      <w:pPr>
        <w:spacing w:after="160"/>
        <w:rPr>
          <w:rFonts w:asciiTheme="minorHAnsi" w:hAnsiTheme="minorHAnsi" w:cstheme="minorHAnsi"/>
          <w:b/>
          <w:bCs/>
          <w:szCs w:val="20"/>
        </w:rPr>
      </w:pPr>
      <w:r w:rsidRPr="001E6E9D">
        <w:rPr>
          <w:rFonts w:asciiTheme="minorHAnsi" w:hAnsiTheme="minorHAnsi" w:cstheme="minorHAnsi"/>
          <w:b/>
          <w:bCs/>
          <w:szCs w:val="20"/>
        </w:rPr>
        <w:t>10.2.5. Acionista ou grupo de acionistas controladores</w:t>
      </w:r>
      <w:r w:rsidRPr="001E6E9D" w:rsidDel="00604B73">
        <w:rPr>
          <w:rFonts w:asciiTheme="minorHAnsi" w:hAnsiTheme="minorHAnsi" w:cstheme="minorHAnsi"/>
          <w:b/>
          <w:bCs/>
          <w:szCs w:val="20"/>
        </w:rPr>
        <w:t xml:space="preserve"> </w:t>
      </w:r>
      <w:r w:rsidRPr="001E6E9D">
        <w:rPr>
          <w:rFonts w:asciiTheme="minorHAnsi" w:hAnsiTheme="minorHAnsi" w:cstheme="minorHAnsi"/>
          <w:b/>
          <w:bCs/>
          <w:szCs w:val="20"/>
        </w:rPr>
        <w:t>dos garantidores.</w:t>
      </w:r>
    </w:p>
    <w:p w14:paraId="7E874343" w14:textId="77777777" w:rsidR="00C879FE" w:rsidRPr="001E6E9D" w:rsidRDefault="00C879FE" w:rsidP="001F7A69">
      <w:pPr>
        <w:spacing w:after="160"/>
        <w:rPr>
          <w:rFonts w:asciiTheme="minorHAnsi" w:eastAsiaTheme="majorEastAsia" w:hAnsiTheme="minorHAnsi" w:cstheme="minorHAnsi"/>
          <w:iCs/>
          <w:szCs w:val="20"/>
          <w:lang w:eastAsia="pt-BR"/>
        </w:rPr>
      </w:pPr>
      <w:r w:rsidRPr="001E6E9D">
        <w:rPr>
          <w:rFonts w:asciiTheme="minorHAnsi" w:eastAsiaTheme="majorEastAsia" w:hAnsiTheme="minorHAnsi" w:cstheme="minorHAnsi"/>
          <w:iCs/>
          <w:szCs w:val="20"/>
          <w:lang w:eastAsia="pt-BR"/>
        </w:rPr>
        <w:t>A FED é subsidiária integral da FERP e, portanto, sua composição societária é semelhante à da FERP mencionada abaixo.</w:t>
      </w:r>
    </w:p>
    <w:p w14:paraId="262C6C7C" w14:textId="77777777" w:rsidR="00C879FE" w:rsidRPr="001E6E9D" w:rsidRDefault="00C879FE" w:rsidP="001F7A69">
      <w:pPr>
        <w:spacing w:after="160"/>
        <w:rPr>
          <w:rFonts w:asciiTheme="minorHAnsi" w:hAnsiTheme="minorHAnsi" w:cstheme="minorHAnsi"/>
          <w:szCs w:val="20"/>
        </w:rPr>
      </w:pPr>
      <w:r w:rsidRPr="001E6E9D">
        <w:rPr>
          <w:rFonts w:asciiTheme="minorHAnsi" w:eastAsiaTheme="majorEastAsia" w:hAnsiTheme="minorHAnsi" w:cstheme="minorHAnsi"/>
          <w:iCs/>
          <w:szCs w:val="20"/>
          <w:lang w:eastAsia="pt-BR"/>
        </w:rPr>
        <w:t>A FERP é, direta e indiretamente, titular da totalidade das ações de emissão da Emissora. Por essa razão, a composição acionária da FERP é semelhante à do item 6.1 do Formulário de Referência da Emissora.</w:t>
      </w:r>
    </w:p>
    <w:p w14:paraId="114A905D" w14:textId="77777777" w:rsidR="00C879FE" w:rsidRPr="001E6E9D" w:rsidRDefault="00C879FE" w:rsidP="001F7A69">
      <w:pPr>
        <w:spacing w:after="160"/>
        <w:rPr>
          <w:rFonts w:asciiTheme="minorHAnsi" w:eastAsiaTheme="majorEastAsia" w:hAnsiTheme="minorHAnsi" w:cstheme="minorHAnsi"/>
          <w:iCs/>
          <w:szCs w:val="20"/>
          <w:lang w:eastAsia="pt-BR"/>
        </w:rPr>
      </w:pPr>
      <w:r w:rsidRPr="001E6E9D">
        <w:rPr>
          <w:rFonts w:asciiTheme="minorHAnsi" w:eastAsiaTheme="majorEastAsia" w:hAnsiTheme="minorHAnsi" w:cstheme="minorHAnsi"/>
          <w:iCs/>
          <w:szCs w:val="20"/>
          <w:lang w:eastAsia="pt-BR"/>
        </w:rPr>
        <w:t>A SPE MG 2 e a SPE MG 3 são subsidiárias integrais da Emissora. As demais SPEs garantidoras são controladas pela Emissora e, exceto por 1 quota de cada uma dessas SPEs de titularidade da FED, a Emissora detém a totalidade das quotas do capital social dessas SPEs. Por essa razão, as composições societárias das SPEs são semelhantes às do item 6.1 do Formulário de Referência da Emissora.</w:t>
      </w:r>
    </w:p>
    <w:p w14:paraId="6976555C" w14:textId="77777777" w:rsidR="004F0F84" w:rsidRPr="001E6E9D" w:rsidRDefault="00C879FE" w:rsidP="001F7A69">
      <w:pPr>
        <w:spacing w:after="160"/>
        <w:rPr>
          <w:rFonts w:asciiTheme="minorHAnsi" w:eastAsiaTheme="majorEastAsia" w:hAnsiTheme="minorHAnsi" w:cstheme="minorHAnsi"/>
          <w:iCs/>
          <w:szCs w:val="20"/>
          <w:lang w:eastAsia="pt-BR"/>
        </w:rPr>
        <w:sectPr w:rsidR="004F0F84" w:rsidRPr="001E6E9D" w:rsidSect="00B526F3">
          <w:footerReference w:type="default" r:id="rId24"/>
          <w:pgSz w:w="11906" w:h="16840" w:code="9"/>
          <w:pgMar w:top="851" w:right="567" w:bottom="851" w:left="2268" w:header="0" w:footer="284" w:gutter="0"/>
          <w:pgNumType w:start="1"/>
          <w:cols w:space="708"/>
          <w:docGrid w:linePitch="360"/>
        </w:sectPr>
      </w:pPr>
      <w:r w:rsidRPr="001E6E9D">
        <w:rPr>
          <w:rFonts w:asciiTheme="minorHAnsi" w:eastAsiaTheme="majorEastAsia" w:hAnsiTheme="minorHAnsi" w:cstheme="minorHAnsi"/>
          <w:iCs/>
          <w:szCs w:val="20"/>
          <w:lang w:eastAsia="pt-BR"/>
        </w:rPr>
        <w:t>Para informações adicionais sobre o organograma dos acionistas e do grupo econômico dos garantidores, vide item 6.5 do Formulário de Referência da Emissora.</w:t>
      </w:r>
    </w:p>
    <w:p w14:paraId="1D51A695" w14:textId="77777777" w:rsidR="004F0F84" w:rsidRPr="001E6E9D" w:rsidRDefault="004F0F84" w:rsidP="00DC7081">
      <w:pPr>
        <w:rPr>
          <w:rFonts w:asciiTheme="minorHAnsi" w:eastAsiaTheme="majorEastAsia" w:hAnsiTheme="minorHAnsi" w:cstheme="minorHAnsi"/>
          <w:iCs/>
          <w:szCs w:val="20"/>
          <w:lang w:eastAsia="pt-BR"/>
        </w:rPr>
      </w:pP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46A309A1"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705ED2"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CONTROLADORA / INVESTIDORA</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1F27D1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CONTROLADORA / INVESTIDORA</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EB5132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CONTROLADORA / INVESTIDORA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3AB8891"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CONTROLADORA / INVESTIDORA</w:t>
            </w:r>
          </w:p>
        </w:tc>
      </w:tr>
      <w:tr w:rsidR="004F0F84" w:rsidRPr="001E6E9D" w14:paraId="175347B5"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7B52EFD"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CD8A761"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E9A1DAA"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970CC1E"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1CBCC135"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F2B60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A3F25F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3A0E16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DF50B3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r>
      <w:tr w:rsidR="004F0F84" w:rsidRPr="001E6E9D" w14:paraId="095F5E69"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104CE1E1"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70821D1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4AA42AC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70A836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133F862E"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2AB595C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0BF24811"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070B3D8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5543001C"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06681D4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6336C304"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46E4551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40A0DE4C"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767CD103"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2D6B6444"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7EE8AF7B" w14:textId="77777777" w:rsidTr="004F0F84">
        <w:trPr>
          <w:trHeight w:val="20"/>
        </w:trPr>
        <w:tc>
          <w:tcPr>
            <w:tcW w:w="3494" w:type="pct"/>
            <w:gridSpan w:val="4"/>
            <w:tcBorders>
              <w:top w:val="single" w:sz="4" w:space="0" w:color="auto"/>
              <w:left w:val="nil"/>
              <w:bottom w:val="dashed" w:sz="4" w:space="0" w:color="808080"/>
              <w:right w:val="nil"/>
            </w:tcBorders>
          </w:tcPr>
          <w:p w14:paraId="68C372F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bCs/>
                <w:sz w:val="16"/>
                <w:szCs w:val="20"/>
                <w:u w:val="single" w:color="000000"/>
                <w:lang w:eastAsia="pt-BR"/>
              </w:rPr>
              <w:t>FERP</w:t>
            </w:r>
          </w:p>
        </w:tc>
        <w:tc>
          <w:tcPr>
            <w:tcW w:w="1506" w:type="pct"/>
            <w:gridSpan w:val="4"/>
            <w:tcBorders>
              <w:top w:val="single" w:sz="4" w:space="0" w:color="auto"/>
              <w:left w:val="nil"/>
              <w:bottom w:val="dashed" w:sz="4" w:space="0" w:color="808080"/>
              <w:right w:val="nil"/>
            </w:tcBorders>
          </w:tcPr>
          <w:p w14:paraId="2D1E4FD0"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1FCF27D5" w14:textId="77777777" w:rsidTr="004F0F84">
        <w:trPr>
          <w:trHeight w:val="20"/>
        </w:trPr>
        <w:tc>
          <w:tcPr>
            <w:tcW w:w="5000" w:type="pct"/>
            <w:gridSpan w:val="8"/>
            <w:tcBorders>
              <w:top w:val="single" w:sz="4" w:space="0" w:color="auto"/>
              <w:left w:val="nil"/>
              <w:bottom w:val="dashed" w:sz="4" w:space="0" w:color="808080"/>
              <w:right w:val="nil"/>
            </w:tcBorders>
            <w:hideMark/>
          </w:tcPr>
          <w:p w14:paraId="3FA1087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Faro Energy Fundo de Investimento em Participações - Multiestratégia</w:t>
            </w:r>
          </w:p>
        </w:tc>
      </w:tr>
      <w:tr w:rsidR="004F0F84" w:rsidRPr="001E6E9D" w14:paraId="56B2936A" w14:textId="77777777" w:rsidTr="004F0F84">
        <w:trPr>
          <w:trHeight w:val="20"/>
        </w:trPr>
        <w:tc>
          <w:tcPr>
            <w:tcW w:w="889" w:type="pct"/>
            <w:tcBorders>
              <w:top w:val="dashed" w:sz="4" w:space="0" w:color="808080"/>
              <w:left w:val="nil"/>
              <w:bottom w:val="dashed" w:sz="4" w:space="0" w:color="808080"/>
              <w:right w:val="nil"/>
            </w:tcBorders>
            <w:hideMark/>
          </w:tcPr>
          <w:p w14:paraId="6937E55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33.304.964/0001-82</w:t>
            </w:r>
          </w:p>
        </w:tc>
        <w:tc>
          <w:tcPr>
            <w:tcW w:w="871" w:type="pct"/>
            <w:tcBorders>
              <w:top w:val="dashed" w:sz="4" w:space="0" w:color="808080"/>
              <w:left w:val="nil"/>
              <w:bottom w:val="dashed" w:sz="4" w:space="0" w:color="808080"/>
              <w:right w:val="nil"/>
            </w:tcBorders>
            <w:hideMark/>
          </w:tcPr>
          <w:p w14:paraId="206698C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1AFF86B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Sim</w:t>
            </w:r>
          </w:p>
        </w:tc>
        <w:tc>
          <w:tcPr>
            <w:tcW w:w="832" w:type="pct"/>
            <w:gridSpan w:val="2"/>
            <w:tcBorders>
              <w:top w:val="dashed" w:sz="4" w:space="0" w:color="808080"/>
              <w:left w:val="nil"/>
              <w:bottom w:val="dashed" w:sz="4" w:space="0" w:color="808080"/>
              <w:right w:val="nil"/>
            </w:tcBorders>
            <w:hideMark/>
          </w:tcPr>
          <w:p w14:paraId="57DF3F4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Sim</w:t>
            </w:r>
          </w:p>
        </w:tc>
        <w:tc>
          <w:tcPr>
            <w:tcW w:w="1493" w:type="pct"/>
            <w:gridSpan w:val="3"/>
            <w:tcBorders>
              <w:top w:val="dashed" w:sz="4" w:space="0" w:color="808080"/>
              <w:left w:val="nil"/>
              <w:bottom w:val="dashed" w:sz="4" w:space="0" w:color="808080"/>
              <w:right w:val="nil"/>
            </w:tcBorders>
            <w:hideMark/>
          </w:tcPr>
          <w:p w14:paraId="2A8BF7E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30/08/2024</w:t>
            </w:r>
          </w:p>
        </w:tc>
      </w:tr>
      <w:tr w:rsidR="004F0F84" w:rsidRPr="001E6E9D" w14:paraId="12C48FEB" w14:textId="77777777" w:rsidTr="004F0F84">
        <w:trPr>
          <w:trHeight w:val="20"/>
        </w:trPr>
        <w:tc>
          <w:tcPr>
            <w:tcW w:w="889" w:type="pct"/>
            <w:tcBorders>
              <w:top w:val="dashed" w:sz="4" w:space="0" w:color="808080"/>
              <w:left w:val="nil"/>
              <w:bottom w:val="dashed" w:sz="4" w:space="0" w:color="808080"/>
              <w:right w:val="nil"/>
            </w:tcBorders>
            <w:hideMark/>
          </w:tcPr>
          <w:p w14:paraId="1BCE2752"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4EC7382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4BC1EEF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69F90F1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3273EFFA" w14:textId="77777777" w:rsidTr="004F0F84">
        <w:trPr>
          <w:trHeight w:val="20"/>
        </w:trPr>
        <w:tc>
          <w:tcPr>
            <w:tcW w:w="889" w:type="pct"/>
            <w:tcBorders>
              <w:top w:val="dashed" w:sz="4" w:space="0" w:color="808080"/>
              <w:left w:val="nil"/>
              <w:bottom w:val="single" w:sz="4" w:space="0" w:color="auto"/>
              <w:right w:val="nil"/>
            </w:tcBorders>
            <w:hideMark/>
          </w:tcPr>
          <w:p w14:paraId="19D1E47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2.176.471</w:t>
            </w:r>
          </w:p>
        </w:tc>
        <w:tc>
          <w:tcPr>
            <w:tcW w:w="871" w:type="pct"/>
            <w:tcBorders>
              <w:top w:val="dashed" w:sz="4" w:space="0" w:color="808080"/>
              <w:left w:val="nil"/>
              <w:bottom w:val="single" w:sz="4" w:space="0" w:color="auto"/>
              <w:right w:val="nil"/>
            </w:tcBorders>
            <w:hideMark/>
          </w:tcPr>
          <w:p w14:paraId="2435942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100,000</w:t>
            </w:r>
            <w:r w:rsidRPr="001E6E9D">
              <w:rPr>
                <w:rFonts w:asciiTheme="minorHAnsi" w:eastAsia="Times New Roman" w:hAnsiTheme="minorHAnsi" w:cstheme="minorHAnsi"/>
                <w:sz w:val="14"/>
                <w:szCs w:val="14"/>
                <w:u w:color="000000"/>
                <w:lang w:eastAsia="pt-BR"/>
              </w:rPr>
              <w:t>%</w:t>
            </w:r>
          </w:p>
        </w:tc>
        <w:tc>
          <w:tcPr>
            <w:tcW w:w="915" w:type="pct"/>
            <w:tcBorders>
              <w:top w:val="dashed" w:sz="4" w:space="0" w:color="808080"/>
              <w:left w:val="nil"/>
              <w:bottom w:val="single" w:sz="4" w:space="0" w:color="auto"/>
              <w:right w:val="nil"/>
            </w:tcBorders>
            <w:hideMark/>
          </w:tcPr>
          <w:p w14:paraId="368057A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hideMark/>
          </w:tcPr>
          <w:p w14:paraId="74AEAAA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hideMark/>
          </w:tcPr>
          <w:p w14:paraId="6BD6C45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2.176.471</w:t>
            </w:r>
          </w:p>
        </w:tc>
        <w:tc>
          <w:tcPr>
            <w:tcW w:w="599" w:type="pct"/>
            <w:tcBorders>
              <w:top w:val="dashed" w:sz="4" w:space="0" w:color="808080"/>
              <w:left w:val="nil"/>
              <w:bottom w:val="single" w:sz="4" w:space="0" w:color="auto"/>
              <w:right w:val="nil"/>
            </w:tcBorders>
            <w:hideMark/>
          </w:tcPr>
          <w:p w14:paraId="2936B2B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100,000</w:t>
            </w:r>
            <w:r w:rsidRPr="001E6E9D">
              <w:rPr>
                <w:rFonts w:asciiTheme="minorHAnsi" w:eastAsia="Times New Roman" w:hAnsiTheme="minorHAnsi" w:cstheme="minorHAnsi"/>
                <w:sz w:val="14"/>
                <w:szCs w:val="14"/>
                <w:u w:color="000000"/>
                <w:lang w:eastAsia="pt-BR"/>
              </w:rPr>
              <w:t>%</w:t>
            </w:r>
          </w:p>
        </w:tc>
      </w:tr>
      <w:tr w:rsidR="004F0F84" w:rsidRPr="001E6E9D" w14:paraId="77291A32"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24CA123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56167A2F"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7EDEF10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49D1F6A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16F065C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1F7D0F2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1BBA59A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570E2E6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1C1613E1"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375A3E5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23AA0577"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16055FC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6738223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6F86934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18CC836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78D8D47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315BA3D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433031CA"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4CA0783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41323F0C"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2AF2F67D"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4"/>
                <w:szCs w:val="24"/>
                <w:u w:color="000000"/>
                <w:lang w:eastAsia="pt-BR"/>
              </w:rPr>
              <w:t>2.176.471</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45E6E6A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4"/>
                <w:szCs w:val="24"/>
                <w:u w:color="000000"/>
                <w:lang w:eastAsia="pt-BR"/>
              </w:rPr>
              <w:t>100,000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462BC5A6"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184A4C7F"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756559C8"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4"/>
                <w:szCs w:val="24"/>
                <w:u w:color="000000"/>
                <w:lang w:eastAsia="pt-BR"/>
              </w:rPr>
              <w:t>2.176.471</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4C324FF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4"/>
                <w:szCs w:val="24"/>
                <w:u w:color="000000"/>
                <w:lang w:eastAsia="pt-BR"/>
              </w:rPr>
              <w:t>100,000</w:t>
            </w:r>
            <w:r w:rsidRPr="001E6E9D">
              <w:rPr>
                <w:rFonts w:asciiTheme="minorHAnsi" w:eastAsia="Times New Roman" w:hAnsiTheme="minorHAnsi" w:cstheme="minorHAnsi"/>
                <w:b/>
                <w:bCs/>
                <w:sz w:val="14"/>
                <w:szCs w:val="14"/>
                <w:u w:color="000000"/>
                <w:lang w:eastAsia="pt-BR"/>
              </w:rPr>
              <w:t>%</w:t>
            </w:r>
          </w:p>
        </w:tc>
      </w:tr>
    </w:tbl>
    <w:p w14:paraId="3FA98F6B" w14:textId="77777777" w:rsidR="004F0F84" w:rsidRPr="001E6E9D" w:rsidRDefault="004F0F84" w:rsidP="00DC7081">
      <w:pPr>
        <w:spacing w:after="160"/>
        <w:jc w:val="left"/>
        <w:rPr>
          <w:rFonts w:asciiTheme="minorHAnsi" w:eastAsia="Arial Unicode MS" w:hAnsiTheme="minorHAnsi" w:cstheme="minorHAnsi"/>
          <w:b/>
          <w:szCs w:val="20"/>
        </w:rPr>
      </w:pPr>
      <w:r w:rsidRPr="001E6E9D">
        <w:rPr>
          <w:rFonts w:asciiTheme="minorHAnsi" w:eastAsia="Arial Unicode MS" w:hAnsiTheme="minorHAnsi" w:cstheme="minorHAnsi"/>
          <w:bCs/>
          <w:sz w:val="22"/>
        </w:rPr>
        <w:br w:type="page"/>
      </w:r>
    </w:p>
    <w:p w14:paraId="66EFD077" w14:textId="77777777" w:rsidR="004F0F84" w:rsidRPr="001E6E9D" w:rsidRDefault="004F0F84" w:rsidP="00DC7081">
      <w:pPr>
        <w:tabs>
          <w:tab w:val="left" w:pos="851"/>
          <w:tab w:val="left" w:leader="dot" w:pos="9299"/>
        </w:tabs>
        <w:spacing w:after="0"/>
        <w:rPr>
          <w:rFonts w:asciiTheme="minorHAnsi" w:eastAsia="Arial Unicode MS" w:hAnsiTheme="minorHAnsi" w:cstheme="minorHAnsi"/>
          <w:b/>
          <w:szCs w:val="20"/>
        </w:rPr>
      </w:pP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1273C26E"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191D41D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CONTROLADORA / INVESTIDORA</w:t>
            </w:r>
          </w:p>
        </w:tc>
      </w:tr>
      <w:tr w:rsidR="004F0F84" w:rsidRPr="001E6E9D" w14:paraId="7AE31E73"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DF6A9F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437D326D"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76142B1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7EC71C26"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78FE08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5A6801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7F8C469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3D902B7D"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5044728"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02A8EE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7BB9887C"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7B60951"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7E230980"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5EE123B0"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7A46A2CD"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2130694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5944040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215BCA67"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597091E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4E9B405C"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3500EEA7"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7FD03F5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731B52D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0D465B3C" w14:textId="77777777" w:rsidTr="004F0F84">
        <w:trPr>
          <w:trHeight w:val="20"/>
        </w:trPr>
        <w:tc>
          <w:tcPr>
            <w:tcW w:w="3494" w:type="pct"/>
            <w:gridSpan w:val="4"/>
            <w:tcBorders>
              <w:top w:val="single" w:sz="4" w:space="0" w:color="auto"/>
              <w:left w:val="nil"/>
              <w:bottom w:val="dashed" w:sz="4" w:space="0" w:color="808080"/>
              <w:right w:val="nil"/>
            </w:tcBorders>
          </w:tcPr>
          <w:p w14:paraId="02E08D6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bCs/>
                <w:sz w:val="16"/>
                <w:szCs w:val="20"/>
                <w:u w:val="single" w:color="000000"/>
                <w:lang w:eastAsia="pt-BR"/>
              </w:rPr>
              <w:t>FED</w:t>
            </w:r>
          </w:p>
        </w:tc>
        <w:tc>
          <w:tcPr>
            <w:tcW w:w="1506" w:type="pct"/>
            <w:gridSpan w:val="4"/>
            <w:tcBorders>
              <w:top w:val="single" w:sz="4" w:space="0" w:color="auto"/>
              <w:left w:val="nil"/>
              <w:bottom w:val="dashed" w:sz="4" w:space="0" w:color="808080"/>
              <w:right w:val="nil"/>
            </w:tcBorders>
          </w:tcPr>
          <w:p w14:paraId="7B9E91A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6F966D79" w14:textId="77777777" w:rsidTr="004F0F84">
        <w:trPr>
          <w:trHeight w:val="20"/>
        </w:trPr>
        <w:tc>
          <w:tcPr>
            <w:tcW w:w="5000" w:type="pct"/>
            <w:gridSpan w:val="8"/>
            <w:tcBorders>
              <w:top w:val="single" w:sz="4" w:space="0" w:color="auto"/>
              <w:left w:val="nil"/>
              <w:bottom w:val="dashed" w:sz="4" w:space="0" w:color="808080"/>
              <w:right w:val="nil"/>
            </w:tcBorders>
            <w:hideMark/>
          </w:tcPr>
          <w:p w14:paraId="5F26D3C1"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6"/>
                <w:szCs w:val="20"/>
                <w:u w:color="000000"/>
                <w:lang w:eastAsia="pt-BR"/>
              </w:rPr>
              <w:t>Faro Energy Renováveis Participações S.A.</w:t>
            </w:r>
          </w:p>
        </w:tc>
      </w:tr>
      <w:tr w:rsidR="004F0F84" w:rsidRPr="001E6E9D" w14:paraId="3C4C54BA" w14:textId="77777777" w:rsidTr="004F0F84">
        <w:trPr>
          <w:trHeight w:val="20"/>
        </w:trPr>
        <w:tc>
          <w:tcPr>
            <w:tcW w:w="889" w:type="pct"/>
            <w:tcBorders>
              <w:top w:val="dashed" w:sz="4" w:space="0" w:color="808080"/>
              <w:left w:val="nil"/>
              <w:bottom w:val="dashed" w:sz="4" w:space="0" w:color="808080"/>
              <w:right w:val="nil"/>
            </w:tcBorders>
            <w:hideMark/>
          </w:tcPr>
          <w:p w14:paraId="78F2BD67"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46.556.111/0001-80</w:t>
            </w:r>
          </w:p>
        </w:tc>
        <w:tc>
          <w:tcPr>
            <w:tcW w:w="871" w:type="pct"/>
            <w:tcBorders>
              <w:top w:val="dashed" w:sz="4" w:space="0" w:color="808080"/>
              <w:left w:val="nil"/>
              <w:bottom w:val="dashed" w:sz="4" w:space="0" w:color="808080"/>
              <w:right w:val="nil"/>
            </w:tcBorders>
            <w:hideMark/>
          </w:tcPr>
          <w:p w14:paraId="135921C4"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5D710DB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55289B3F"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hideMark/>
          </w:tcPr>
          <w:p w14:paraId="11D8915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01/05/2024</w:t>
            </w:r>
          </w:p>
        </w:tc>
      </w:tr>
      <w:tr w:rsidR="004F0F84" w:rsidRPr="001E6E9D" w14:paraId="236F1A43" w14:textId="77777777" w:rsidTr="004F0F84">
        <w:trPr>
          <w:trHeight w:val="20"/>
        </w:trPr>
        <w:tc>
          <w:tcPr>
            <w:tcW w:w="889" w:type="pct"/>
            <w:tcBorders>
              <w:top w:val="dashed" w:sz="4" w:space="0" w:color="808080"/>
              <w:left w:val="nil"/>
              <w:bottom w:val="dashed" w:sz="4" w:space="0" w:color="808080"/>
              <w:right w:val="nil"/>
            </w:tcBorders>
            <w:hideMark/>
          </w:tcPr>
          <w:p w14:paraId="575B3E28"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626C758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75E56C38"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7D7598AD"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79854461" w14:textId="77777777" w:rsidTr="004F0F84">
        <w:trPr>
          <w:trHeight w:val="20"/>
        </w:trPr>
        <w:tc>
          <w:tcPr>
            <w:tcW w:w="889" w:type="pct"/>
            <w:tcBorders>
              <w:top w:val="dashed" w:sz="4" w:space="0" w:color="808080"/>
              <w:left w:val="nil"/>
              <w:bottom w:val="single" w:sz="4" w:space="0" w:color="auto"/>
              <w:right w:val="nil"/>
            </w:tcBorders>
            <w:hideMark/>
          </w:tcPr>
          <w:p w14:paraId="784F481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69.801.045</w:t>
            </w:r>
          </w:p>
        </w:tc>
        <w:tc>
          <w:tcPr>
            <w:tcW w:w="871" w:type="pct"/>
            <w:tcBorders>
              <w:top w:val="dashed" w:sz="4" w:space="0" w:color="808080"/>
              <w:left w:val="nil"/>
              <w:bottom w:val="single" w:sz="4" w:space="0" w:color="auto"/>
              <w:right w:val="nil"/>
            </w:tcBorders>
            <w:hideMark/>
          </w:tcPr>
          <w:p w14:paraId="148D8CB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100%</w:t>
            </w:r>
          </w:p>
        </w:tc>
        <w:tc>
          <w:tcPr>
            <w:tcW w:w="915" w:type="pct"/>
            <w:tcBorders>
              <w:top w:val="dashed" w:sz="4" w:space="0" w:color="808080"/>
              <w:left w:val="nil"/>
              <w:bottom w:val="single" w:sz="4" w:space="0" w:color="auto"/>
              <w:right w:val="nil"/>
            </w:tcBorders>
            <w:hideMark/>
          </w:tcPr>
          <w:p w14:paraId="155B69B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hideMark/>
          </w:tcPr>
          <w:p w14:paraId="6EF2B41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hideMark/>
          </w:tcPr>
          <w:p w14:paraId="6FF4D6A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69.801.045</w:t>
            </w:r>
          </w:p>
        </w:tc>
        <w:tc>
          <w:tcPr>
            <w:tcW w:w="598" w:type="pct"/>
            <w:tcBorders>
              <w:top w:val="dashed" w:sz="4" w:space="0" w:color="808080"/>
              <w:left w:val="nil"/>
              <w:bottom w:val="single" w:sz="4" w:space="0" w:color="auto"/>
              <w:right w:val="nil"/>
            </w:tcBorders>
            <w:hideMark/>
          </w:tcPr>
          <w:p w14:paraId="1EDC03A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100%</w:t>
            </w:r>
          </w:p>
        </w:tc>
      </w:tr>
      <w:tr w:rsidR="004F0F84" w:rsidRPr="001E6E9D" w14:paraId="14283FC4"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089D433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63FFDEEC"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6723112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4756D66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696CB65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0A9CF26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420CA42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7A0319C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32FD86A9"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6A17ED7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4C0D52E2"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4323BD1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4D1AD27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1908B2F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7DC5724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1ABD3C5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68C0EB3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25D9BAA3"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36318C22"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15F3E980"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2CD9C13A"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69.801.045</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38D6A8E2"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100,000%</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1E19C5A3"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5DBFC864"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21779DCA"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69.801.045</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04ED12B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100,000%</w:t>
            </w:r>
          </w:p>
        </w:tc>
      </w:tr>
    </w:tbl>
    <w:p w14:paraId="49518002" w14:textId="77777777" w:rsidR="004F0F84" w:rsidRPr="001E6E9D" w:rsidRDefault="004F0F84" w:rsidP="00DC7081">
      <w:pPr>
        <w:jc w:val="left"/>
        <w:rPr>
          <w:rFonts w:asciiTheme="minorHAnsi" w:eastAsia="Calibri" w:hAnsiTheme="minorHAnsi" w:cstheme="minorHAnsi"/>
          <w:sz w:val="22"/>
        </w:rPr>
      </w:pPr>
    </w:p>
    <w:p w14:paraId="56A8A285"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3B8D0BA0"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1E6FA15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07BB3428"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D03D97C"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462E78FA"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3CC884C"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8959411"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D5E1C7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0E766489"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EFB9FC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2A99C2AF"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7FE3F23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66D15C8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8D6F0B9"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DDA89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798CD341"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67CE89E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0F7F55C4"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2A91663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270C154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15999DA3"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4141435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7FC050BD"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0FE66C7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15DB797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1FD0274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353D9681" w14:textId="77777777" w:rsidTr="004F0F84">
        <w:trPr>
          <w:trHeight w:val="20"/>
        </w:trPr>
        <w:tc>
          <w:tcPr>
            <w:tcW w:w="3494" w:type="pct"/>
            <w:gridSpan w:val="4"/>
            <w:tcBorders>
              <w:top w:val="single" w:sz="4" w:space="0" w:color="auto"/>
              <w:left w:val="nil"/>
              <w:bottom w:val="dashed" w:sz="4" w:space="0" w:color="808080"/>
              <w:right w:val="nil"/>
            </w:tcBorders>
          </w:tcPr>
          <w:p w14:paraId="2309EF8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bCs/>
                <w:sz w:val="16"/>
                <w:szCs w:val="20"/>
                <w:u w:val="single" w:color="000000"/>
                <w:lang w:eastAsia="pt-BR"/>
              </w:rPr>
              <w:t>SPE Capitania</w:t>
            </w:r>
          </w:p>
        </w:tc>
        <w:tc>
          <w:tcPr>
            <w:tcW w:w="1506" w:type="pct"/>
            <w:gridSpan w:val="4"/>
            <w:tcBorders>
              <w:top w:val="single" w:sz="4" w:space="0" w:color="auto"/>
              <w:left w:val="nil"/>
              <w:bottom w:val="dashed" w:sz="4" w:space="0" w:color="808080"/>
              <w:right w:val="nil"/>
            </w:tcBorders>
          </w:tcPr>
          <w:p w14:paraId="4F3812F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6CB0FC75" w14:textId="77777777" w:rsidTr="004F0F84">
        <w:trPr>
          <w:trHeight w:val="20"/>
        </w:trPr>
        <w:tc>
          <w:tcPr>
            <w:tcW w:w="5000" w:type="pct"/>
            <w:gridSpan w:val="8"/>
            <w:tcBorders>
              <w:top w:val="single" w:sz="4" w:space="0" w:color="auto"/>
              <w:left w:val="nil"/>
              <w:bottom w:val="dashed" w:sz="4" w:space="0" w:color="808080"/>
              <w:right w:val="nil"/>
            </w:tcBorders>
            <w:hideMark/>
          </w:tcPr>
          <w:p w14:paraId="16C3B2D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6"/>
                <w:szCs w:val="20"/>
                <w:u w:color="000000"/>
                <w:lang w:eastAsia="pt-BR"/>
              </w:rPr>
              <w:t>Faro Energy Projetos Solares Holding IV S.A.</w:t>
            </w:r>
          </w:p>
        </w:tc>
      </w:tr>
      <w:tr w:rsidR="004F0F84" w:rsidRPr="001E6E9D" w14:paraId="367BF304" w14:textId="77777777" w:rsidTr="004F0F84">
        <w:trPr>
          <w:trHeight w:val="20"/>
        </w:trPr>
        <w:tc>
          <w:tcPr>
            <w:tcW w:w="889" w:type="pct"/>
            <w:tcBorders>
              <w:top w:val="dashed" w:sz="4" w:space="0" w:color="808080"/>
              <w:left w:val="nil"/>
              <w:bottom w:val="dashed" w:sz="4" w:space="0" w:color="808080"/>
              <w:right w:val="nil"/>
            </w:tcBorders>
            <w:hideMark/>
          </w:tcPr>
          <w:p w14:paraId="5CD1F53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48.904.104/0001-57</w:t>
            </w:r>
          </w:p>
        </w:tc>
        <w:tc>
          <w:tcPr>
            <w:tcW w:w="871" w:type="pct"/>
            <w:tcBorders>
              <w:top w:val="dashed" w:sz="4" w:space="0" w:color="808080"/>
              <w:left w:val="nil"/>
              <w:bottom w:val="dashed" w:sz="4" w:space="0" w:color="808080"/>
              <w:right w:val="nil"/>
            </w:tcBorders>
            <w:hideMark/>
          </w:tcPr>
          <w:p w14:paraId="7DB9EBD0"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609895C7"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58B6E00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vAlign w:val="center"/>
            <w:hideMark/>
          </w:tcPr>
          <w:p w14:paraId="7ABCC26E"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774B8F55" w14:textId="77777777" w:rsidTr="004F0F84">
        <w:trPr>
          <w:trHeight w:val="20"/>
        </w:trPr>
        <w:tc>
          <w:tcPr>
            <w:tcW w:w="889" w:type="pct"/>
            <w:tcBorders>
              <w:top w:val="dashed" w:sz="4" w:space="0" w:color="808080"/>
              <w:left w:val="nil"/>
              <w:bottom w:val="dashed" w:sz="4" w:space="0" w:color="808080"/>
              <w:right w:val="nil"/>
            </w:tcBorders>
            <w:hideMark/>
          </w:tcPr>
          <w:p w14:paraId="4C26C070"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05B1565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7F491BC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32BC27B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454D0CDE" w14:textId="77777777" w:rsidTr="004F0F84">
        <w:trPr>
          <w:trHeight w:val="20"/>
        </w:trPr>
        <w:tc>
          <w:tcPr>
            <w:tcW w:w="889" w:type="pct"/>
            <w:tcBorders>
              <w:top w:val="dashed" w:sz="4" w:space="0" w:color="808080"/>
              <w:left w:val="nil"/>
              <w:bottom w:val="single" w:sz="4" w:space="0" w:color="auto"/>
              <w:right w:val="nil"/>
            </w:tcBorders>
            <w:hideMark/>
          </w:tcPr>
          <w:p w14:paraId="28C6AE8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871" w:type="pct"/>
            <w:tcBorders>
              <w:top w:val="dashed" w:sz="4" w:space="0" w:color="808080"/>
              <w:left w:val="nil"/>
              <w:bottom w:val="single" w:sz="4" w:space="0" w:color="auto"/>
              <w:right w:val="nil"/>
            </w:tcBorders>
            <w:hideMark/>
          </w:tcPr>
          <w:p w14:paraId="69218A2A" w14:textId="77777777" w:rsidR="004F0F84" w:rsidRPr="001E6E9D" w:rsidRDefault="004F0F84" w:rsidP="00DC7081">
            <w:pPr>
              <w:widowControl w:val="0"/>
              <w:tabs>
                <w:tab w:val="center" w:pos="1114"/>
                <w:tab w:val="right" w:pos="2228"/>
              </w:tabs>
              <w:spacing w:after="0"/>
              <w:jc w:val="lef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6"/>
                <w:szCs w:val="20"/>
                <w:u w:color="000000"/>
                <w:lang w:eastAsia="pt-BR"/>
              </w:rPr>
              <w:t>99,9%</w:t>
            </w:r>
          </w:p>
        </w:tc>
        <w:tc>
          <w:tcPr>
            <w:tcW w:w="915" w:type="pct"/>
            <w:tcBorders>
              <w:top w:val="dashed" w:sz="4" w:space="0" w:color="808080"/>
              <w:left w:val="nil"/>
              <w:bottom w:val="single" w:sz="4" w:space="0" w:color="auto"/>
              <w:right w:val="nil"/>
            </w:tcBorders>
            <w:hideMark/>
          </w:tcPr>
          <w:p w14:paraId="46BE5E6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hideMark/>
          </w:tcPr>
          <w:p w14:paraId="1038538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hideMark/>
          </w:tcPr>
          <w:p w14:paraId="5BE9787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598" w:type="pct"/>
            <w:tcBorders>
              <w:top w:val="dashed" w:sz="4" w:space="0" w:color="808080"/>
              <w:left w:val="nil"/>
              <w:bottom w:val="single" w:sz="4" w:space="0" w:color="auto"/>
              <w:right w:val="nil"/>
            </w:tcBorders>
            <w:hideMark/>
          </w:tcPr>
          <w:p w14:paraId="26C0962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105EB9BA"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37F36B0E"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2B385AB0"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1D07CC8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4F3EBE4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35164BB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3364500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2A5DEEA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7098A67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76AE6FB5"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2BFBD1DA"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00B9EB33"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1D0078F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362CE86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73DCA75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730D5C7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62A2598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0950EDA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20836CD5"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7780BA9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17E810E0"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6CF2DFF3"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3C864C70"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072F328B"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38B2A768"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38CD215D"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3085CBC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3CDC2AF5" w14:textId="77777777" w:rsidR="004F0F84" w:rsidRPr="001E6E9D" w:rsidRDefault="004F0F84" w:rsidP="00DC7081">
      <w:pPr>
        <w:spacing w:after="160"/>
        <w:jc w:val="left"/>
        <w:rPr>
          <w:rFonts w:asciiTheme="minorHAnsi" w:eastAsia="Calibri" w:hAnsiTheme="minorHAnsi" w:cstheme="minorHAnsi"/>
          <w:sz w:val="22"/>
        </w:rPr>
      </w:pPr>
    </w:p>
    <w:p w14:paraId="6568BAB7"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2B625FAD"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7DCFE3C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48715418"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7FD389A"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1A4B2332"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EB4092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BCF7D8D"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02104B0A"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61B76A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6A4C5F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51C59E4A"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4F91EAD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BEA098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4C7B4878"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97FCA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7CA5C4BD"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2556591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0AC8E4DD"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7E7975A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14A27BC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873567D"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BC9C10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45FF8F59"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782B26B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2A783A94"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616C175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69E9562B" w14:textId="77777777" w:rsidTr="004F0F84">
        <w:trPr>
          <w:trHeight w:val="20"/>
        </w:trPr>
        <w:tc>
          <w:tcPr>
            <w:tcW w:w="3494" w:type="pct"/>
            <w:gridSpan w:val="4"/>
            <w:tcBorders>
              <w:top w:val="single" w:sz="4" w:space="0" w:color="auto"/>
              <w:left w:val="nil"/>
              <w:bottom w:val="dashed" w:sz="4" w:space="0" w:color="808080"/>
              <w:right w:val="nil"/>
            </w:tcBorders>
          </w:tcPr>
          <w:p w14:paraId="5800ADDA"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bCs/>
                <w:sz w:val="16"/>
                <w:szCs w:val="20"/>
                <w:u w:val="single" w:color="000000"/>
                <w:lang w:eastAsia="pt-BR"/>
              </w:rPr>
              <w:t>SPE Colares</w:t>
            </w:r>
          </w:p>
        </w:tc>
        <w:tc>
          <w:tcPr>
            <w:tcW w:w="1506" w:type="pct"/>
            <w:gridSpan w:val="4"/>
            <w:tcBorders>
              <w:top w:val="single" w:sz="4" w:space="0" w:color="auto"/>
              <w:left w:val="nil"/>
              <w:bottom w:val="dashed" w:sz="4" w:space="0" w:color="808080"/>
              <w:right w:val="nil"/>
            </w:tcBorders>
          </w:tcPr>
          <w:p w14:paraId="2D1A6D8C"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6947F3BF"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379BA64F"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6CB0ED7A" w14:textId="77777777" w:rsidTr="004F0F84">
        <w:trPr>
          <w:trHeight w:val="20"/>
        </w:trPr>
        <w:tc>
          <w:tcPr>
            <w:tcW w:w="889" w:type="pct"/>
            <w:tcBorders>
              <w:top w:val="dashed" w:sz="4" w:space="0" w:color="808080"/>
              <w:left w:val="nil"/>
              <w:bottom w:val="dashed" w:sz="4" w:space="0" w:color="808080"/>
              <w:right w:val="nil"/>
            </w:tcBorders>
            <w:vAlign w:val="center"/>
            <w:hideMark/>
          </w:tcPr>
          <w:p w14:paraId="085ED86E"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39A1B8F8"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0C41E71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574B7E3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vAlign w:val="center"/>
            <w:hideMark/>
          </w:tcPr>
          <w:p w14:paraId="0636503D"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4A307D9C" w14:textId="77777777" w:rsidTr="004F0F84">
        <w:trPr>
          <w:trHeight w:val="20"/>
        </w:trPr>
        <w:tc>
          <w:tcPr>
            <w:tcW w:w="889" w:type="pct"/>
            <w:tcBorders>
              <w:top w:val="dashed" w:sz="4" w:space="0" w:color="808080"/>
              <w:left w:val="nil"/>
              <w:bottom w:val="dashed" w:sz="4" w:space="0" w:color="808080"/>
              <w:right w:val="nil"/>
            </w:tcBorders>
            <w:hideMark/>
          </w:tcPr>
          <w:p w14:paraId="5A935FC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62CF065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3B32899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1CD59E8E"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2C306F6C" w14:textId="77777777" w:rsidTr="004F0F84">
        <w:trPr>
          <w:trHeight w:val="20"/>
        </w:trPr>
        <w:tc>
          <w:tcPr>
            <w:tcW w:w="889" w:type="pct"/>
            <w:tcBorders>
              <w:top w:val="dashed" w:sz="4" w:space="0" w:color="808080"/>
              <w:left w:val="nil"/>
              <w:bottom w:val="single" w:sz="4" w:space="0" w:color="auto"/>
              <w:right w:val="nil"/>
            </w:tcBorders>
            <w:hideMark/>
          </w:tcPr>
          <w:p w14:paraId="414FA33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871" w:type="pct"/>
            <w:tcBorders>
              <w:top w:val="dashed" w:sz="4" w:space="0" w:color="808080"/>
              <w:left w:val="nil"/>
              <w:bottom w:val="single" w:sz="4" w:space="0" w:color="auto"/>
              <w:right w:val="nil"/>
            </w:tcBorders>
            <w:hideMark/>
          </w:tcPr>
          <w:p w14:paraId="27352AC8" w14:textId="77777777" w:rsidR="004F0F84" w:rsidRPr="001E6E9D" w:rsidRDefault="004F0F84" w:rsidP="00DC7081">
            <w:pPr>
              <w:widowControl w:val="0"/>
              <w:tabs>
                <w:tab w:val="center" w:pos="1114"/>
                <w:tab w:val="right" w:pos="2228"/>
              </w:tabs>
              <w:spacing w:after="0"/>
              <w:jc w:val="lef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6"/>
                <w:szCs w:val="20"/>
                <w:u w:color="000000"/>
                <w:lang w:eastAsia="pt-BR"/>
              </w:rPr>
              <w:t>99,9%</w:t>
            </w:r>
          </w:p>
        </w:tc>
        <w:tc>
          <w:tcPr>
            <w:tcW w:w="915" w:type="pct"/>
            <w:tcBorders>
              <w:top w:val="dashed" w:sz="4" w:space="0" w:color="808080"/>
              <w:left w:val="nil"/>
              <w:bottom w:val="single" w:sz="4" w:space="0" w:color="auto"/>
              <w:right w:val="nil"/>
            </w:tcBorders>
            <w:hideMark/>
          </w:tcPr>
          <w:p w14:paraId="3DB6FE2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hideMark/>
          </w:tcPr>
          <w:p w14:paraId="3041845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hideMark/>
          </w:tcPr>
          <w:p w14:paraId="5C7F242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599" w:type="pct"/>
            <w:tcBorders>
              <w:top w:val="dashed" w:sz="4" w:space="0" w:color="808080"/>
              <w:left w:val="nil"/>
              <w:bottom w:val="single" w:sz="4" w:space="0" w:color="auto"/>
              <w:right w:val="nil"/>
            </w:tcBorders>
            <w:hideMark/>
          </w:tcPr>
          <w:p w14:paraId="149B7DA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072E8AA0"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592F507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09DF91B7"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1F88C1B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5C7D508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4E87B90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47D1A41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50911E2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6A3EE4E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69A733AD"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60E5C44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259441F6"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4E765EE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2E244CD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41A59EE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09CE4EA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4AAD0A4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6B6F3D6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4DA7757C"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43B3393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7E1A46F8"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2C52E2DA"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02D57FA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538E8421"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1D6FBFC2"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631C30D1"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4B89BCB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51218DA8" w14:textId="77777777" w:rsidR="004F0F84" w:rsidRPr="001E6E9D" w:rsidRDefault="004F0F84" w:rsidP="00DC7081">
      <w:pPr>
        <w:spacing w:after="160"/>
        <w:jc w:val="left"/>
        <w:rPr>
          <w:rFonts w:asciiTheme="minorHAnsi" w:eastAsia="Calibri" w:hAnsiTheme="minorHAnsi" w:cstheme="minorHAnsi"/>
          <w:sz w:val="22"/>
        </w:rPr>
      </w:pPr>
    </w:p>
    <w:p w14:paraId="0F443FB9"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393"/>
        <w:gridCol w:w="2343"/>
        <w:gridCol w:w="2466"/>
        <w:gridCol w:w="2197"/>
        <w:gridCol w:w="17"/>
        <w:gridCol w:w="2318"/>
        <w:gridCol w:w="6"/>
        <w:gridCol w:w="1484"/>
        <w:gridCol w:w="805"/>
      </w:tblGrid>
      <w:tr w:rsidR="004F0F84" w:rsidRPr="001E6E9D" w14:paraId="5B66822E" w14:textId="77777777" w:rsidTr="004F0F84">
        <w:trPr>
          <w:trHeight w:val="20"/>
        </w:trPr>
        <w:tc>
          <w:tcPr>
            <w:tcW w:w="5000"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484D5FF1"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52DD7E05" w14:textId="77777777" w:rsidTr="004F0F84">
        <w:trPr>
          <w:trHeight w:val="20"/>
        </w:trPr>
        <w:tc>
          <w:tcPr>
            <w:tcW w:w="5000"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9D128E"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6F437849" w14:textId="77777777" w:rsidTr="001F7A69">
        <w:trPr>
          <w:trHeight w:val="20"/>
        </w:trPr>
        <w:tc>
          <w:tcPr>
            <w:tcW w:w="8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63854A5"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0A13F4B8"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1667"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A9FE1DA"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1357"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2A84C1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D7B539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646B833E" w14:textId="77777777" w:rsidTr="001F7A69">
        <w:trPr>
          <w:trHeight w:val="20"/>
        </w:trPr>
        <w:tc>
          <w:tcPr>
            <w:tcW w:w="8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A6A88F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2503"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41492A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1357"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144A788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FF339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35787897" w14:textId="77777777" w:rsidTr="004F0F84">
        <w:trPr>
          <w:trHeight w:val="20"/>
        </w:trPr>
        <w:tc>
          <w:tcPr>
            <w:tcW w:w="5000"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0B96DBBC"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03C057BB" w14:textId="77777777" w:rsidTr="001F7A69">
        <w:trPr>
          <w:trHeight w:val="20"/>
        </w:trPr>
        <w:tc>
          <w:tcPr>
            <w:tcW w:w="8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69B702A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2CEDE403"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3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D51200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87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6C469DAF"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788"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6C1C270D"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28"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0F130DE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6908BA8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EE8603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7A30263D" w14:textId="77777777" w:rsidTr="001F7A69">
        <w:trPr>
          <w:trHeight w:val="20"/>
        </w:trPr>
        <w:tc>
          <w:tcPr>
            <w:tcW w:w="3350" w:type="pct"/>
            <w:gridSpan w:val="4"/>
            <w:tcBorders>
              <w:top w:val="single" w:sz="4" w:space="0" w:color="auto"/>
              <w:left w:val="nil"/>
              <w:bottom w:val="dashed" w:sz="4" w:space="0" w:color="808080"/>
              <w:right w:val="nil"/>
            </w:tcBorders>
            <w:vAlign w:val="center"/>
          </w:tcPr>
          <w:p w14:paraId="04F25F6D"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Conchas</w:t>
            </w:r>
          </w:p>
        </w:tc>
        <w:tc>
          <w:tcPr>
            <w:tcW w:w="1650" w:type="pct"/>
            <w:gridSpan w:val="5"/>
            <w:tcBorders>
              <w:top w:val="single" w:sz="4" w:space="0" w:color="auto"/>
              <w:left w:val="nil"/>
              <w:bottom w:val="dashed" w:sz="4" w:space="0" w:color="808080"/>
              <w:right w:val="nil"/>
            </w:tcBorders>
          </w:tcPr>
          <w:p w14:paraId="61439ECE"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121D22BE" w14:textId="77777777" w:rsidTr="001F7A69">
        <w:trPr>
          <w:trHeight w:val="20"/>
        </w:trPr>
        <w:tc>
          <w:tcPr>
            <w:tcW w:w="5000" w:type="pct"/>
            <w:gridSpan w:val="9"/>
            <w:tcBorders>
              <w:top w:val="single" w:sz="4" w:space="0" w:color="auto"/>
              <w:left w:val="nil"/>
              <w:bottom w:val="dashed" w:sz="4" w:space="0" w:color="808080"/>
              <w:right w:val="nil"/>
            </w:tcBorders>
            <w:vAlign w:val="center"/>
            <w:hideMark/>
          </w:tcPr>
          <w:p w14:paraId="2437F776"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53816D65" w14:textId="77777777" w:rsidTr="001F7A69">
        <w:trPr>
          <w:trHeight w:val="20"/>
        </w:trPr>
        <w:tc>
          <w:tcPr>
            <w:tcW w:w="853" w:type="pct"/>
            <w:tcBorders>
              <w:top w:val="dashed" w:sz="4" w:space="0" w:color="808080"/>
              <w:left w:val="nil"/>
              <w:bottom w:val="dashed" w:sz="4" w:space="0" w:color="808080"/>
              <w:right w:val="nil"/>
            </w:tcBorders>
            <w:vAlign w:val="center"/>
            <w:hideMark/>
          </w:tcPr>
          <w:p w14:paraId="02CA8155"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35" w:type="pct"/>
            <w:tcBorders>
              <w:top w:val="dashed" w:sz="4" w:space="0" w:color="808080"/>
              <w:left w:val="nil"/>
              <w:bottom w:val="dashed" w:sz="4" w:space="0" w:color="808080"/>
              <w:right w:val="nil"/>
            </w:tcBorders>
            <w:hideMark/>
          </w:tcPr>
          <w:p w14:paraId="2DD05719"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879" w:type="pct"/>
            <w:tcBorders>
              <w:top w:val="dashed" w:sz="4" w:space="0" w:color="808080"/>
              <w:left w:val="nil"/>
              <w:bottom w:val="dashed" w:sz="4" w:space="0" w:color="808080"/>
              <w:right w:val="nil"/>
            </w:tcBorders>
            <w:hideMark/>
          </w:tcPr>
          <w:p w14:paraId="2CAA1CE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788" w:type="pct"/>
            <w:gridSpan w:val="2"/>
            <w:tcBorders>
              <w:top w:val="dashed" w:sz="4" w:space="0" w:color="808080"/>
              <w:left w:val="nil"/>
              <w:bottom w:val="dashed" w:sz="4" w:space="0" w:color="808080"/>
              <w:right w:val="nil"/>
            </w:tcBorders>
            <w:hideMark/>
          </w:tcPr>
          <w:p w14:paraId="1524551D"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644" w:type="pct"/>
            <w:gridSpan w:val="4"/>
            <w:tcBorders>
              <w:top w:val="dashed" w:sz="4" w:space="0" w:color="808080"/>
              <w:left w:val="nil"/>
              <w:bottom w:val="dashed" w:sz="4" w:space="0" w:color="808080"/>
              <w:right w:val="nil"/>
            </w:tcBorders>
            <w:vAlign w:val="center"/>
            <w:hideMark/>
          </w:tcPr>
          <w:p w14:paraId="2DE20909"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0E55574F" w14:textId="77777777" w:rsidTr="001F7A69">
        <w:trPr>
          <w:trHeight w:val="20"/>
        </w:trPr>
        <w:tc>
          <w:tcPr>
            <w:tcW w:w="853" w:type="pct"/>
            <w:tcBorders>
              <w:top w:val="dashed" w:sz="4" w:space="0" w:color="808080"/>
              <w:left w:val="nil"/>
              <w:bottom w:val="dashed" w:sz="4" w:space="0" w:color="808080"/>
              <w:right w:val="nil"/>
            </w:tcBorders>
            <w:hideMark/>
          </w:tcPr>
          <w:p w14:paraId="274E8E57"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14" w:type="pct"/>
            <w:gridSpan w:val="2"/>
            <w:tcBorders>
              <w:top w:val="dashed" w:sz="4" w:space="0" w:color="808080"/>
              <w:left w:val="nil"/>
              <w:bottom w:val="dashed" w:sz="4" w:space="0" w:color="808080"/>
              <w:right w:val="nil"/>
            </w:tcBorders>
          </w:tcPr>
          <w:p w14:paraId="0BB7607F"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788" w:type="pct"/>
            <w:gridSpan w:val="2"/>
            <w:tcBorders>
              <w:top w:val="dashed" w:sz="4" w:space="0" w:color="808080"/>
              <w:left w:val="nil"/>
              <w:bottom w:val="dashed" w:sz="4" w:space="0" w:color="808080"/>
              <w:right w:val="nil"/>
            </w:tcBorders>
          </w:tcPr>
          <w:p w14:paraId="14FDA728"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644" w:type="pct"/>
            <w:gridSpan w:val="4"/>
            <w:tcBorders>
              <w:top w:val="dashed" w:sz="4" w:space="0" w:color="808080"/>
              <w:left w:val="nil"/>
              <w:bottom w:val="dashed" w:sz="4" w:space="0" w:color="808080"/>
              <w:right w:val="nil"/>
            </w:tcBorders>
          </w:tcPr>
          <w:p w14:paraId="620253C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75B160EA" w14:textId="77777777" w:rsidTr="001F7A69">
        <w:trPr>
          <w:trHeight w:val="20"/>
        </w:trPr>
        <w:tc>
          <w:tcPr>
            <w:tcW w:w="853" w:type="pct"/>
            <w:tcBorders>
              <w:top w:val="dashed" w:sz="4" w:space="0" w:color="808080"/>
              <w:left w:val="nil"/>
              <w:bottom w:val="single" w:sz="4" w:space="0" w:color="auto"/>
              <w:right w:val="nil"/>
            </w:tcBorders>
            <w:hideMark/>
          </w:tcPr>
          <w:p w14:paraId="7B032CE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835" w:type="pct"/>
            <w:tcBorders>
              <w:top w:val="dashed" w:sz="4" w:space="0" w:color="808080"/>
              <w:left w:val="nil"/>
              <w:bottom w:val="single" w:sz="4" w:space="0" w:color="auto"/>
              <w:right w:val="nil"/>
            </w:tcBorders>
            <w:hideMark/>
          </w:tcPr>
          <w:p w14:paraId="43DE13B3" w14:textId="77777777" w:rsidR="004F0F84" w:rsidRPr="001E6E9D" w:rsidRDefault="004F0F84" w:rsidP="00DC7081">
            <w:pPr>
              <w:widowControl w:val="0"/>
              <w:tabs>
                <w:tab w:val="center" w:pos="1114"/>
                <w:tab w:val="right" w:pos="2228"/>
              </w:tabs>
              <w:spacing w:after="0"/>
              <w:jc w:val="lef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6"/>
                <w:szCs w:val="20"/>
                <w:u w:color="000000"/>
                <w:lang w:eastAsia="pt-BR"/>
              </w:rPr>
              <w:t>99,9%</w:t>
            </w:r>
          </w:p>
        </w:tc>
        <w:tc>
          <w:tcPr>
            <w:tcW w:w="879" w:type="pct"/>
            <w:tcBorders>
              <w:top w:val="dashed" w:sz="4" w:space="0" w:color="808080"/>
              <w:left w:val="nil"/>
              <w:bottom w:val="single" w:sz="4" w:space="0" w:color="auto"/>
              <w:right w:val="nil"/>
            </w:tcBorders>
            <w:hideMark/>
          </w:tcPr>
          <w:p w14:paraId="39A6910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788" w:type="pct"/>
            <w:gridSpan w:val="2"/>
            <w:tcBorders>
              <w:top w:val="dashed" w:sz="4" w:space="0" w:color="808080"/>
              <w:left w:val="nil"/>
              <w:bottom w:val="single" w:sz="4" w:space="0" w:color="auto"/>
              <w:right w:val="nil"/>
            </w:tcBorders>
            <w:hideMark/>
          </w:tcPr>
          <w:p w14:paraId="4616423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28" w:type="pct"/>
            <w:gridSpan w:val="2"/>
            <w:tcBorders>
              <w:top w:val="dashed" w:sz="4" w:space="0" w:color="808080"/>
              <w:left w:val="nil"/>
              <w:bottom w:val="single" w:sz="4" w:space="0" w:color="auto"/>
              <w:right w:val="nil"/>
            </w:tcBorders>
            <w:hideMark/>
          </w:tcPr>
          <w:p w14:paraId="5EF7D45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817" w:type="pct"/>
            <w:gridSpan w:val="2"/>
            <w:tcBorders>
              <w:top w:val="dashed" w:sz="4" w:space="0" w:color="808080"/>
              <w:left w:val="nil"/>
              <w:bottom w:val="single" w:sz="4" w:space="0" w:color="auto"/>
              <w:right w:val="nil"/>
            </w:tcBorders>
            <w:hideMark/>
          </w:tcPr>
          <w:p w14:paraId="6499A73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1A7D530F" w14:textId="77777777" w:rsidTr="001F7A69">
        <w:trPr>
          <w:trHeight w:val="20"/>
        </w:trPr>
        <w:tc>
          <w:tcPr>
            <w:tcW w:w="5000" w:type="pct"/>
            <w:gridSpan w:val="9"/>
            <w:tcBorders>
              <w:top w:val="single" w:sz="4" w:space="0" w:color="auto"/>
              <w:left w:val="nil"/>
              <w:bottom w:val="dashed" w:sz="4" w:space="0" w:color="808080"/>
              <w:right w:val="nil"/>
            </w:tcBorders>
            <w:shd w:val="clear" w:color="auto" w:fill="F2F2F2" w:themeFill="background1" w:themeFillShade="F2"/>
            <w:hideMark/>
          </w:tcPr>
          <w:p w14:paraId="30DFF31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653F7854" w14:textId="77777777" w:rsidTr="001F7A69">
        <w:trPr>
          <w:trHeight w:val="20"/>
        </w:trPr>
        <w:tc>
          <w:tcPr>
            <w:tcW w:w="853" w:type="pct"/>
            <w:tcBorders>
              <w:top w:val="dashed" w:sz="4" w:space="0" w:color="808080"/>
              <w:left w:val="nil"/>
              <w:bottom w:val="single" w:sz="4" w:space="0" w:color="auto"/>
              <w:right w:val="nil"/>
            </w:tcBorders>
            <w:shd w:val="clear" w:color="auto" w:fill="F2F2F2" w:themeFill="background1" w:themeFillShade="F2"/>
            <w:hideMark/>
          </w:tcPr>
          <w:p w14:paraId="54E8258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5" w:type="pct"/>
            <w:tcBorders>
              <w:top w:val="dashed" w:sz="4" w:space="0" w:color="808080"/>
              <w:left w:val="nil"/>
              <w:bottom w:val="single" w:sz="4" w:space="0" w:color="auto"/>
              <w:right w:val="nil"/>
            </w:tcBorders>
            <w:shd w:val="clear" w:color="auto" w:fill="F2F2F2" w:themeFill="background1" w:themeFillShade="F2"/>
            <w:hideMark/>
          </w:tcPr>
          <w:p w14:paraId="68F4F6B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79" w:type="pct"/>
            <w:tcBorders>
              <w:top w:val="dashed" w:sz="4" w:space="0" w:color="808080"/>
              <w:left w:val="nil"/>
              <w:bottom w:val="single" w:sz="4" w:space="0" w:color="auto"/>
              <w:right w:val="nil"/>
            </w:tcBorders>
            <w:shd w:val="clear" w:color="auto" w:fill="F2F2F2" w:themeFill="background1" w:themeFillShade="F2"/>
            <w:hideMark/>
          </w:tcPr>
          <w:p w14:paraId="18A9FE0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788" w:type="pct"/>
            <w:gridSpan w:val="2"/>
            <w:tcBorders>
              <w:top w:val="dashed" w:sz="4" w:space="0" w:color="808080"/>
              <w:left w:val="nil"/>
              <w:bottom w:val="single" w:sz="4" w:space="0" w:color="auto"/>
              <w:right w:val="nil"/>
            </w:tcBorders>
            <w:shd w:val="clear" w:color="auto" w:fill="F2F2F2" w:themeFill="background1" w:themeFillShade="F2"/>
            <w:hideMark/>
          </w:tcPr>
          <w:p w14:paraId="4C8274A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26" w:type="pct"/>
            <w:tcBorders>
              <w:top w:val="dashed" w:sz="4" w:space="0" w:color="808080"/>
              <w:left w:val="nil"/>
              <w:bottom w:val="single" w:sz="4" w:space="0" w:color="auto"/>
              <w:right w:val="nil"/>
            </w:tcBorders>
            <w:shd w:val="clear" w:color="auto" w:fill="F2F2F2" w:themeFill="background1" w:themeFillShade="F2"/>
            <w:hideMark/>
          </w:tcPr>
          <w:p w14:paraId="43C23A6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19" w:type="pct"/>
            <w:gridSpan w:val="3"/>
            <w:tcBorders>
              <w:top w:val="dashed" w:sz="4" w:space="0" w:color="808080"/>
              <w:left w:val="nil"/>
              <w:bottom w:val="single" w:sz="4" w:space="0" w:color="auto"/>
              <w:right w:val="nil"/>
            </w:tcBorders>
            <w:shd w:val="clear" w:color="auto" w:fill="F2F2F2" w:themeFill="background1" w:themeFillShade="F2"/>
            <w:hideMark/>
          </w:tcPr>
          <w:p w14:paraId="0D4683E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20872D24" w14:textId="77777777" w:rsidTr="001F7A69">
        <w:trPr>
          <w:trHeight w:val="20"/>
        </w:trPr>
        <w:tc>
          <w:tcPr>
            <w:tcW w:w="5000" w:type="pct"/>
            <w:gridSpan w:val="9"/>
            <w:tcBorders>
              <w:top w:val="single" w:sz="4" w:space="0" w:color="auto"/>
              <w:left w:val="nil"/>
              <w:bottom w:val="dashed" w:sz="4" w:space="0" w:color="808080"/>
              <w:right w:val="nil"/>
            </w:tcBorders>
            <w:shd w:val="clear" w:color="auto" w:fill="F2F2F2" w:themeFill="background1" w:themeFillShade="F2"/>
            <w:hideMark/>
          </w:tcPr>
          <w:p w14:paraId="4EF823E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51450320" w14:textId="77777777" w:rsidTr="001F7A69">
        <w:trPr>
          <w:trHeight w:val="20"/>
        </w:trPr>
        <w:tc>
          <w:tcPr>
            <w:tcW w:w="853" w:type="pct"/>
            <w:tcBorders>
              <w:top w:val="dashed" w:sz="4" w:space="0" w:color="808080"/>
              <w:left w:val="nil"/>
              <w:bottom w:val="single" w:sz="4" w:space="0" w:color="auto"/>
              <w:right w:val="nil"/>
            </w:tcBorders>
            <w:shd w:val="clear" w:color="auto" w:fill="F2F2F2" w:themeFill="background1" w:themeFillShade="F2"/>
            <w:hideMark/>
          </w:tcPr>
          <w:p w14:paraId="7CDB831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35" w:type="pct"/>
            <w:tcBorders>
              <w:top w:val="dashed" w:sz="4" w:space="0" w:color="808080"/>
              <w:left w:val="nil"/>
              <w:bottom w:val="single" w:sz="4" w:space="0" w:color="auto"/>
              <w:right w:val="nil"/>
            </w:tcBorders>
            <w:shd w:val="clear" w:color="auto" w:fill="F2F2F2" w:themeFill="background1" w:themeFillShade="F2"/>
            <w:hideMark/>
          </w:tcPr>
          <w:p w14:paraId="0C40C80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79" w:type="pct"/>
            <w:tcBorders>
              <w:top w:val="dashed" w:sz="4" w:space="0" w:color="808080"/>
              <w:left w:val="nil"/>
              <w:bottom w:val="single" w:sz="4" w:space="0" w:color="auto"/>
              <w:right w:val="nil"/>
            </w:tcBorders>
            <w:shd w:val="clear" w:color="auto" w:fill="F2F2F2" w:themeFill="background1" w:themeFillShade="F2"/>
            <w:hideMark/>
          </w:tcPr>
          <w:p w14:paraId="2C4555C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788" w:type="pct"/>
            <w:gridSpan w:val="2"/>
            <w:tcBorders>
              <w:top w:val="dashed" w:sz="4" w:space="0" w:color="808080"/>
              <w:left w:val="nil"/>
              <w:bottom w:val="single" w:sz="4" w:space="0" w:color="auto"/>
              <w:right w:val="nil"/>
            </w:tcBorders>
            <w:shd w:val="clear" w:color="auto" w:fill="F2F2F2" w:themeFill="background1" w:themeFillShade="F2"/>
            <w:hideMark/>
          </w:tcPr>
          <w:p w14:paraId="7AF8B2D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26" w:type="pct"/>
            <w:tcBorders>
              <w:top w:val="dashed" w:sz="4" w:space="0" w:color="808080"/>
              <w:left w:val="nil"/>
              <w:bottom w:val="single" w:sz="4" w:space="0" w:color="auto"/>
              <w:right w:val="nil"/>
            </w:tcBorders>
            <w:shd w:val="clear" w:color="auto" w:fill="F2F2F2" w:themeFill="background1" w:themeFillShade="F2"/>
            <w:hideMark/>
          </w:tcPr>
          <w:p w14:paraId="31F101F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19" w:type="pct"/>
            <w:gridSpan w:val="3"/>
            <w:tcBorders>
              <w:top w:val="dashed" w:sz="4" w:space="0" w:color="808080"/>
              <w:left w:val="nil"/>
              <w:bottom w:val="single" w:sz="4" w:space="0" w:color="auto"/>
              <w:right w:val="nil"/>
            </w:tcBorders>
            <w:shd w:val="clear" w:color="auto" w:fill="F2F2F2" w:themeFill="background1" w:themeFillShade="F2"/>
            <w:hideMark/>
          </w:tcPr>
          <w:p w14:paraId="05E585A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10715BA0" w14:textId="77777777" w:rsidTr="001F7A69">
        <w:trPr>
          <w:trHeight w:val="20"/>
        </w:trPr>
        <w:tc>
          <w:tcPr>
            <w:tcW w:w="5000" w:type="pct"/>
            <w:gridSpan w:val="9"/>
            <w:tcBorders>
              <w:top w:val="single" w:sz="4" w:space="0" w:color="auto"/>
              <w:left w:val="nil"/>
              <w:bottom w:val="dashed" w:sz="4" w:space="0" w:color="808080"/>
              <w:right w:val="nil"/>
            </w:tcBorders>
            <w:shd w:val="clear" w:color="auto" w:fill="BFBFBF" w:themeFill="background1" w:themeFillShade="BF"/>
            <w:hideMark/>
          </w:tcPr>
          <w:p w14:paraId="5F95C9F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75379726" w14:textId="77777777" w:rsidTr="001F7A69">
        <w:trPr>
          <w:trHeight w:val="20"/>
        </w:trPr>
        <w:tc>
          <w:tcPr>
            <w:tcW w:w="853" w:type="pct"/>
            <w:tcBorders>
              <w:top w:val="dashed" w:sz="4" w:space="0" w:color="808080"/>
              <w:left w:val="nil"/>
              <w:bottom w:val="single" w:sz="4" w:space="0" w:color="auto"/>
              <w:right w:val="nil"/>
            </w:tcBorders>
            <w:shd w:val="clear" w:color="auto" w:fill="BFBFBF" w:themeFill="background1" w:themeFillShade="BF"/>
            <w:hideMark/>
          </w:tcPr>
          <w:p w14:paraId="67D4D5A0"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35" w:type="pct"/>
            <w:tcBorders>
              <w:top w:val="dashed" w:sz="4" w:space="0" w:color="808080"/>
              <w:left w:val="nil"/>
              <w:bottom w:val="single" w:sz="4" w:space="0" w:color="auto"/>
              <w:right w:val="nil"/>
            </w:tcBorders>
            <w:shd w:val="clear" w:color="auto" w:fill="BFBFBF" w:themeFill="background1" w:themeFillShade="BF"/>
            <w:hideMark/>
          </w:tcPr>
          <w:p w14:paraId="6B14466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879" w:type="pct"/>
            <w:tcBorders>
              <w:top w:val="dashed" w:sz="4" w:space="0" w:color="808080"/>
              <w:left w:val="nil"/>
              <w:bottom w:val="single" w:sz="4" w:space="0" w:color="auto"/>
              <w:right w:val="nil"/>
            </w:tcBorders>
            <w:shd w:val="clear" w:color="auto" w:fill="BFBFBF" w:themeFill="background1" w:themeFillShade="BF"/>
            <w:hideMark/>
          </w:tcPr>
          <w:p w14:paraId="03DE7B46"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788" w:type="pct"/>
            <w:gridSpan w:val="2"/>
            <w:tcBorders>
              <w:top w:val="dashed" w:sz="4" w:space="0" w:color="808080"/>
              <w:left w:val="nil"/>
              <w:bottom w:val="single" w:sz="4" w:space="0" w:color="auto"/>
              <w:right w:val="nil"/>
            </w:tcBorders>
            <w:shd w:val="clear" w:color="auto" w:fill="BFBFBF" w:themeFill="background1" w:themeFillShade="BF"/>
            <w:hideMark/>
          </w:tcPr>
          <w:p w14:paraId="092BDE6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26" w:type="pct"/>
            <w:tcBorders>
              <w:top w:val="dashed" w:sz="4" w:space="0" w:color="808080"/>
              <w:left w:val="nil"/>
              <w:bottom w:val="single" w:sz="4" w:space="0" w:color="auto"/>
              <w:right w:val="nil"/>
            </w:tcBorders>
            <w:shd w:val="clear" w:color="auto" w:fill="BFBFBF" w:themeFill="background1" w:themeFillShade="BF"/>
            <w:hideMark/>
          </w:tcPr>
          <w:p w14:paraId="73001B8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19" w:type="pct"/>
            <w:gridSpan w:val="3"/>
            <w:tcBorders>
              <w:top w:val="dashed" w:sz="4" w:space="0" w:color="808080"/>
              <w:left w:val="nil"/>
              <w:bottom w:val="single" w:sz="4" w:space="0" w:color="auto"/>
              <w:right w:val="nil"/>
            </w:tcBorders>
            <w:shd w:val="clear" w:color="auto" w:fill="BFBFBF" w:themeFill="background1" w:themeFillShade="BF"/>
            <w:hideMark/>
          </w:tcPr>
          <w:p w14:paraId="662D5C37"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70AE7F98" w14:textId="77777777" w:rsidR="004F0F84" w:rsidRPr="001E6E9D" w:rsidRDefault="004F0F84" w:rsidP="00DC7081">
      <w:pPr>
        <w:spacing w:after="160"/>
        <w:jc w:val="left"/>
        <w:rPr>
          <w:rFonts w:asciiTheme="minorHAnsi" w:eastAsia="Calibri" w:hAnsiTheme="minorHAnsi" w:cstheme="minorHAnsi"/>
          <w:sz w:val="22"/>
        </w:rPr>
      </w:pPr>
    </w:p>
    <w:p w14:paraId="7161CE8C"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6A0C584A"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503DB31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09EFE9B3"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6A3EE0A"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417853C5"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53E5397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BD96D7C"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7F49E1D2"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506922D5"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C6A34C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58424FCE"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40328881"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6DAB91D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6A067177"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43BE16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2B8FFCEE"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02FC7E90"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52B712C6"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4DE70D2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33F0881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2DA14B39"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1FCF8906"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77C8714F"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5FAFE48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79DDE5A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50BF373D"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0FD3DE5B"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54581A2F"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Ilha do Dragão</w:t>
            </w:r>
          </w:p>
        </w:tc>
        <w:tc>
          <w:tcPr>
            <w:tcW w:w="1506" w:type="pct"/>
            <w:gridSpan w:val="4"/>
            <w:tcBorders>
              <w:top w:val="single" w:sz="4" w:space="0" w:color="auto"/>
              <w:left w:val="nil"/>
              <w:bottom w:val="dashed" w:sz="4" w:space="0" w:color="808080"/>
              <w:right w:val="nil"/>
            </w:tcBorders>
          </w:tcPr>
          <w:p w14:paraId="52F1584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570661D2"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4E05FEA2"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72D97F61" w14:textId="77777777" w:rsidTr="004F0F84">
        <w:trPr>
          <w:trHeight w:val="20"/>
        </w:trPr>
        <w:tc>
          <w:tcPr>
            <w:tcW w:w="889" w:type="pct"/>
            <w:tcBorders>
              <w:top w:val="dashed" w:sz="4" w:space="0" w:color="808080"/>
              <w:left w:val="nil"/>
              <w:bottom w:val="dashed" w:sz="4" w:space="0" w:color="808080"/>
              <w:right w:val="nil"/>
            </w:tcBorders>
            <w:vAlign w:val="center"/>
            <w:hideMark/>
          </w:tcPr>
          <w:p w14:paraId="2AE38E61"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76D9F7F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230A27E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57A8AD4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vAlign w:val="center"/>
            <w:hideMark/>
          </w:tcPr>
          <w:p w14:paraId="7D0CE5D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5468ACE1" w14:textId="77777777" w:rsidTr="004F0F84">
        <w:trPr>
          <w:trHeight w:val="20"/>
        </w:trPr>
        <w:tc>
          <w:tcPr>
            <w:tcW w:w="889" w:type="pct"/>
            <w:tcBorders>
              <w:top w:val="dashed" w:sz="4" w:space="0" w:color="808080"/>
              <w:left w:val="nil"/>
              <w:bottom w:val="dashed" w:sz="4" w:space="0" w:color="808080"/>
              <w:right w:val="nil"/>
            </w:tcBorders>
            <w:hideMark/>
          </w:tcPr>
          <w:p w14:paraId="1CF8A134"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094D103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6C7332DE"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1A734D49"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0E72F306" w14:textId="77777777" w:rsidTr="004F0F84">
        <w:trPr>
          <w:trHeight w:val="20"/>
        </w:trPr>
        <w:tc>
          <w:tcPr>
            <w:tcW w:w="889" w:type="pct"/>
            <w:tcBorders>
              <w:top w:val="dashed" w:sz="4" w:space="0" w:color="808080"/>
              <w:left w:val="nil"/>
              <w:bottom w:val="single" w:sz="4" w:space="0" w:color="auto"/>
              <w:right w:val="nil"/>
            </w:tcBorders>
            <w:hideMark/>
          </w:tcPr>
          <w:p w14:paraId="4EBD18E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871" w:type="pct"/>
            <w:tcBorders>
              <w:top w:val="dashed" w:sz="4" w:space="0" w:color="808080"/>
              <w:left w:val="nil"/>
              <w:bottom w:val="single" w:sz="4" w:space="0" w:color="auto"/>
              <w:right w:val="nil"/>
            </w:tcBorders>
            <w:hideMark/>
          </w:tcPr>
          <w:p w14:paraId="4770C4E9" w14:textId="77777777" w:rsidR="004F0F84" w:rsidRPr="001E6E9D" w:rsidRDefault="004F0F84" w:rsidP="00DC7081">
            <w:pPr>
              <w:widowControl w:val="0"/>
              <w:tabs>
                <w:tab w:val="center" w:pos="1114"/>
                <w:tab w:val="right" w:pos="2228"/>
              </w:tabs>
              <w:spacing w:after="0"/>
              <w:jc w:val="lef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6"/>
                <w:szCs w:val="20"/>
                <w:u w:color="000000"/>
                <w:lang w:eastAsia="pt-BR"/>
              </w:rPr>
              <w:t>99,9%</w:t>
            </w:r>
          </w:p>
        </w:tc>
        <w:tc>
          <w:tcPr>
            <w:tcW w:w="915" w:type="pct"/>
            <w:tcBorders>
              <w:top w:val="dashed" w:sz="4" w:space="0" w:color="808080"/>
              <w:left w:val="nil"/>
              <w:bottom w:val="single" w:sz="4" w:space="0" w:color="auto"/>
              <w:right w:val="nil"/>
            </w:tcBorders>
            <w:hideMark/>
          </w:tcPr>
          <w:p w14:paraId="4C3EEF9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hideMark/>
          </w:tcPr>
          <w:p w14:paraId="25796E1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hideMark/>
          </w:tcPr>
          <w:p w14:paraId="3E81F93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598" w:type="pct"/>
            <w:tcBorders>
              <w:top w:val="dashed" w:sz="4" w:space="0" w:color="808080"/>
              <w:left w:val="nil"/>
              <w:bottom w:val="single" w:sz="4" w:space="0" w:color="auto"/>
              <w:right w:val="nil"/>
            </w:tcBorders>
            <w:hideMark/>
          </w:tcPr>
          <w:p w14:paraId="1B43ADE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79A4B9F9"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6AE1F5E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73AD7FE0"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3F7F71E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1740984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241EF04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51F5944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5545A37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6B9CA68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100DDDD3"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620FB7D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0F6718C6"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7F03AC2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4AEF954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643F9C0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7752092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21359E4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2106729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606D00A4"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012E187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6521CAC2"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50BE8000"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37415EEF"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61E3D5FB"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7C94F23F"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791E4296"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18ED5D52"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5C6C689D" w14:textId="77777777" w:rsidR="004F0F84" w:rsidRPr="001E6E9D" w:rsidRDefault="004F0F84" w:rsidP="00DC7081">
      <w:pPr>
        <w:spacing w:after="160"/>
        <w:jc w:val="left"/>
        <w:rPr>
          <w:rFonts w:asciiTheme="minorHAnsi" w:eastAsia="Calibri" w:hAnsiTheme="minorHAnsi" w:cstheme="minorHAnsi"/>
          <w:sz w:val="22"/>
        </w:rPr>
      </w:pPr>
    </w:p>
    <w:p w14:paraId="45F63DB4"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00" w:type="pct"/>
        <w:tblCellMar>
          <w:top w:w="57" w:type="dxa"/>
          <w:bottom w:w="57" w:type="dxa"/>
        </w:tblCellMar>
        <w:tblLook w:val="04A0" w:firstRow="1" w:lastRow="0" w:firstColumn="1" w:lastColumn="0" w:noHBand="0" w:noVBand="1"/>
      </w:tblPr>
      <w:tblGrid>
        <w:gridCol w:w="2378"/>
        <w:gridCol w:w="157"/>
        <w:gridCol w:w="2172"/>
        <w:gridCol w:w="311"/>
        <w:gridCol w:w="2614"/>
        <w:gridCol w:w="1727"/>
        <w:gridCol w:w="599"/>
        <w:gridCol w:w="20"/>
        <w:gridCol w:w="2444"/>
        <w:gridCol w:w="8"/>
        <w:gridCol w:w="697"/>
        <w:gridCol w:w="868"/>
      </w:tblGrid>
      <w:tr w:rsidR="004F0F84" w:rsidRPr="001E6E9D" w14:paraId="1FDF025B" w14:textId="77777777" w:rsidTr="001F7A69">
        <w:trPr>
          <w:trHeight w:val="20"/>
        </w:trPr>
        <w:tc>
          <w:tcPr>
            <w:tcW w:w="5000" w:type="pct"/>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12AA071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0767AE28" w14:textId="77777777" w:rsidTr="001F7A69">
        <w:trPr>
          <w:trHeight w:val="20"/>
        </w:trPr>
        <w:tc>
          <w:tcPr>
            <w:tcW w:w="5000" w:type="pct"/>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96A205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2E29566C" w14:textId="77777777" w:rsidTr="001F7A69">
        <w:trPr>
          <w:trHeight w:val="20"/>
        </w:trPr>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F90F45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6FBB10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166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0C47067"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1346"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B190518"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9E5563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62072FF7" w14:textId="77777777" w:rsidTr="001F7A69">
        <w:trPr>
          <w:trHeight w:val="20"/>
        </w:trPr>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2E529E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2494"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C8647E2"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1346"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6807A5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9E1AF1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3CD47B23" w14:textId="77777777" w:rsidTr="001F7A69">
        <w:trPr>
          <w:trHeight w:val="20"/>
        </w:trPr>
        <w:tc>
          <w:tcPr>
            <w:tcW w:w="5000" w:type="pct"/>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48C8077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100FF09A" w14:textId="77777777" w:rsidTr="001F7A69">
        <w:trPr>
          <w:trHeight w:val="20"/>
        </w:trPr>
        <w:tc>
          <w:tcPr>
            <w:tcW w:w="906"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E84CC0D"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0794DC8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87"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74DBE2C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3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298DD8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8" w:type="pct"/>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2D77D5C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76"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6950A9D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5690EE6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5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1115E572"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2FAC63E9" w14:textId="77777777" w:rsidTr="001F7A69">
        <w:trPr>
          <w:trHeight w:val="20"/>
        </w:trPr>
        <w:tc>
          <w:tcPr>
            <w:tcW w:w="3558" w:type="pct"/>
            <w:gridSpan w:val="7"/>
            <w:tcBorders>
              <w:top w:val="single" w:sz="4" w:space="0" w:color="auto"/>
              <w:left w:val="nil"/>
              <w:bottom w:val="dashed" w:sz="4" w:space="0" w:color="808080"/>
              <w:right w:val="nil"/>
            </w:tcBorders>
            <w:vAlign w:val="center"/>
          </w:tcPr>
          <w:p w14:paraId="4E8E0189"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Itaúna</w:t>
            </w:r>
          </w:p>
        </w:tc>
        <w:tc>
          <w:tcPr>
            <w:tcW w:w="1442" w:type="pct"/>
            <w:gridSpan w:val="5"/>
            <w:tcBorders>
              <w:top w:val="single" w:sz="4" w:space="0" w:color="auto"/>
              <w:left w:val="nil"/>
              <w:bottom w:val="dashed" w:sz="4" w:space="0" w:color="808080"/>
              <w:right w:val="nil"/>
            </w:tcBorders>
          </w:tcPr>
          <w:p w14:paraId="38DDCA7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231954B0" w14:textId="77777777" w:rsidTr="001F7A69">
        <w:trPr>
          <w:trHeight w:val="20"/>
        </w:trPr>
        <w:tc>
          <w:tcPr>
            <w:tcW w:w="5000" w:type="pct"/>
            <w:gridSpan w:val="12"/>
            <w:tcBorders>
              <w:top w:val="single" w:sz="4" w:space="0" w:color="auto"/>
              <w:left w:val="nil"/>
              <w:bottom w:val="dashed" w:sz="4" w:space="0" w:color="808080"/>
              <w:right w:val="nil"/>
            </w:tcBorders>
            <w:vAlign w:val="center"/>
            <w:hideMark/>
          </w:tcPr>
          <w:p w14:paraId="0381BC16"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1EED39F7" w14:textId="77777777" w:rsidTr="001F7A69">
        <w:trPr>
          <w:trHeight w:val="20"/>
        </w:trPr>
        <w:tc>
          <w:tcPr>
            <w:tcW w:w="906" w:type="pct"/>
            <w:gridSpan w:val="2"/>
            <w:tcBorders>
              <w:top w:val="dashed" w:sz="4" w:space="0" w:color="808080"/>
              <w:left w:val="nil"/>
              <w:bottom w:val="dashed" w:sz="4" w:space="0" w:color="808080"/>
              <w:right w:val="nil"/>
            </w:tcBorders>
            <w:vAlign w:val="center"/>
            <w:hideMark/>
          </w:tcPr>
          <w:p w14:paraId="1DD29C5C"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87" w:type="pct"/>
            <w:gridSpan w:val="2"/>
            <w:tcBorders>
              <w:top w:val="dashed" w:sz="4" w:space="0" w:color="808080"/>
              <w:left w:val="nil"/>
              <w:bottom w:val="dashed" w:sz="4" w:space="0" w:color="808080"/>
              <w:right w:val="nil"/>
            </w:tcBorders>
            <w:hideMark/>
          </w:tcPr>
          <w:p w14:paraId="33C546A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34" w:type="pct"/>
            <w:tcBorders>
              <w:top w:val="dashed" w:sz="4" w:space="0" w:color="808080"/>
              <w:left w:val="nil"/>
              <w:bottom w:val="dashed" w:sz="4" w:space="0" w:color="808080"/>
              <w:right w:val="nil"/>
            </w:tcBorders>
            <w:hideMark/>
          </w:tcPr>
          <w:p w14:paraId="3233FDE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8" w:type="pct"/>
            <w:gridSpan w:val="3"/>
            <w:tcBorders>
              <w:top w:val="dashed" w:sz="4" w:space="0" w:color="808080"/>
              <w:left w:val="nil"/>
              <w:bottom w:val="dashed" w:sz="4" w:space="0" w:color="808080"/>
              <w:right w:val="nil"/>
            </w:tcBorders>
            <w:hideMark/>
          </w:tcPr>
          <w:p w14:paraId="0F9FAE0E"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35" w:type="pct"/>
            <w:gridSpan w:val="4"/>
            <w:tcBorders>
              <w:top w:val="dashed" w:sz="4" w:space="0" w:color="808080"/>
              <w:left w:val="nil"/>
              <w:bottom w:val="dashed" w:sz="4" w:space="0" w:color="808080"/>
              <w:right w:val="nil"/>
            </w:tcBorders>
            <w:vAlign w:val="center"/>
            <w:hideMark/>
          </w:tcPr>
          <w:p w14:paraId="7BE5189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45E9F5B8" w14:textId="77777777" w:rsidTr="001F7A69">
        <w:trPr>
          <w:trHeight w:val="20"/>
        </w:trPr>
        <w:tc>
          <w:tcPr>
            <w:tcW w:w="906" w:type="pct"/>
            <w:gridSpan w:val="2"/>
            <w:tcBorders>
              <w:top w:val="dashed" w:sz="4" w:space="0" w:color="808080"/>
              <w:left w:val="nil"/>
              <w:bottom w:val="dashed" w:sz="4" w:space="0" w:color="808080"/>
              <w:right w:val="nil"/>
            </w:tcBorders>
            <w:hideMark/>
          </w:tcPr>
          <w:p w14:paraId="0DD57BC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821" w:type="pct"/>
            <w:gridSpan w:val="3"/>
            <w:tcBorders>
              <w:top w:val="dashed" w:sz="4" w:space="0" w:color="808080"/>
              <w:left w:val="nil"/>
              <w:bottom w:val="dashed" w:sz="4" w:space="0" w:color="808080"/>
              <w:right w:val="nil"/>
            </w:tcBorders>
          </w:tcPr>
          <w:p w14:paraId="51FAE40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8" w:type="pct"/>
            <w:gridSpan w:val="3"/>
            <w:tcBorders>
              <w:top w:val="dashed" w:sz="4" w:space="0" w:color="808080"/>
              <w:left w:val="nil"/>
              <w:bottom w:val="dashed" w:sz="4" w:space="0" w:color="808080"/>
              <w:right w:val="nil"/>
            </w:tcBorders>
          </w:tcPr>
          <w:p w14:paraId="210AACBF"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35" w:type="pct"/>
            <w:gridSpan w:val="4"/>
            <w:tcBorders>
              <w:top w:val="dashed" w:sz="4" w:space="0" w:color="808080"/>
              <w:left w:val="nil"/>
              <w:bottom w:val="dashed" w:sz="4" w:space="0" w:color="808080"/>
              <w:right w:val="nil"/>
            </w:tcBorders>
          </w:tcPr>
          <w:p w14:paraId="3191EAD0"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3CBE91E5" w14:textId="77777777" w:rsidTr="001F7A69">
        <w:trPr>
          <w:trHeight w:val="20"/>
        </w:trPr>
        <w:tc>
          <w:tcPr>
            <w:tcW w:w="906" w:type="pct"/>
            <w:gridSpan w:val="2"/>
            <w:tcBorders>
              <w:top w:val="dashed" w:sz="4" w:space="0" w:color="808080"/>
              <w:left w:val="nil"/>
              <w:bottom w:val="single" w:sz="4" w:space="0" w:color="auto"/>
              <w:right w:val="nil"/>
            </w:tcBorders>
            <w:hideMark/>
          </w:tcPr>
          <w:p w14:paraId="3B846A9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887" w:type="pct"/>
            <w:gridSpan w:val="2"/>
            <w:tcBorders>
              <w:top w:val="dashed" w:sz="4" w:space="0" w:color="808080"/>
              <w:left w:val="nil"/>
              <w:bottom w:val="single" w:sz="4" w:space="0" w:color="auto"/>
              <w:right w:val="nil"/>
            </w:tcBorders>
            <w:hideMark/>
          </w:tcPr>
          <w:p w14:paraId="61FAC98C" w14:textId="77777777" w:rsidR="004F0F84" w:rsidRPr="001E6E9D" w:rsidRDefault="004F0F84" w:rsidP="00DC7081">
            <w:pPr>
              <w:widowControl w:val="0"/>
              <w:tabs>
                <w:tab w:val="center" w:pos="1114"/>
                <w:tab w:val="right" w:pos="2228"/>
              </w:tabs>
              <w:spacing w:after="0"/>
              <w:jc w:val="lef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6"/>
                <w:szCs w:val="20"/>
                <w:u w:color="000000"/>
                <w:lang w:eastAsia="pt-BR"/>
              </w:rPr>
              <w:t>99,9%</w:t>
            </w:r>
          </w:p>
        </w:tc>
        <w:tc>
          <w:tcPr>
            <w:tcW w:w="934" w:type="pct"/>
            <w:tcBorders>
              <w:top w:val="dashed" w:sz="4" w:space="0" w:color="808080"/>
              <w:left w:val="nil"/>
              <w:bottom w:val="single" w:sz="4" w:space="0" w:color="auto"/>
              <w:right w:val="nil"/>
            </w:tcBorders>
            <w:hideMark/>
          </w:tcPr>
          <w:p w14:paraId="6D12E8C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8" w:type="pct"/>
            <w:gridSpan w:val="3"/>
            <w:tcBorders>
              <w:top w:val="dashed" w:sz="4" w:space="0" w:color="808080"/>
              <w:left w:val="nil"/>
              <w:bottom w:val="single" w:sz="4" w:space="0" w:color="auto"/>
              <w:right w:val="nil"/>
            </w:tcBorders>
            <w:hideMark/>
          </w:tcPr>
          <w:p w14:paraId="09783FB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76" w:type="pct"/>
            <w:gridSpan w:val="2"/>
            <w:tcBorders>
              <w:top w:val="dashed" w:sz="4" w:space="0" w:color="808080"/>
              <w:left w:val="nil"/>
              <w:bottom w:val="single" w:sz="4" w:space="0" w:color="auto"/>
              <w:right w:val="nil"/>
            </w:tcBorders>
            <w:hideMark/>
          </w:tcPr>
          <w:p w14:paraId="6530C58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559" w:type="pct"/>
            <w:gridSpan w:val="2"/>
            <w:tcBorders>
              <w:top w:val="dashed" w:sz="4" w:space="0" w:color="808080"/>
              <w:left w:val="nil"/>
              <w:bottom w:val="single" w:sz="4" w:space="0" w:color="auto"/>
              <w:right w:val="nil"/>
            </w:tcBorders>
            <w:hideMark/>
          </w:tcPr>
          <w:p w14:paraId="1B162CB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0B767125" w14:textId="77777777" w:rsidTr="001F7A69">
        <w:trPr>
          <w:trHeight w:val="20"/>
        </w:trPr>
        <w:tc>
          <w:tcPr>
            <w:tcW w:w="5000" w:type="pct"/>
            <w:gridSpan w:val="12"/>
            <w:tcBorders>
              <w:top w:val="single" w:sz="4" w:space="0" w:color="auto"/>
              <w:left w:val="nil"/>
              <w:bottom w:val="dashed" w:sz="4" w:space="0" w:color="808080"/>
              <w:right w:val="nil"/>
            </w:tcBorders>
            <w:shd w:val="clear" w:color="auto" w:fill="F2F2F2" w:themeFill="background1" w:themeFillShade="F2"/>
            <w:hideMark/>
          </w:tcPr>
          <w:p w14:paraId="75EFCC1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645267C1" w14:textId="77777777" w:rsidTr="001F7A69">
        <w:trPr>
          <w:trHeight w:val="20"/>
        </w:trPr>
        <w:tc>
          <w:tcPr>
            <w:tcW w:w="906" w:type="pct"/>
            <w:gridSpan w:val="2"/>
            <w:tcBorders>
              <w:top w:val="dashed" w:sz="4" w:space="0" w:color="808080"/>
              <w:left w:val="nil"/>
              <w:bottom w:val="single" w:sz="4" w:space="0" w:color="auto"/>
              <w:right w:val="nil"/>
            </w:tcBorders>
            <w:shd w:val="clear" w:color="auto" w:fill="F2F2F2" w:themeFill="background1" w:themeFillShade="F2"/>
            <w:hideMark/>
          </w:tcPr>
          <w:p w14:paraId="59DF4E9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87" w:type="pct"/>
            <w:gridSpan w:val="2"/>
            <w:tcBorders>
              <w:top w:val="dashed" w:sz="4" w:space="0" w:color="808080"/>
              <w:left w:val="nil"/>
              <w:bottom w:val="single" w:sz="4" w:space="0" w:color="auto"/>
              <w:right w:val="nil"/>
            </w:tcBorders>
            <w:shd w:val="clear" w:color="auto" w:fill="F2F2F2" w:themeFill="background1" w:themeFillShade="F2"/>
            <w:hideMark/>
          </w:tcPr>
          <w:p w14:paraId="66D7C36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34" w:type="pct"/>
            <w:tcBorders>
              <w:top w:val="dashed" w:sz="4" w:space="0" w:color="808080"/>
              <w:left w:val="nil"/>
              <w:bottom w:val="single" w:sz="4" w:space="0" w:color="auto"/>
              <w:right w:val="nil"/>
            </w:tcBorders>
            <w:shd w:val="clear" w:color="auto" w:fill="F2F2F2" w:themeFill="background1" w:themeFillShade="F2"/>
            <w:hideMark/>
          </w:tcPr>
          <w:p w14:paraId="7E6F8B7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8" w:type="pct"/>
            <w:gridSpan w:val="3"/>
            <w:tcBorders>
              <w:top w:val="dashed" w:sz="4" w:space="0" w:color="808080"/>
              <w:left w:val="nil"/>
              <w:bottom w:val="single" w:sz="4" w:space="0" w:color="auto"/>
              <w:right w:val="nil"/>
            </w:tcBorders>
            <w:shd w:val="clear" w:color="auto" w:fill="F2F2F2" w:themeFill="background1" w:themeFillShade="F2"/>
            <w:hideMark/>
          </w:tcPr>
          <w:p w14:paraId="1845967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73" w:type="pct"/>
            <w:tcBorders>
              <w:top w:val="dashed" w:sz="4" w:space="0" w:color="808080"/>
              <w:left w:val="nil"/>
              <w:bottom w:val="single" w:sz="4" w:space="0" w:color="auto"/>
              <w:right w:val="nil"/>
            </w:tcBorders>
            <w:shd w:val="clear" w:color="auto" w:fill="F2F2F2" w:themeFill="background1" w:themeFillShade="F2"/>
            <w:hideMark/>
          </w:tcPr>
          <w:p w14:paraId="40AB1FD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562" w:type="pct"/>
            <w:gridSpan w:val="3"/>
            <w:tcBorders>
              <w:top w:val="dashed" w:sz="4" w:space="0" w:color="808080"/>
              <w:left w:val="nil"/>
              <w:bottom w:val="single" w:sz="4" w:space="0" w:color="auto"/>
              <w:right w:val="nil"/>
            </w:tcBorders>
            <w:shd w:val="clear" w:color="auto" w:fill="F2F2F2" w:themeFill="background1" w:themeFillShade="F2"/>
            <w:hideMark/>
          </w:tcPr>
          <w:p w14:paraId="7FF13A3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224DFBD0" w14:textId="77777777" w:rsidTr="001F7A69">
        <w:trPr>
          <w:trHeight w:val="20"/>
        </w:trPr>
        <w:tc>
          <w:tcPr>
            <w:tcW w:w="5000" w:type="pct"/>
            <w:gridSpan w:val="12"/>
            <w:tcBorders>
              <w:top w:val="single" w:sz="4" w:space="0" w:color="auto"/>
              <w:left w:val="nil"/>
              <w:bottom w:val="dashed" w:sz="4" w:space="0" w:color="808080"/>
              <w:right w:val="nil"/>
            </w:tcBorders>
            <w:shd w:val="clear" w:color="auto" w:fill="F2F2F2" w:themeFill="background1" w:themeFillShade="F2"/>
            <w:hideMark/>
          </w:tcPr>
          <w:p w14:paraId="48633DF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45B29EB3" w14:textId="77777777" w:rsidTr="001F7A69">
        <w:trPr>
          <w:trHeight w:val="20"/>
        </w:trPr>
        <w:tc>
          <w:tcPr>
            <w:tcW w:w="906" w:type="pct"/>
            <w:gridSpan w:val="2"/>
            <w:tcBorders>
              <w:top w:val="dashed" w:sz="4" w:space="0" w:color="808080"/>
              <w:left w:val="nil"/>
              <w:bottom w:val="single" w:sz="4" w:space="0" w:color="auto"/>
              <w:right w:val="nil"/>
            </w:tcBorders>
            <w:shd w:val="clear" w:color="auto" w:fill="F2F2F2" w:themeFill="background1" w:themeFillShade="F2"/>
            <w:hideMark/>
          </w:tcPr>
          <w:p w14:paraId="24C2196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87" w:type="pct"/>
            <w:gridSpan w:val="2"/>
            <w:tcBorders>
              <w:top w:val="dashed" w:sz="4" w:space="0" w:color="808080"/>
              <w:left w:val="nil"/>
              <w:bottom w:val="single" w:sz="4" w:space="0" w:color="auto"/>
              <w:right w:val="nil"/>
            </w:tcBorders>
            <w:shd w:val="clear" w:color="auto" w:fill="F2F2F2" w:themeFill="background1" w:themeFillShade="F2"/>
            <w:hideMark/>
          </w:tcPr>
          <w:p w14:paraId="455653A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34" w:type="pct"/>
            <w:tcBorders>
              <w:top w:val="dashed" w:sz="4" w:space="0" w:color="808080"/>
              <w:left w:val="nil"/>
              <w:bottom w:val="single" w:sz="4" w:space="0" w:color="auto"/>
              <w:right w:val="nil"/>
            </w:tcBorders>
            <w:shd w:val="clear" w:color="auto" w:fill="F2F2F2" w:themeFill="background1" w:themeFillShade="F2"/>
            <w:hideMark/>
          </w:tcPr>
          <w:p w14:paraId="1BD3D41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8" w:type="pct"/>
            <w:gridSpan w:val="3"/>
            <w:tcBorders>
              <w:top w:val="dashed" w:sz="4" w:space="0" w:color="808080"/>
              <w:left w:val="nil"/>
              <w:bottom w:val="single" w:sz="4" w:space="0" w:color="auto"/>
              <w:right w:val="nil"/>
            </w:tcBorders>
            <w:shd w:val="clear" w:color="auto" w:fill="F2F2F2" w:themeFill="background1" w:themeFillShade="F2"/>
            <w:hideMark/>
          </w:tcPr>
          <w:p w14:paraId="287CF09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73" w:type="pct"/>
            <w:tcBorders>
              <w:top w:val="dashed" w:sz="4" w:space="0" w:color="808080"/>
              <w:left w:val="nil"/>
              <w:bottom w:val="single" w:sz="4" w:space="0" w:color="auto"/>
              <w:right w:val="nil"/>
            </w:tcBorders>
            <w:shd w:val="clear" w:color="auto" w:fill="F2F2F2" w:themeFill="background1" w:themeFillShade="F2"/>
            <w:hideMark/>
          </w:tcPr>
          <w:p w14:paraId="5C27AAF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562" w:type="pct"/>
            <w:gridSpan w:val="3"/>
            <w:tcBorders>
              <w:top w:val="dashed" w:sz="4" w:space="0" w:color="808080"/>
              <w:left w:val="nil"/>
              <w:bottom w:val="single" w:sz="4" w:space="0" w:color="auto"/>
              <w:right w:val="nil"/>
            </w:tcBorders>
            <w:shd w:val="clear" w:color="auto" w:fill="F2F2F2" w:themeFill="background1" w:themeFillShade="F2"/>
            <w:hideMark/>
          </w:tcPr>
          <w:p w14:paraId="78D6060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569359DA" w14:textId="77777777" w:rsidTr="001F7A69">
        <w:trPr>
          <w:trHeight w:val="20"/>
        </w:trPr>
        <w:tc>
          <w:tcPr>
            <w:tcW w:w="5000" w:type="pct"/>
            <w:gridSpan w:val="12"/>
            <w:tcBorders>
              <w:top w:val="single" w:sz="4" w:space="0" w:color="auto"/>
              <w:left w:val="nil"/>
              <w:bottom w:val="dashed" w:sz="4" w:space="0" w:color="808080"/>
              <w:right w:val="nil"/>
            </w:tcBorders>
            <w:shd w:val="clear" w:color="auto" w:fill="BFBFBF" w:themeFill="background1" w:themeFillShade="BF"/>
            <w:hideMark/>
          </w:tcPr>
          <w:p w14:paraId="707F169C"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03025675" w14:textId="77777777" w:rsidTr="001F7A69">
        <w:trPr>
          <w:trHeight w:val="20"/>
        </w:trPr>
        <w:tc>
          <w:tcPr>
            <w:tcW w:w="906" w:type="pct"/>
            <w:gridSpan w:val="2"/>
            <w:tcBorders>
              <w:top w:val="dashed" w:sz="4" w:space="0" w:color="808080"/>
              <w:left w:val="nil"/>
              <w:bottom w:val="single" w:sz="4" w:space="0" w:color="auto"/>
              <w:right w:val="nil"/>
            </w:tcBorders>
            <w:shd w:val="clear" w:color="auto" w:fill="BFBFBF" w:themeFill="background1" w:themeFillShade="BF"/>
            <w:hideMark/>
          </w:tcPr>
          <w:p w14:paraId="6DEAF1B6"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87" w:type="pct"/>
            <w:gridSpan w:val="2"/>
            <w:tcBorders>
              <w:top w:val="dashed" w:sz="4" w:space="0" w:color="808080"/>
              <w:left w:val="nil"/>
              <w:bottom w:val="single" w:sz="4" w:space="0" w:color="auto"/>
              <w:right w:val="nil"/>
            </w:tcBorders>
            <w:shd w:val="clear" w:color="auto" w:fill="BFBFBF" w:themeFill="background1" w:themeFillShade="BF"/>
            <w:hideMark/>
          </w:tcPr>
          <w:p w14:paraId="6947B412"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34" w:type="pct"/>
            <w:tcBorders>
              <w:top w:val="dashed" w:sz="4" w:space="0" w:color="808080"/>
              <w:left w:val="nil"/>
              <w:bottom w:val="single" w:sz="4" w:space="0" w:color="auto"/>
              <w:right w:val="nil"/>
            </w:tcBorders>
            <w:shd w:val="clear" w:color="auto" w:fill="BFBFBF" w:themeFill="background1" w:themeFillShade="BF"/>
            <w:hideMark/>
          </w:tcPr>
          <w:p w14:paraId="7ED4188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8" w:type="pct"/>
            <w:gridSpan w:val="3"/>
            <w:tcBorders>
              <w:top w:val="dashed" w:sz="4" w:space="0" w:color="808080"/>
              <w:left w:val="nil"/>
              <w:bottom w:val="single" w:sz="4" w:space="0" w:color="auto"/>
              <w:right w:val="nil"/>
            </w:tcBorders>
            <w:shd w:val="clear" w:color="auto" w:fill="BFBFBF" w:themeFill="background1" w:themeFillShade="BF"/>
            <w:hideMark/>
          </w:tcPr>
          <w:p w14:paraId="29BE4598"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73" w:type="pct"/>
            <w:tcBorders>
              <w:top w:val="dashed" w:sz="4" w:space="0" w:color="808080"/>
              <w:left w:val="nil"/>
              <w:bottom w:val="single" w:sz="4" w:space="0" w:color="auto"/>
              <w:right w:val="nil"/>
            </w:tcBorders>
            <w:shd w:val="clear" w:color="auto" w:fill="BFBFBF" w:themeFill="background1" w:themeFillShade="BF"/>
            <w:hideMark/>
          </w:tcPr>
          <w:p w14:paraId="03809B9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562" w:type="pct"/>
            <w:gridSpan w:val="3"/>
            <w:tcBorders>
              <w:top w:val="dashed" w:sz="4" w:space="0" w:color="808080"/>
              <w:left w:val="nil"/>
              <w:bottom w:val="single" w:sz="4" w:space="0" w:color="auto"/>
              <w:right w:val="nil"/>
            </w:tcBorders>
            <w:shd w:val="clear" w:color="auto" w:fill="BFBFBF" w:themeFill="background1" w:themeFillShade="BF"/>
            <w:hideMark/>
          </w:tcPr>
          <w:p w14:paraId="77DD61EA"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0BBB7124" w14:textId="77777777" w:rsidR="004F0F84" w:rsidRPr="001E6E9D" w:rsidRDefault="004F0F84" w:rsidP="00DC7081">
      <w:pPr>
        <w:spacing w:after="160"/>
        <w:jc w:val="left"/>
        <w:rPr>
          <w:rFonts w:asciiTheme="minorHAnsi" w:eastAsia="Calibri" w:hAnsiTheme="minorHAnsi" w:cstheme="minorHAnsi"/>
          <w:sz w:val="22"/>
        </w:rPr>
      </w:pPr>
    </w:p>
    <w:p w14:paraId="30F0331F"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5448D9E6"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09E5E9D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5DDAD0E9"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9DC2742"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55172362"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E8D74D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03C8B2D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5821F0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BEC199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B9F9B5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1012D881"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73B54B1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D0E2E5D"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74154F11"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87429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65A96CDD"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3E08762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71533AAF"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2FC24B0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4BC619B9"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09D5AC8C"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65491E4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411B2BBC"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4A69B00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5391CEA2"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1BB1068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2C406F10"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20FF31C7"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Mangue Seco</w:t>
            </w:r>
          </w:p>
        </w:tc>
        <w:tc>
          <w:tcPr>
            <w:tcW w:w="1506" w:type="pct"/>
            <w:gridSpan w:val="4"/>
            <w:tcBorders>
              <w:top w:val="single" w:sz="4" w:space="0" w:color="auto"/>
              <w:left w:val="nil"/>
              <w:bottom w:val="dashed" w:sz="4" w:space="0" w:color="808080"/>
              <w:right w:val="nil"/>
            </w:tcBorders>
          </w:tcPr>
          <w:p w14:paraId="79256FD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50A00FDD"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3EF17847"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5B3B6310" w14:textId="77777777" w:rsidTr="004F0F84">
        <w:trPr>
          <w:trHeight w:val="20"/>
        </w:trPr>
        <w:tc>
          <w:tcPr>
            <w:tcW w:w="889" w:type="pct"/>
            <w:tcBorders>
              <w:top w:val="dashed" w:sz="4" w:space="0" w:color="808080"/>
              <w:left w:val="nil"/>
              <w:bottom w:val="dashed" w:sz="4" w:space="0" w:color="808080"/>
              <w:right w:val="nil"/>
            </w:tcBorders>
            <w:vAlign w:val="center"/>
            <w:hideMark/>
          </w:tcPr>
          <w:p w14:paraId="278D637C"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762E497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68C6182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12995E9F"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vAlign w:val="center"/>
            <w:hideMark/>
          </w:tcPr>
          <w:p w14:paraId="20CFB40F"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79EDD141" w14:textId="77777777" w:rsidTr="004F0F84">
        <w:trPr>
          <w:trHeight w:val="20"/>
        </w:trPr>
        <w:tc>
          <w:tcPr>
            <w:tcW w:w="889" w:type="pct"/>
            <w:tcBorders>
              <w:top w:val="dashed" w:sz="4" w:space="0" w:color="808080"/>
              <w:left w:val="nil"/>
              <w:bottom w:val="dashed" w:sz="4" w:space="0" w:color="808080"/>
              <w:right w:val="nil"/>
            </w:tcBorders>
            <w:hideMark/>
          </w:tcPr>
          <w:p w14:paraId="10543ED2"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0AFAC83F"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51E0D714"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39A7EAF7"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3525D10D" w14:textId="77777777" w:rsidTr="004F0F84">
        <w:trPr>
          <w:trHeight w:val="20"/>
        </w:trPr>
        <w:tc>
          <w:tcPr>
            <w:tcW w:w="889" w:type="pct"/>
            <w:tcBorders>
              <w:top w:val="dashed" w:sz="4" w:space="0" w:color="808080"/>
              <w:left w:val="nil"/>
              <w:bottom w:val="single" w:sz="4" w:space="0" w:color="auto"/>
              <w:right w:val="nil"/>
            </w:tcBorders>
            <w:hideMark/>
          </w:tcPr>
          <w:p w14:paraId="3381AE6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871" w:type="pct"/>
            <w:tcBorders>
              <w:top w:val="dashed" w:sz="4" w:space="0" w:color="808080"/>
              <w:left w:val="nil"/>
              <w:bottom w:val="single" w:sz="4" w:space="0" w:color="auto"/>
              <w:right w:val="nil"/>
            </w:tcBorders>
            <w:hideMark/>
          </w:tcPr>
          <w:p w14:paraId="110CDF78" w14:textId="77777777" w:rsidR="004F0F84" w:rsidRPr="001E6E9D" w:rsidRDefault="004F0F84" w:rsidP="00DC7081">
            <w:pPr>
              <w:widowControl w:val="0"/>
              <w:tabs>
                <w:tab w:val="center" w:pos="1114"/>
                <w:tab w:val="right" w:pos="2228"/>
              </w:tabs>
              <w:spacing w:after="0"/>
              <w:jc w:val="lef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6"/>
                <w:szCs w:val="20"/>
                <w:u w:color="000000"/>
                <w:lang w:eastAsia="pt-BR"/>
              </w:rPr>
              <w:t>99,9%</w:t>
            </w:r>
          </w:p>
        </w:tc>
        <w:tc>
          <w:tcPr>
            <w:tcW w:w="915" w:type="pct"/>
            <w:tcBorders>
              <w:top w:val="dashed" w:sz="4" w:space="0" w:color="808080"/>
              <w:left w:val="nil"/>
              <w:bottom w:val="single" w:sz="4" w:space="0" w:color="auto"/>
              <w:right w:val="nil"/>
            </w:tcBorders>
            <w:hideMark/>
          </w:tcPr>
          <w:p w14:paraId="35E5B29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hideMark/>
          </w:tcPr>
          <w:p w14:paraId="48014D4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hideMark/>
          </w:tcPr>
          <w:p w14:paraId="74FF8C3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598" w:type="pct"/>
            <w:tcBorders>
              <w:top w:val="dashed" w:sz="4" w:space="0" w:color="808080"/>
              <w:left w:val="nil"/>
              <w:bottom w:val="single" w:sz="4" w:space="0" w:color="auto"/>
              <w:right w:val="nil"/>
            </w:tcBorders>
            <w:hideMark/>
          </w:tcPr>
          <w:p w14:paraId="0AB3F76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3721B6FA"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06D1BBE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12D1CBB9"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2375618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692C11B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5AAFD1B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260C996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4C666C1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104DC6D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1883DE18"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158132B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4416467B"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15EBEE0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1716411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4BCB764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57847B3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10780AD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6845428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38D80131"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259AA5D1"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0248DBD4"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51B28C77"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49C39F00"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70B7A0CF"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4FA10EE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70C658F6"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044FBE6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4025F609" w14:textId="77777777" w:rsidR="004F0F84" w:rsidRPr="001E6E9D" w:rsidRDefault="004F0F84" w:rsidP="00DC7081">
      <w:pPr>
        <w:spacing w:after="160"/>
        <w:jc w:val="left"/>
        <w:rPr>
          <w:rFonts w:asciiTheme="minorHAnsi" w:eastAsia="Calibri" w:hAnsiTheme="minorHAnsi" w:cstheme="minorHAnsi"/>
          <w:sz w:val="22"/>
        </w:rPr>
      </w:pPr>
    </w:p>
    <w:p w14:paraId="0B5C7C96"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649D4A1D"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76242B4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532C7571"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131162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2B25B72C"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BA259A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E5531C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5648E38"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DB0C0C6"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0E0623E"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60F66615"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60F0D3D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11FCF765"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0AB87F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8B603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7766A56A"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67B7207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1FC2B58A"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7E4C852"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5EE5D28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1CA2543"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304593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48DFD066"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4D4ABA16"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46D1C073"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77D0C92D"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7E399F6F"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0BBB4215"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Marambaia</w:t>
            </w:r>
          </w:p>
        </w:tc>
        <w:tc>
          <w:tcPr>
            <w:tcW w:w="1506" w:type="pct"/>
            <w:gridSpan w:val="4"/>
            <w:tcBorders>
              <w:top w:val="single" w:sz="4" w:space="0" w:color="auto"/>
              <w:left w:val="nil"/>
              <w:bottom w:val="dashed" w:sz="4" w:space="0" w:color="808080"/>
              <w:right w:val="nil"/>
            </w:tcBorders>
          </w:tcPr>
          <w:p w14:paraId="29E2D60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2069AB0A"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03A65DD0"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2F1F7746" w14:textId="77777777" w:rsidTr="004F0F84">
        <w:trPr>
          <w:trHeight w:val="20"/>
        </w:trPr>
        <w:tc>
          <w:tcPr>
            <w:tcW w:w="889" w:type="pct"/>
            <w:tcBorders>
              <w:top w:val="dashed" w:sz="4" w:space="0" w:color="808080"/>
              <w:left w:val="nil"/>
              <w:bottom w:val="dashed" w:sz="4" w:space="0" w:color="808080"/>
              <w:right w:val="nil"/>
            </w:tcBorders>
            <w:vAlign w:val="center"/>
            <w:hideMark/>
          </w:tcPr>
          <w:p w14:paraId="10D35423"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164F6A5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7FAFDBE7"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18942BA0"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vAlign w:val="center"/>
            <w:hideMark/>
          </w:tcPr>
          <w:p w14:paraId="075A5299"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3C5FAFA4" w14:textId="77777777" w:rsidTr="004F0F84">
        <w:trPr>
          <w:trHeight w:val="20"/>
        </w:trPr>
        <w:tc>
          <w:tcPr>
            <w:tcW w:w="889" w:type="pct"/>
            <w:tcBorders>
              <w:top w:val="dashed" w:sz="4" w:space="0" w:color="808080"/>
              <w:left w:val="nil"/>
              <w:bottom w:val="dashed" w:sz="4" w:space="0" w:color="808080"/>
              <w:right w:val="nil"/>
            </w:tcBorders>
            <w:hideMark/>
          </w:tcPr>
          <w:p w14:paraId="652F7B0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69901AD4"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58621BF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46D6E017"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6BBDCDF8" w14:textId="77777777" w:rsidTr="004F0F84">
        <w:trPr>
          <w:trHeight w:val="20"/>
        </w:trPr>
        <w:tc>
          <w:tcPr>
            <w:tcW w:w="889" w:type="pct"/>
            <w:tcBorders>
              <w:top w:val="dashed" w:sz="4" w:space="0" w:color="808080"/>
              <w:left w:val="nil"/>
              <w:bottom w:val="single" w:sz="4" w:space="0" w:color="auto"/>
              <w:right w:val="nil"/>
            </w:tcBorders>
            <w:hideMark/>
          </w:tcPr>
          <w:p w14:paraId="3DE205E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871" w:type="pct"/>
            <w:tcBorders>
              <w:top w:val="dashed" w:sz="4" w:space="0" w:color="808080"/>
              <w:left w:val="nil"/>
              <w:bottom w:val="single" w:sz="4" w:space="0" w:color="auto"/>
              <w:right w:val="nil"/>
            </w:tcBorders>
            <w:hideMark/>
          </w:tcPr>
          <w:p w14:paraId="2308B11B" w14:textId="77777777" w:rsidR="004F0F84" w:rsidRPr="001E6E9D" w:rsidRDefault="004F0F84" w:rsidP="00DC7081">
            <w:pPr>
              <w:widowControl w:val="0"/>
              <w:tabs>
                <w:tab w:val="center" w:pos="1114"/>
                <w:tab w:val="right" w:pos="2228"/>
              </w:tabs>
              <w:spacing w:after="0"/>
              <w:jc w:val="lef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4"/>
                <w:szCs w:val="14"/>
                <w:u w:color="000000"/>
                <w:lang w:eastAsia="pt-BR"/>
              </w:rPr>
              <w:tab/>
            </w:r>
            <w:r w:rsidRPr="001E6E9D">
              <w:rPr>
                <w:rFonts w:asciiTheme="minorHAnsi" w:eastAsia="Times New Roman" w:hAnsiTheme="minorHAnsi" w:cstheme="minorHAnsi"/>
                <w:sz w:val="16"/>
                <w:szCs w:val="20"/>
                <w:u w:color="000000"/>
                <w:lang w:eastAsia="pt-BR"/>
              </w:rPr>
              <w:t>99,9%</w:t>
            </w:r>
          </w:p>
        </w:tc>
        <w:tc>
          <w:tcPr>
            <w:tcW w:w="915" w:type="pct"/>
            <w:tcBorders>
              <w:top w:val="dashed" w:sz="4" w:space="0" w:color="808080"/>
              <w:left w:val="nil"/>
              <w:bottom w:val="single" w:sz="4" w:space="0" w:color="auto"/>
              <w:right w:val="nil"/>
            </w:tcBorders>
            <w:hideMark/>
          </w:tcPr>
          <w:p w14:paraId="1F7F11E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hideMark/>
          </w:tcPr>
          <w:p w14:paraId="68DEB47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hideMark/>
          </w:tcPr>
          <w:p w14:paraId="42BF1CF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p>
        </w:tc>
        <w:tc>
          <w:tcPr>
            <w:tcW w:w="598" w:type="pct"/>
            <w:tcBorders>
              <w:top w:val="dashed" w:sz="4" w:space="0" w:color="808080"/>
              <w:left w:val="nil"/>
              <w:bottom w:val="single" w:sz="4" w:space="0" w:color="auto"/>
              <w:right w:val="nil"/>
            </w:tcBorders>
            <w:hideMark/>
          </w:tcPr>
          <w:p w14:paraId="38C8003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1637D709"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6B938A91"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5C099ECC"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77413F9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1D30B2E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704D4E1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60B8DAC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2EAF222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0FBCE0D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2A9C0DFF"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781DCF0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51599449"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3FD1AA0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6973D54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1BCB159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5907E5D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1F088A5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25AF4E3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6BFA670F"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749AA6B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66453C75"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0050ADA7"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3222953E"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73C4407E"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4AEB0940"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35CEB03F"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554C2C1D"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r w:rsidRPr="001E6E9D">
              <w:rPr>
                <w:rFonts w:asciiTheme="minorHAnsi" w:eastAsia="Times New Roman" w:hAnsiTheme="minorHAnsi" w:cstheme="minorHAnsi"/>
                <w:b/>
                <w:bCs/>
                <w:sz w:val="14"/>
                <w:szCs w:val="14"/>
                <w:u w:color="000000"/>
                <w:lang w:eastAsia="pt-BR"/>
              </w:rPr>
              <w:t>%</w:t>
            </w:r>
          </w:p>
        </w:tc>
      </w:tr>
    </w:tbl>
    <w:p w14:paraId="092D523D" w14:textId="77777777" w:rsidR="004F0F84" w:rsidRPr="001E6E9D" w:rsidRDefault="004F0F84" w:rsidP="00DC7081">
      <w:pPr>
        <w:spacing w:after="160"/>
        <w:jc w:val="left"/>
        <w:rPr>
          <w:rFonts w:asciiTheme="minorHAnsi" w:eastAsia="Calibri" w:hAnsiTheme="minorHAnsi" w:cstheme="minorHAnsi"/>
          <w:sz w:val="22"/>
        </w:rPr>
      </w:pPr>
    </w:p>
    <w:p w14:paraId="2AB899B2"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4E95F472"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06ED099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595FACA8"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9CF864A"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6650750A"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66F98D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246B0C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CF922E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CBDCD5D"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87C5ED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14C6841B"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7A6ED48"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19E9A52C"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3723D6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ABAADC"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46D614D5"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1EC6AC8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729BD439"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1DE9FC0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347691C7"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43C35516"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7A40602"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2A874C7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238D9E5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0AFF5389"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034548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732DCFC6"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5F298159"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MG 2</w:t>
            </w:r>
          </w:p>
        </w:tc>
        <w:tc>
          <w:tcPr>
            <w:tcW w:w="1506" w:type="pct"/>
            <w:gridSpan w:val="4"/>
            <w:tcBorders>
              <w:top w:val="single" w:sz="4" w:space="0" w:color="auto"/>
              <w:left w:val="nil"/>
              <w:bottom w:val="dashed" w:sz="4" w:space="0" w:color="808080"/>
              <w:right w:val="nil"/>
            </w:tcBorders>
          </w:tcPr>
          <w:p w14:paraId="5654181C"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7CE59B23"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3F88C475"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76900676" w14:textId="77777777" w:rsidTr="004F0F84">
        <w:trPr>
          <w:trHeight w:val="20"/>
        </w:trPr>
        <w:tc>
          <w:tcPr>
            <w:tcW w:w="889" w:type="pct"/>
            <w:tcBorders>
              <w:top w:val="dashed" w:sz="4" w:space="0" w:color="808080"/>
              <w:left w:val="nil"/>
              <w:bottom w:val="dashed" w:sz="4" w:space="0" w:color="808080"/>
              <w:right w:val="nil"/>
            </w:tcBorders>
            <w:vAlign w:val="center"/>
            <w:hideMark/>
          </w:tcPr>
          <w:p w14:paraId="0F7D775E"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5B59091E"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01BFB80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33041FF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vAlign w:val="center"/>
            <w:hideMark/>
          </w:tcPr>
          <w:p w14:paraId="404A1EE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2BA70FCF" w14:textId="77777777" w:rsidTr="004F0F84">
        <w:trPr>
          <w:trHeight w:val="20"/>
        </w:trPr>
        <w:tc>
          <w:tcPr>
            <w:tcW w:w="889" w:type="pct"/>
            <w:tcBorders>
              <w:top w:val="dashed" w:sz="4" w:space="0" w:color="808080"/>
              <w:left w:val="nil"/>
              <w:bottom w:val="dashed" w:sz="4" w:space="0" w:color="808080"/>
              <w:right w:val="nil"/>
            </w:tcBorders>
            <w:hideMark/>
          </w:tcPr>
          <w:p w14:paraId="0E54E3D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69B481A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4CDE8409"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0F7C3918"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41AFF878" w14:textId="77777777" w:rsidTr="004F0F84">
        <w:trPr>
          <w:trHeight w:val="20"/>
        </w:trPr>
        <w:tc>
          <w:tcPr>
            <w:tcW w:w="889" w:type="pct"/>
            <w:tcBorders>
              <w:top w:val="dashed" w:sz="4" w:space="0" w:color="808080"/>
              <w:left w:val="nil"/>
              <w:bottom w:val="single" w:sz="4" w:space="0" w:color="auto"/>
              <w:right w:val="nil"/>
            </w:tcBorders>
            <w:vAlign w:val="center"/>
            <w:hideMark/>
          </w:tcPr>
          <w:p w14:paraId="4316339E"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8.349.850</w:t>
            </w:r>
          </w:p>
        </w:tc>
        <w:tc>
          <w:tcPr>
            <w:tcW w:w="871" w:type="pct"/>
            <w:tcBorders>
              <w:top w:val="dashed" w:sz="4" w:space="0" w:color="808080"/>
              <w:left w:val="nil"/>
              <w:bottom w:val="single" w:sz="4" w:space="0" w:color="auto"/>
              <w:right w:val="nil"/>
            </w:tcBorders>
            <w:vAlign w:val="center"/>
            <w:hideMark/>
          </w:tcPr>
          <w:p w14:paraId="45C70FD0"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100%</w:t>
            </w:r>
          </w:p>
        </w:tc>
        <w:tc>
          <w:tcPr>
            <w:tcW w:w="915" w:type="pct"/>
            <w:tcBorders>
              <w:top w:val="dashed" w:sz="4" w:space="0" w:color="808080"/>
              <w:left w:val="nil"/>
              <w:bottom w:val="single" w:sz="4" w:space="0" w:color="auto"/>
              <w:right w:val="nil"/>
            </w:tcBorders>
            <w:hideMark/>
          </w:tcPr>
          <w:p w14:paraId="00B6691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hideMark/>
          </w:tcPr>
          <w:p w14:paraId="70EB737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vAlign w:val="center"/>
            <w:hideMark/>
          </w:tcPr>
          <w:p w14:paraId="13B9BF0E"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8.349.850</w:t>
            </w:r>
          </w:p>
        </w:tc>
        <w:tc>
          <w:tcPr>
            <w:tcW w:w="598" w:type="pct"/>
            <w:tcBorders>
              <w:top w:val="dashed" w:sz="4" w:space="0" w:color="808080"/>
              <w:left w:val="nil"/>
              <w:bottom w:val="single" w:sz="4" w:space="0" w:color="auto"/>
              <w:right w:val="nil"/>
            </w:tcBorders>
            <w:vAlign w:val="center"/>
            <w:hideMark/>
          </w:tcPr>
          <w:p w14:paraId="57E32FDC"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100%</w:t>
            </w:r>
          </w:p>
        </w:tc>
      </w:tr>
      <w:tr w:rsidR="004F0F84" w:rsidRPr="001E6E9D" w14:paraId="0BA6EA3A"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16DBDC80"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5944E0EC"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1D7470B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1715C8F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39CAADE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2F7F37E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3E90C52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52E93FE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36CB76FA"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4275A86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5AA41862"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36A027B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391F871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098E7CB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3A540A0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4512285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64A2F52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46283983"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6448566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0B979BE3"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10332CF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8.349.850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16518396"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5031C24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1FF6B46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56746787"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8.349.850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4AB48D2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524405F7" w14:textId="77777777" w:rsidR="004F0F84" w:rsidRPr="001E6E9D" w:rsidRDefault="004F0F84" w:rsidP="00DC7081">
      <w:pPr>
        <w:spacing w:after="160"/>
        <w:jc w:val="left"/>
        <w:rPr>
          <w:rFonts w:asciiTheme="minorHAnsi" w:eastAsia="Calibri" w:hAnsiTheme="minorHAnsi" w:cstheme="minorHAnsi"/>
          <w:sz w:val="22"/>
        </w:rPr>
      </w:pPr>
    </w:p>
    <w:p w14:paraId="16A5BEE8"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70B093AB"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6F998C8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370ED848"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11E00B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17DD9302"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F8C0D89"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AF01045"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76ACF63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46D8872"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591864B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5174798B"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A5D803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600D1C5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7206202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0D835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3272C391"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7C67BAB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32F95FAB"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77C5576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68B81B4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79FB90F7"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42F53E94"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556E8E8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0D5DC36F"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611F2142"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24BDA1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2263337F"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23D80462"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MG 3</w:t>
            </w:r>
          </w:p>
        </w:tc>
        <w:tc>
          <w:tcPr>
            <w:tcW w:w="1506" w:type="pct"/>
            <w:gridSpan w:val="4"/>
            <w:tcBorders>
              <w:top w:val="single" w:sz="4" w:space="0" w:color="auto"/>
              <w:left w:val="nil"/>
              <w:bottom w:val="dashed" w:sz="4" w:space="0" w:color="808080"/>
              <w:right w:val="nil"/>
            </w:tcBorders>
          </w:tcPr>
          <w:p w14:paraId="312CE53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78E8454F"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52BB5CE9"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7B860A47" w14:textId="77777777" w:rsidTr="004F0F84">
        <w:trPr>
          <w:trHeight w:val="20"/>
        </w:trPr>
        <w:tc>
          <w:tcPr>
            <w:tcW w:w="889" w:type="pct"/>
            <w:tcBorders>
              <w:top w:val="dashed" w:sz="4" w:space="0" w:color="808080"/>
              <w:left w:val="nil"/>
              <w:bottom w:val="dashed" w:sz="4" w:space="0" w:color="808080"/>
              <w:right w:val="nil"/>
            </w:tcBorders>
            <w:vAlign w:val="center"/>
            <w:hideMark/>
          </w:tcPr>
          <w:p w14:paraId="01B7F2C5"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08E927D7"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73AA2664"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618FBF8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vAlign w:val="center"/>
            <w:hideMark/>
          </w:tcPr>
          <w:p w14:paraId="62B2AC3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3E2789B4" w14:textId="77777777" w:rsidTr="004F0F84">
        <w:trPr>
          <w:trHeight w:val="20"/>
        </w:trPr>
        <w:tc>
          <w:tcPr>
            <w:tcW w:w="889" w:type="pct"/>
            <w:tcBorders>
              <w:top w:val="dashed" w:sz="4" w:space="0" w:color="808080"/>
              <w:left w:val="nil"/>
              <w:bottom w:val="dashed" w:sz="4" w:space="0" w:color="808080"/>
              <w:right w:val="nil"/>
            </w:tcBorders>
            <w:hideMark/>
          </w:tcPr>
          <w:p w14:paraId="6045447F"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5C619BF8"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27A95F2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27B3F76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6481ECDD" w14:textId="77777777" w:rsidTr="004F0F84">
        <w:trPr>
          <w:trHeight w:val="20"/>
        </w:trPr>
        <w:tc>
          <w:tcPr>
            <w:tcW w:w="889" w:type="pct"/>
            <w:tcBorders>
              <w:top w:val="dashed" w:sz="4" w:space="0" w:color="808080"/>
              <w:left w:val="nil"/>
              <w:bottom w:val="single" w:sz="4" w:space="0" w:color="auto"/>
              <w:right w:val="nil"/>
            </w:tcBorders>
            <w:vAlign w:val="center"/>
            <w:hideMark/>
          </w:tcPr>
          <w:p w14:paraId="0DDAA353"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8.349.850</w:t>
            </w:r>
          </w:p>
        </w:tc>
        <w:tc>
          <w:tcPr>
            <w:tcW w:w="871" w:type="pct"/>
            <w:tcBorders>
              <w:top w:val="dashed" w:sz="4" w:space="0" w:color="808080"/>
              <w:left w:val="nil"/>
              <w:bottom w:val="single" w:sz="4" w:space="0" w:color="auto"/>
              <w:right w:val="nil"/>
            </w:tcBorders>
            <w:vAlign w:val="center"/>
            <w:hideMark/>
          </w:tcPr>
          <w:p w14:paraId="17B84DF8"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100%</w:t>
            </w:r>
          </w:p>
        </w:tc>
        <w:tc>
          <w:tcPr>
            <w:tcW w:w="915" w:type="pct"/>
            <w:tcBorders>
              <w:top w:val="dashed" w:sz="4" w:space="0" w:color="808080"/>
              <w:left w:val="nil"/>
              <w:bottom w:val="single" w:sz="4" w:space="0" w:color="auto"/>
              <w:right w:val="nil"/>
            </w:tcBorders>
            <w:hideMark/>
          </w:tcPr>
          <w:p w14:paraId="1493DA0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hideMark/>
          </w:tcPr>
          <w:p w14:paraId="071FAAC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vAlign w:val="center"/>
            <w:hideMark/>
          </w:tcPr>
          <w:p w14:paraId="64E6D67A"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8.349.850</w:t>
            </w:r>
          </w:p>
        </w:tc>
        <w:tc>
          <w:tcPr>
            <w:tcW w:w="598" w:type="pct"/>
            <w:tcBorders>
              <w:top w:val="dashed" w:sz="4" w:space="0" w:color="808080"/>
              <w:left w:val="nil"/>
              <w:bottom w:val="single" w:sz="4" w:space="0" w:color="auto"/>
              <w:right w:val="nil"/>
            </w:tcBorders>
            <w:vAlign w:val="center"/>
            <w:hideMark/>
          </w:tcPr>
          <w:p w14:paraId="06BEE5C8"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100%</w:t>
            </w:r>
          </w:p>
        </w:tc>
      </w:tr>
      <w:tr w:rsidR="004F0F84" w:rsidRPr="001E6E9D" w14:paraId="3C2E239C"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6768D7D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331CF9DB"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5118E7D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438330F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1AF987D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71DCE10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41B0A90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3152088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0DD5044D"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79AA1ADA"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0FFDA768"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4012AF0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27D25E9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4C838AA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6D6B845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50C186C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2B5C538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152FFC6C"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110C0532"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34DD9EFB"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6CF389FB"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8.349.850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56015EB7"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0D9B6820"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1DF65EB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0F9BF962"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8.349.850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6DBADDD8"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3528D23C" w14:textId="77777777" w:rsidR="004F0F84" w:rsidRPr="001E6E9D" w:rsidRDefault="004F0F84" w:rsidP="00DC7081">
      <w:pPr>
        <w:spacing w:after="160"/>
        <w:jc w:val="left"/>
        <w:rPr>
          <w:rFonts w:asciiTheme="minorHAnsi" w:eastAsia="Calibri" w:hAnsiTheme="minorHAnsi" w:cstheme="minorHAnsi"/>
          <w:sz w:val="22"/>
        </w:rPr>
      </w:pPr>
    </w:p>
    <w:p w14:paraId="7A161379"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65AB1F98"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3BF5F45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0B55C2ED"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0E7E55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65DFE2A4"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7423B7DD"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9519B37"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ABC3F41"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52D39C3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B1DEB7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72B3891C"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59068B5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6B1B5ED1"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1411613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9CAC34E"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4D978A01"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6C9FE81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1EEA7A04"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4996258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202970E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70DBFEE3"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42CE4F8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7FCE2B62"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23634F0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33DBA645"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C86800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6B9DE0A3"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2457AD64"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Olinda</w:t>
            </w:r>
          </w:p>
        </w:tc>
        <w:tc>
          <w:tcPr>
            <w:tcW w:w="1506" w:type="pct"/>
            <w:gridSpan w:val="4"/>
            <w:tcBorders>
              <w:top w:val="single" w:sz="4" w:space="0" w:color="auto"/>
              <w:left w:val="nil"/>
              <w:bottom w:val="dashed" w:sz="4" w:space="0" w:color="808080"/>
              <w:right w:val="nil"/>
            </w:tcBorders>
          </w:tcPr>
          <w:p w14:paraId="52A3A92C"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30D12F4B"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22BFBD62"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788A3ECA" w14:textId="77777777" w:rsidTr="004F0F84">
        <w:trPr>
          <w:trHeight w:val="20"/>
        </w:trPr>
        <w:tc>
          <w:tcPr>
            <w:tcW w:w="889" w:type="pct"/>
            <w:tcBorders>
              <w:top w:val="dashed" w:sz="4" w:space="0" w:color="808080"/>
              <w:left w:val="nil"/>
              <w:bottom w:val="dashed" w:sz="4" w:space="0" w:color="808080"/>
              <w:right w:val="nil"/>
            </w:tcBorders>
            <w:vAlign w:val="center"/>
            <w:hideMark/>
          </w:tcPr>
          <w:p w14:paraId="64103027"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5C143530"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0E49574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2EA69E7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vAlign w:val="center"/>
            <w:hideMark/>
          </w:tcPr>
          <w:p w14:paraId="4919A98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641F39C3" w14:textId="77777777" w:rsidTr="004F0F84">
        <w:trPr>
          <w:trHeight w:val="20"/>
        </w:trPr>
        <w:tc>
          <w:tcPr>
            <w:tcW w:w="889" w:type="pct"/>
            <w:tcBorders>
              <w:top w:val="dashed" w:sz="4" w:space="0" w:color="808080"/>
              <w:left w:val="nil"/>
              <w:bottom w:val="dashed" w:sz="4" w:space="0" w:color="808080"/>
              <w:right w:val="nil"/>
            </w:tcBorders>
            <w:hideMark/>
          </w:tcPr>
          <w:p w14:paraId="6A97D0E7"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5D36222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00C841A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1D8A77B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0564AAF0" w14:textId="77777777" w:rsidTr="004F0F84">
        <w:trPr>
          <w:trHeight w:val="20"/>
        </w:trPr>
        <w:tc>
          <w:tcPr>
            <w:tcW w:w="889" w:type="pct"/>
            <w:tcBorders>
              <w:top w:val="dashed" w:sz="4" w:space="0" w:color="808080"/>
              <w:left w:val="nil"/>
              <w:bottom w:val="single" w:sz="4" w:space="0" w:color="auto"/>
              <w:right w:val="nil"/>
            </w:tcBorders>
            <w:vAlign w:val="center"/>
            <w:hideMark/>
          </w:tcPr>
          <w:p w14:paraId="1CF7DF79"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3.069.242</w:t>
            </w:r>
          </w:p>
        </w:tc>
        <w:tc>
          <w:tcPr>
            <w:tcW w:w="871" w:type="pct"/>
            <w:tcBorders>
              <w:top w:val="dashed" w:sz="4" w:space="0" w:color="808080"/>
              <w:left w:val="nil"/>
              <w:bottom w:val="single" w:sz="4" w:space="0" w:color="auto"/>
              <w:right w:val="nil"/>
            </w:tcBorders>
            <w:vAlign w:val="center"/>
            <w:hideMark/>
          </w:tcPr>
          <w:p w14:paraId="6C44D6D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c>
          <w:tcPr>
            <w:tcW w:w="915" w:type="pct"/>
            <w:tcBorders>
              <w:top w:val="dashed" w:sz="4" w:space="0" w:color="808080"/>
              <w:left w:val="nil"/>
              <w:bottom w:val="single" w:sz="4" w:space="0" w:color="auto"/>
              <w:right w:val="nil"/>
            </w:tcBorders>
            <w:vAlign w:val="center"/>
            <w:hideMark/>
          </w:tcPr>
          <w:p w14:paraId="27F38EB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vAlign w:val="center"/>
            <w:hideMark/>
          </w:tcPr>
          <w:p w14:paraId="45B6BF6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vAlign w:val="center"/>
            <w:hideMark/>
          </w:tcPr>
          <w:p w14:paraId="0ED97962"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3.069.242</w:t>
            </w:r>
          </w:p>
        </w:tc>
        <w:tc>
          <w:tcPr>
            <w:tcW w:w="598" w:type="pct"/>
            <w:tcBorders>
              <w:top w:val="dashed" w:sz="4" w:space="0" w:color="808080"/>
              <w:left w:val="nil"/>
              <w:bottom w:val="single" w:sz="4" w:space="0" w:color="auto"/>
              <w:right w:val="nil"/>
            </w:tcBorders>
            <w:vAlign w:val="center"/>
            <w:hideMark/>
          </w:tcPr>
          <w:p w14:paraId="4812697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18FD4309" w14:textId="77777777" w:rsidTr="004F0F84">
        <w:trPr>
          <w:trHeight w:hRule="exact" w:val="376"/>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01FE6F37"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46D50C7C"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470170A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1D4AE8D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5DD27E5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6F4545A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4F8D785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014ECB2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794A1808"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764CBF0C"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3E1BF895"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2A88E1A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6046333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0027938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0952A37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4256D44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181A257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221108A1"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521C485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4834ED2C"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0284D11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3C565FEF"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58AB21FA"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38434F9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0951DAB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24400CB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317B9444" w14:textId="77777777" w:rsidR="004F0F84" w:rsidRPr="001E6E9D" w:rsidRDefault="004F0F84" w:rsidP="00DC7081">
      <w:pPr>
        <w:spacing w:after="160"/>
        <w:jc w:val="left"/>
        <w:rPr>
          <w:rFonts w:asciiTheme="minorHAnsi" w:eastAsia="Calibri" w:hAnsiTheme="minorHAnsi" w:cstheme="minorHAnsi"/>
          <w:sz w:val="22"/>
        </w:rPr>
      </w:pPr>
    </w:p>
    <w:p w14:paraId="6CF3C207"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41844358"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5E6771C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65B3C672"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A186A5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7F16C89E"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CD0EA8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5C1A165"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059788E"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372C9C2"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5B3001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0703E7FE"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81B4EE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AAFF247"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AEE644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89295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43A33C5A"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3BE7B8A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12041C66"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684F1B3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3DD3001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62B84627"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52683C67"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03E22D63"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16F3ED02"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26D8287D"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4D96172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0CC2CB10"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42C242FB"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Praia do Futuro</w:t>
            </w:r>
          </w:p>
        </w:tc>
        <w:tc>
          <w:tcPr>
            <w:tcW w:w="1506" w:type="pct"/>
            <w:gridSpan w:val="4"/>
            <w:tcBorders>
              <w:top w:val="single" w:sz="4" w:space="0" w:color="auto"/>
              <w:left w:val="nil"/>
              <w:bottom w:val="dashed" w:sz="4" w:space="0" w:color="808080"/>
              <w:right w:val="nil"/>
            </w:tcBorders>
          </w:tcPr>
          <w:p w14:paraId="31906D6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77EF16FB"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27F4DDD6"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67ED9527" w14:textId="77777777" w:rsidTr="004F0F84">
        <w:trPr>
          <w:trHeight w:val="20"/>
        </w:trPr>
        <w:tc>
          <w:tcPr>
            <w:tcW w:w="889" w:type="pct"/>
            <w:tcBorders>
              <w:top w:val="dashed" w:sz="4" w:space="0" w:color="808080"/>
              <w:left w:val="nil"/>
              <w:bottom w:val="dashed" w:sz="4" w:space="0" w:color="808080"/>
              <w:right w:val="nil"/>
            </w:tcBorders>
            <w:vAlign w:val="center"/>
            <w:hideMark/>
          </w:tcPr>
          <w:p w14:paraId="2A519CE3"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17FC742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4AFFCA4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52004A7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vAlign w:val="center"/>
            <w:hideMark/>
          </w:tcPr>
          <w:p w14:paraId="7036231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70E29768" w14:textId="77777777" w:rsidTr="004F0F84">
        <w:trPr>
          <w:trHeight w:val="20"/>
        </w:trPr>
        <w:tc>
          <w:tcPr>
            <w:tcW w:w="889" w:type="pct"/>
            <w:tcBorders>
              <w:top w:val="dashed" w:sz="4" w:space="0" w:color="808080"/>
              <w:left w:val="nil"/>
              <w:bottom w:val="dashed" w:sz="4" w:space="0" w:color="808080"/>
              <w:right w:val="nil"/>
            </w:tcBorders>
            <w:hideMark/>
          </w:tcPr>
          <w:p w14:paraId="207FEAF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66669C0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097C107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77902B8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0D42013B" w14:textId="77777777" w:rsidTr="004F0F84">
        <w:trPr>
          <w:trHeight w:val="20"/>
        </w:trPr>
        <w:tc>
          <w:tcPr>
            <w:tcW w:w="889" w:type="pct"/>
            <w:tcBorders>
              <w:top w:val="dashed" w:sz="4" w:space="0" w:color="808080"/>
              <w:left w:val="nil"/>
              <w:bottom w:val="single" w:sz="4" w:space="0" w:color="auto"/>
              <w:right w:val="nil"/>
            </w:tcBorders>
            <w:vAlign w:val="center"/>
            <w:hideMark/>
          </w:tcPr>
          <w:p w14:paraId="3FD767FE"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2.282.325</w:t>
            </w:r>
          </w:p>
        </w:tc>
        <w:tc>
          <w:tcPr>
            <w:tcW w:w="871" w:type="pct"/>
            <w:tcBorders>
              <w:top w:val="dashed" w:sz="4" w:space="0" w:color="808080"/>
              <w:left w:val="nil"/>
              <w:bottom w:val="single" w:sz="4" w:space="0" w:color="auto"/>
              <w:right w:val="nil"/>
            </w:tcBorders>
            <w:vAlign w:val="center"/>
            <w:hideMark/>
          </w:tcPr>
          <w:p w14:paraId="45BD54D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c>
          <w:tcPr>
            <w:tcW w:w="915" w:type="pct"/>
            <w:tcBorders>
              <w:top w:val="dashed" w:sz="4" w:space="0" w:color="808080"/>
              <w:left w:val="nil"/>
              <w:bottom w:val="single" w:sz="4" w:space="0" w:color="auto"/>
              <w:right w:val="nil"/>
            </w:tcBorders>
            <w:vAlign w:val="center"/>
            <w:hideMark/>
          </w:tcPr>
          <w:p w14:paraId="0B6B8BB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vAlign w:val="center"/>
            <w:hideMark/>
          </w:tcPr>
          <w:p w14:paraId="37DC221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vAlign w:val="center"/>
            <w:hideMark/>
          </w:tcPr>
          <w:p w14:paraId="13144C5C"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2.282.325</w:t>
            </w:r>
          </w:p>
        </w:tc>
        <w:tc>
          <w:tcPr>
            <w:tcW w:w="598" w:type="pct"/>
            <w:tcBorders>
              <w:top w:val="dashed" w:sz="4" w:space="0" w:color="808080"/>
              <w:left w:val="nil"/>
              <w:bottom w:val="single" w:sz="4" w:space="0" w:color="auto"/>
              <w:right w:val="nil"/>
            </w:tcBorders>
            <w:vAlign w:val="center"/>
            <w:hideMark/>
          </w:tcPr>
          <w:p w14:paraId="0CC218E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06FD6819" w14:textId="77777777" w:rsidTr="004F0F84">
        <w:trPr>
          <w:trHeight w:hRule="exact" w:val="376"/>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3835E776"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0871D32D"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428F2C7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09A9E9F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568056B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148B324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3B147D1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1C0F0CF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6C057E5D"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11BF1E9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67440D5E"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29CDAB2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522AAF7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4A9AFF1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3739D7E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411D512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1CBF058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7B6DE1B2"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38C1BC9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2301DCB9"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417863DF"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429C45BE"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002C5ACD"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40A4169B"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7204119F"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2124FCC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197D5FCE" w14:textId="77777777" w:rsidR="004F0F84" w:rsidRPr="001E6E9D" w:rsidRDefault="004F0F84" w:rsidP="00DC7081">
      <w:pPr>
        <w:spacing w:after="160"/>
        <w:jc w:val="left"/>
        <w:rPr>
          <w:rFonts w:asciiTheme="minorHAnsi" w:eastAsia="Calibri" w:hAnsiTheme="minorHAnsi" w:cstheme="minorHAnsi"/>
          <w:sz w:val="22"/>
        </w:rPr>
      </w:pPr>
    </w:p>
    <w:p w14:paraId="79D116F5"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48777248"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656AACE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176C6722"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9680AA0"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00899ECA"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4BD300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58E7A07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9037947"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5506B4A"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930CF3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2BFEA981"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A9D54E5"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40CEA0CC"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51FB7B9D"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C2172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5EE8EEA4"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63B9832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7280E54E"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2917FF5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18AC814F"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2CE9641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10B22053"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1C8ED2B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2E358F2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57C2274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4E6ACE8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48D68E07"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55E9D540"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São Roque</w:t>
            </w:r>
          </w:p>
        </w:tc>
        <w:tc>
          <w:tcPr>
            <w:tcW w:w="1506" w:type="pct"/>
            <w:gridSpan w:val="4"/>
            <w:tcBorders>
              <w:top w:val="single" w:sz="4" w:space="0" w:color="auto"/>
              <w:left w:val="nil"/>
              <w:bottom w:val="dashed" w:sz="4" w:space="0" w:color="808080"/>
              <w:right w:val="nil"/>
            </w:tcBorders>
          </w:tcPr>
          <w:p w14:paraId="06A6D21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08864E0E"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6A137BEE"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318D91E8" w14:textId="77777777" w:rsidTr="004F0F84">
        <w:trPr>
          <w:trHeight w:val="20"/>
        </w:trPr>
        <w:tc>
          <w:tcPr>
            <w:tcW w:w="889" w:type="pct"/>
            <w:tcBorders>
              <w:top w:val="dashed" w:sz="4" w:space="0" w:color="808080"/>
              <w:left w:val="nil"/>
              <w:bottom w:val="dashed" w:sz="4" w:space="0" w:color="808080"/>
              <w:right w:val="nil"/>
            </w:tcBorders>
            <w:vAlign w:val="center"/>
            <w:hideMark/>
          </w:tcPr>
          <w:p w14:paraId="236D147A"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2AB7584D"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56C33C7E"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1AF4824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hideMark/>
          </w:tcPr>
          <w:p w14:paraId="31374CE4"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27FFCABF" w14:textId="77777777" w:rsidTr="004F0F84">
        <w:trPr>
          <w:trHeight w:val="20"/>
        </w:trPr>
        <w:tc>
          <w:tcPr>
            <w:tcW w:w="889" w:type="pct"/>
            <w:tcBorders>
              <w:top w:val="dashed" w:sz="4" w:space="0" w:color="808080"/>
              <w:left w:val="nil"/>
              <w:bottom w:val="dashed" w:sz="4" w:space="0" w:color="808080"/>
              <w:right w:val="nil"/>
            </w:tcBorders>
            <w:hideMark/>
          </w:tcPr>
          <w:p w14:paraId="1F234B4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280B75AD"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5AAE3EFE"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69B38B9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38BF2E77" w14:textId="77777777" w:rsidTr="004F0F84">
        <w:trPr>
          <w:trHeight w:val="20"/>
        </w:trPr>
        <w:tc>
          <w:tcPr>
            <w:tcW w:w="889" w:type="pct"/>
            <w:tcBorders>
              <w:top w:val="dashed" w:sz="4" w:space="0" w:color="808080"/>
              <w:left w:val="nil"/>
              <w:bottom w:val="single" w:sz="4" w:space="0" w:color="auto"/>
              <w:right w:val="nil"/>
            </w:tcBorders>
            <w:vAlign w:val="center"/>
            <w:hideMark/>
          </w:tcPr>
          <w:p w14:paraId="1B11CA85"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871" w:type="pct"/>
            <w:tcBorders>
              <w:top w:val="dashed" w:sz="4" w:space="0" w:color="808080"/>
              <w:left w:val="nil"/>
              <w:bottom w:val="single" w:sz="4" w:space="0" w:color="auto"/>
              <w:right w:val="nil"/>
            </w:tcBorders>
            <w:vAlign w:val="center"/>
            <w:hideMark/>
          </w:tcPr>
          <w:p w14:paraId="14930E9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c>
          <w:tcPr>
            <w:tcW w:w="915" w:type="pct"/>
            <w:tcBorders>
              <w:top w:val="dashed" w:sz="4" w:space="0" w:color="808080"/>
              <w:left w:val="nil"/>
              <w:bottom w:val="single" w:sz="4" w:space="0" w:color="auto"/>
              <w:right w:val="nil"/>
            </w:tcBorders>
            <w:vAlign w:val="center"/>
            <w:hideMark/>
          </w:tcPr>
          <w:p w14:paraId="68A341C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vAlign w:val="center"/>
            <w:hideMark/>
          </w:tcPr>
          <w:p w14:paraId="5A1FF68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vAlign w:val="center"/>
            <w:hideMark/>
          </w:tcPr>
          <w:p w14:paraId="174103C4"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598" w:type="pct"/>
            <w:tcBorders>
              <w:top w:val="dashed" w:sz="4" w:space="0" w:color="808080"/>
              <w:left w:val="nil"/>
              <w:bottom w:val="single" w:sz="4" w:space="0" w:color="auto"/>
              <w:right w:val="nil"/>
            </w:tcBorders>
            <w:vAlign w:val="center"/>
            <w:hideMark/>
          </w:tcPr>
          <w:p w14:paraId="343A399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097C66FD" w14:textId="77777777" w:rsidTr="004F0F84">
        <w:trPr>
          <w:trHeight w:hRule="exact" w:val="376"/>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19666D5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15E72261"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0487B1F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64C3BB4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43F39AF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738D7E6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163617F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3443538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359F6419"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5F1EA4A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518FEBE9"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3ECFED3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49CC6AE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422D75B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650A7D0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5E6B0CD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4BD8A71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32357C0A"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195A247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047F60C9"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48E455D0"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7ABCDFA8"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3ADD1ABB"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4F574496"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61EF015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29142294"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25B0AA68" w14:textId="77777777" w:rsidR="004F0F84" w:rsidRPr="001E6E9D" w:rsidRDefault="004F0F84" w:rsidP="00DC7081">
      <w:pPr>
        <w:spacing w:after="160"/>
        <w:jc w:val="left"/>
        <w:rPr>
          <w:rFonts w:asciiTheme="minorHAnsi" w:eastAsia="Calibri" w:hAnsiTheme="minorHAnsi" w:cstheme="minorHAnsi"/>
          <w:sz w:val="22"/>
        </w:rPr>
      </w:pPr>
    </w:p>
    <w:p w14:paraId="058611C8"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4C8F1A2E"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0364C96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0B343EB0"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8EC458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0CF0CE72"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E5595F7"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4670F2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0BC3C21"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05BA158"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649814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3014D708"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D2C9C7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37C66A4"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567A656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906F91"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1023C792"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2A8A211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7495F3A0"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47ABF492"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2AD25849"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6291BAC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0BB7C229"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23A04C27"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579642E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3A92078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F380EA1"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4FF00F74"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37B049B8"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Taipu</w:t>
            </w:r>
          </w:p>
        </w:tc>
        <w:tc>
          <w:tcPr>
            <w:tcW w:w="1506" w:type="pct"/>
            <w:gridSpan w:val="4"/>
            <w:tcBorders>
              <w:top w:val="single" w:sz="4" w:space="0" w:color="auto"/>
              <w:left w:val="nil"/>
              <w:bottom w:val="dashed" w:sz="4" w:space="0" w:color="808080"/>
              <w:right w:val="nil"/>
            </w:tcBorders>
          </w:tcPr>
          <w:p w14:paraId="0108F6C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1FAD0546"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478DA2D8"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318A6716" w14:textId="77777777" w:rsidTr="004F0F84">
        <w:trPr>
          <w:trHeight w:val="20"/>
        </w:trPr>
        <w:tc>
          <w:tcPr>
            <w:tcW w:w="889" w:type="pct"/>
            <w:tcBorders>
              <w:top w:val="dashed" w:sz="4" w:space="0" w:color="808080"/>
              <w:left w:val="nil"/>
              <w:bottom w:val="dashed" w:sz="4" w:space="0" w:color="808080"/>
              <w:right w:val="nil"/>
            </w:tcBorders>
            <w:vAlign w:val="center"/>
            <w:hideMark/>
          </w:tcPr>
          <w:p w14:paraId="4BB008E0"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3B5146ED"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381ACBDD"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770BA7F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hideMark/>
          </w:tcPr>
          <w:p w14:paraId="1538726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310AA091" w14:textId="77777777" w:rsidTr="004F0F84">
        <w:trPr>
          <w:trHeight w:val="20"/>
        </w:trPr>
        <w:tc>
          <w:tcPr>
            <w:tcW w:w="889" w:type="pct"/>
            <w:tcBorders>
              <w:top w:val="dashed" w:sz="4" w:space="0" w:color="808080"/>
              <w:left w:val="nil"/>
              <w:bottom w:val="dashed" w:sz="4" w:space="0" w:color="808080"/>
              <w:right w:val="nil"/>
            </w:tcBorders>
            <w:hideMark/>
          </w:tcPr>
          <w:p w14:paraId="25A1864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40A8BF49"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24BF3288"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56024B2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1D250B30" w14:textId="77777777" w:rsidTr="004F0F84">
        <w:trPr>
          <w:trHeight w:val="20"/>
        </w:trPr>
        <w:tc>
          <w:tcPr>
            <w:tcW w:w="889" w:type="pct"/>
            <w:tcBorders>
              <w:top w:val="dashed" w:sz="4" w:space="0" w:color="808080"/>
              <w:left w:val="nil"/>
              <w:bottom w:val="single" w:sz="4" w:space="0" w:color="auto"/>
              <w:right w:val="nil"/>
            </w:tcBorders>
            <w:vAlign w:val="center"/>
            <w:hideMark/>
          </w:tcPr>
          <w:p w14:paraId="7FBE9C62"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871" w:type="pct"/>
            <w:tcBorders>
              <w:top w:val="dashed" w:sz="4" w:space="0" w:color="808080"/>
              <w:left w:val="nil"/>
              <w:bottom w:val="single" w:sz="4" w:space="0" w:color="auto"/>
              <w:right w:val="nil"/>
            </w:tcBorders>
            <w:vAlign w:val="center"/>
            <w:hideMark/>
          </w:tcPr>
          <w:p w14:paraId="4E82674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c>
          <w:tcPr>
            <w:tcW w:w="915" w:type="pct"/>
            <w:tcBorders>
              <w:top w:val="dashed" w:sz="4" w:space="0" w:color="808080"/>
              <w:left w:val="nil"/>
              <w:bottom w:val="single" w:sz="4" w:space="0" w:color="auto"/>
              <w:right w:val="nil"/>
            </w:tcBorders>
            <w:vAlign w:val="center"/>
            <w:hideMark/>
          </w:tcPr>
          <w:p w14:paraId="7BC08BB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vAlign w:val="center"/>
            <w:hideMark/>
          </w:tcPr>
          <w:p w14:paraId="24BD00E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vAlign w:val="center"/>
            <w:hideMark/>
          </w:tcPr>
          <w:p w14:paraId="01D7E5CD"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598" w:type="pct"/>
            <w:tcBorders>
              <w:top w:val="dashed" w:sz="4" w:space="0" w:color="808080"/>
              <w:left w:val="nil"/>
              <w:bottom w:val="single" w:sz="4" w:space="0" w:color="auto"/>
              <w:right w:val="nil"/>
            </w:tcBorders>
            <w:vAlign w:val="center"/>
            <w:hideMark/>
          </w:tcPr>
          <w:p w14:paraId="52979B1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5708C793" w14:textId="77777777" w:rsidTr="004F0F84">
        <w:trPr>
          <w:trHeight w:hRule="exact" w:val="376"/>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312AEE6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72C5867D"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06DD2A4C"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6DAC5B8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08414E6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4C69639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021F5F9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08A310B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126EF004"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1EC54ED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21450E9E"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44FA95B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5C4EFD5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5D59438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44814F5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2FCE862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20FCE76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69D7452F"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714E747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37A17C67"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02860667"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6AB0473A"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07A9638D"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085CDCC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6D8EC636"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1956F27E"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492E50D6" w14:textId="77777777" w:rsidR="004F0F84" w:rsidRPr="001E6E9D" w:rsidRDefault="004F0F84" w:rsidP="00DC7081">
      <w:pPr>
        <w:spacing w:after="160"/>
        <w:jc w:val="left"/>
        <w:rPr>
          <w:rFonts w:asciiTheme="minorHAnsi" w:eastAsia="Calibri" w:hAnsiTheme="minorHAnsi" w:cstheme="minorHAnsi"/>
          <w:sz w:val="22"/>
        </w:rPr>
      </w:pPr>
    </w:p>
    <w:p w14:paraId="10DFFE48"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117FF9EE"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7C2AD02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292ACF80"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5A3D4E2"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16101B19"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A671C77"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0BBFF90"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747F43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E7148C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B0125B4"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57C57049"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2EC441C"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3CFD9839"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67C5A96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01F94B"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3ABA52B6"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4C7189A5"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15DEBBD4"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1903ECC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46A068C3"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12DFD716"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04B1D17"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4CA7DABD"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5E7F6744"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58A9770A"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7848A494"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2A4D7EB6"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1CD86373"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Titan</w:t>
            </w:r>
          </w:p>
        </w:tc>
        <w:tc>
          <w:tcPr>
            <w:tcW w:w="1506" w:type="pct"/>
            <w:gridSpan w:val="4"/>
            <w:tcBorders>
              <w:top w:val="single" w:sz="4" w:space="0" w:color="auto"/>
              <w:left w:val="nil"/>
              <w:bottom w:val="dashed" w:sz="4" w:space="0" w:color="808080"/>
              <w:right w:val="nil"/>
            </w:tcBorders>
          </w:tcPr>
          <w:p w14:paraId="346BE56E"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577710A3"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7A02C61C"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2403D418" w14:textId="77777777" w:rsidTr="004F0F84">
        <w:trPr>
          <w:trHeight w:val="20"/>
        </w:trPr>
        <w:tc>
          <w:tcPr>
            <w:tcW w:w="889" w:type="pct"/>
            <w:tcBorders>
              <w:top w:val="dashed" w:sz="4" w:space="0" w:color="808080"/>
              <w:left w:val="nil"/>
              <w:bottom w:val="dashed" w:sz="4" w:space="0" w:color="808080"/>
              <w:right w:val="nil"/>
            </w:tcBorders>
            <w:vAlign w:val="center"/>
            <w:hideMark/>
          </w:tcPr>
          <w:p w14:paraId="0DC62FC9"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0723DB1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05987CCA"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45F801C9"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hideMark/>
          </w:tcPr>
          <w:p w14:paraId="566962E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4545C59B" w14:textId="77777777" w:rsidTr="004F0F84">
        <w:trPr>
          <w:trHeight w:val="20"/>
        </w:trPr>
        <w:tc>
          <w:tcPr>
            <w:tcW w:w="889" w:type="pct"/>
            <w:tcBorders>
              <w:top w:val="dashed" w:sz="4" w:space="0" w:color="808080"/>
              <w:left w:val="nil"/>
              <w:bottom w:val="dashed" w:sz="4" w:space="0" w:color="808080"/>
              <w:right w:val="nil"/>
            </w:tcBorders>
            <w:hideMark/>
          </w:tcPr>
          <w:p w14:paraId="41EC5B9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23824C2E"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58B14D8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24F77B66"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1DE548CE" w14:textId="77777777" w:rsidTr="004F0F84">
        <w:trPr>
          <w:trHeight w:val="20"/>
        </w:trPr>
        <w:tc>
          <w:tcPr>
            <w:tcW w:w="889" w:type="pct"/>
            <w:tcBorders>
              <w:top w:val="dashed" w:sz="4" w:space="0" w:color="808080"/>
              <w:left w:val="nil"/>
              <w:bottom w:val="single" w:sz="4" w:space="0" w:color="auto"/>
              <w:right w:val="nil"/>
            </w:tcBorders>
            <w:vAlign w:val="center"/>
            <w:hideMark/>
          </w:tcPr>
          <w:p w14:paraId="20BAA513"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871" w:type="pct"/>
            <w:tcBorders>
              <w:top w:val="dashed" w:sz="4" w:space="0" w:color="808080"/>
              <w:left w:val="nil"/>
              <w:bottom w:val="single" w:sz="4" w:space="0" w:color="auto"/>
              <w:right w:val="nil"/>
            </w:tcBorders>
            <w:vAlign w:val="center"/>
            <w:hideMark/>
          </w:tcPr>
          <w:p w14:paraId="335B949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c>
          <w:tcPr>
            <w:tcW w:w="915" w:type="pct"/>
            <w:tcBorders>
              <w:top w:val="dashed" w:sz="4" w:space="0" w:color="808080"/>
              <w:left w:val="nil"/>
              <w:bottom w:val="single" w:sz="4" w:space="0" w:color="auto"/>
              <w:right w:val="nil"/>
            </w:tcBorders>
            <w:vAlign w:val="center"/>
            <w:hideMark/>
          </w:tcPr>
          <w:p w14:paraId="5B60DBD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vAlign w:val="center"/>
            <w:hideMark/>
          </w:tcPr>
          <w:p w14:paraId="2DDDD52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vAlign w:val="center"/>
            <w:hideMark/>
          </w:tcPr>
          <w:p w14:paraId="3246955A"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598" w:type="pct"/>
            <w:tcBorders>
              <w:top w:val="dashed" w:sz="4" w:space="0" w:color="808080"/>
              <w:left w:val="nil"/>
              <w:bottom w:val="single" w:sz="4" w:space="0" w:color="auto"/>
              <w:right w:val="nil"/>
            </w:tcBorders>
            <w:vAlign w:val="center"/>
            <w:hideMark/>
          </w:tcPr>
          <w:p w14:paraId="58DC7E4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6A9DCB86" w14:textId="77777777" w:rsidTr="004F0F84">
        <w:trPr>
          <w:trHeight w:hRule="exact" w:val="376"/>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0026C69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11A1B57E"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4295BBC2"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0550CEC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081A79B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7ABB78B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05137A5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5748744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6AD2AC18"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03BC5342"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66655DAA"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2F20F98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1F1062D1"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52ABB20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1FDAC3E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2699BE8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732ED319"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4BCB2FC3"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59C73F10"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2382C3A6"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4CF43BB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50A36FDC"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2907345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1470039D"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28476A3D"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56C37595"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6A988E12" w14:textId="77777777" w:rsidR="004F0F84" w:rsidRPr="001E6E9D" w:rsidRDefault="004F0F84" w:rsidP="00DC7081">
      <w:pPr>
        <w:spacing w:after="160"/>
        <w:jc w:val="left"/>
        <w:rPr>
          <w:rFonts w:asciiTheme="minorHAnsi" w:eastAsia="Calibri" w:hAnsiTheme="minorHAnsi" w:cstheme="minorHAnsi"/>
          <w:sz w:val="22"/>
        </w:rPr>
      </w:pPr>
    </w:p>
    <w:p w14:paraId="798F2F6A"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72D32102"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051ADE69"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0AF6C93F"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8A632C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71A27725"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8933E45"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03C8A261"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430A176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75301AFC"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5188369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1D8EEC1A"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0C1CD2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5E88E8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65B011A7"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A225BF"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361D9DAE"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0F046183"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7BDB6C88"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2936F3C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3C33E646"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2E15ED5D"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1A3FCBC6"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1C792D3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6FC973D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1E6E1AE2"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10A1BDC"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02BFE60A"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2BDFA4A8"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Trindade</w:t>
            </w:r>
          </w:p>
        </w:tc>
        <w:tc>
          <w:tcPr>
            <w:tcW w:w="1506" w:type="pct"/>
            <w:gridSpan w:val="4"/>
            <w:tcBorders>
              <w:top w:val="single" w:sz="4" w:space="0" w:color="auto"/>
              <w:left w:val="nil"/>
              <w:bottom w:val="dashed" w:sz="4" w:space="0" w:color="808080"/>
              <w:right w:val="nil"/>
            </w:tcBorders>
          </w:tcPr>
          <w:p w14:paraId="3DBC7ACD"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7A11632C"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16E8BFC3"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31696B1A" w14:textId="77777777" w:rsidTr="004F0F84">
        <w:trPr>
          <w:trHeight w:val="20"/>
        </w:trPr>
        <w:tc>
          <w:tcPr>
            <w:tcW w:w="889" w:type="pct"/>
            <w:tcBorders>
              <w:top w:val="dashed" w:sz="4" w:space="0" w:color="808080"/>
              <w:left w:val="nil"/>
              <w:bottom w:val="dashed" w:sz="4" w:space="0" w:color="808080"/>
              <w:right w:val="nil"/>
            </w:tcBorders>
            <w:vAlign w:val="center"/>
            <w:hideMark/>
          </w:tcPr>
          <w:p w14:paraId="08167CD5"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61BFB5F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12B3D218"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178F99A5"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hideMark/>
          </w:tcPr>
          <w:p w14:paraId="7B0607E2"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3682D757" w14:textId="77777777" w:rsidTr="004F0F84">
        <w:trPr>
          <w:trHeight w:val="20"/>
        </w:trPr>
        <w:tc>
          <w:tcPr>
            <w:tcW w:w="889" w:type="pct"/>
            <w:tcBorders>
              <w:top w:val="dashed" w:sz="4" w:space="0" w:color="808080"/>
              <w:left w:val="nil"/>
              <w:bottom w:val="dashed" w:sz="4" w:space="0" w:color="808080"/>
              <w:right w:val="nil"/>
            </w:tcBorders>
            <w:hideMark/>
          </w:tcPr>
          <w:p w14:paraId="343EA3FB"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62259E5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583928E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23E22A70"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7EEBB303" w14:textId="77777777" w:rsidTr="004F0F84">
        <w:trPr>
          <w:trHeight w:val="20"/>
        </w:trPr>
        <w:tc>
          <w:tcPr>
            <w:tcW w:w="889" w:type="pct"/>
            <w:tcBorders>
              <w:top w:val="dashed" w:sz="4" w:space="0" w:color="808080"/>
              <w:left w:val="nil"/>
              <w:bottom w:val="single" w:sz="4" w:space="0" w:color="auto"/>
              <w:right w:val="nil"/>
            </w:tcBorders>
            <w:vAlign w:val="center"/>
            <w:hideMark/>
          </w:tcPr>
          <w:p w14:paraId="548BF77A"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871" w:type="pct"/>
            <w:tcBorders>
              <w:top w:val="dashed" w:sz="4" w:space="0" w:color="808080"/>
              <w:left w:val="nil"/>
              <w:bottom w:val="single" w:sz="4" w:space="0" w:color="auto"/>
              <w:right w:val="nil"/>
            </w:tcBorders>
            <w:vAlign w:val="center"/>
            <w:hideMark/>
          </w:tcPr>
          <w:p w14:paraId="18A1D91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c>
          <w:tcPr>
            <w:tcW w:w="915" w:type="pct"/>
            <w:tcBorders>
              <w:top w:val="dashed" w:sz="4" w:space="0" w:color="808080"/>
              <w:left w:val="nil"/>
              <w:bottom w:val="single" w:sz="4" w:space="0" w:color="auto"/>
              <w:right w:val="nil"/>
            </w:tcBorders>
            <w:vAlign w:val="center"/>
            <w:hideMark/>
          </w:tcPr>
          <w:p w14:paraId="1413068E"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vAlign w:val="center"/>
            <w:hideMark/>
          </w:tcPr>
          <w:p w14:paraId="38EF20F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vAlign w:val="center"/>
            <w:hideMark/>
          </w:tcPr>
          <w:p w14:paraId="48D0AA74"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598" w:type="pct"/>
            <w:tcBorders>
              <w:top w:val="dashed" w:sz="4" w:space="0" w:color="808080"/>
              <w:left w:val="nil"/>
              <w:bottom w:val="single" w:sz="4" w:space="0" w:color="auto"/>
              <w:right w:val="nil"/>
            </w:tcBorders>
            <w:vAlign w:val="center"/>
            <w:hideMark/>
          </w:tcPr>
          <w:p w14:paraId="0827EE4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22A87F00" w14:textId="77777777" w:rsidTr="004F0F84">
        <w:trPr>
          <w:trHeight w:hRule="exact" w:val="376"/>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333F68E9"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765ED6C5"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351CDA0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2EE3F1EA"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79C47585"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00DD758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4AF208B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4245446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6852E85D"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2F624737"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3A43A9F2"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4FA91A6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256649AB"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6024E8B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03003B7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3AF5807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774F5A2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0FC6BCB4"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50DB7FE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34B9BB7D"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5641FB90"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3C5CA9AA"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49E5BD3E"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0D99CF3D"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60B0173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5E77CB29"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545A6AD9" w14:textId="77777777" w:rsidR="004F0F84" w:rsidRPr="001E6E9D" w:rsidRDefault="004F0F84" w:rsidP="00DC7081">
      <w:pPr>
        <w:spacing w:after="160"/>
        <w:jc w:val="left"/>
        <w:rPr>
          <w:rFonts w:asciiTheme="minorHAnsi" w:eastAsia="Calibri" w:hAnsiTheme="minorHAnsi" w:cstheme="minorHAnsi"/>
          <w:sz w:val="22"/>
        </w:rPr>
      </w:pPr>
    </w:p>
    <w:p w14:paraId="2BC1E8C4" w14:textId="77777777" w:rsidR="004F0F84" w:rsidRPr="001E6E9D" w:rsidRDefault="004F0F84" w:rsidP="00DC7081">
      <w:pPr>
        <w:spacing w:after="160"/>
        <w:jc w:val="left"/>
        <w:rPr>
          <w:rFonts w:asciiTheme="minorHAnsi" w:eastAsia="Calibri" w:hAnsiTheme="minorHAnsi" w:cstheme="minorHAnsi"/>
          <w:sz w:val="22"/>
        </w:rPr>
      </w:pPr>
      <w:r w:rsidRPr="001E6E9D">
        <w:rPr>
          <w:rFonts w:asciiTheme="minorHAnsi" w:eastAsia="Calibri" w:hAnsiTheme="minorHAnsi" w:cstheme="minorHAnsi"/>
          <w:sz w:val="22"/>
        </w:rPr>
        <w:br w:type="page"/>
      </w:r>
    </w:p>
    <w:tbl>
      <w:tblPr>
        <w:tblW w:w="5012" w:type="pct"/>
        <w:tblCellMar>
          <w:top w:w="57" w:type="dxa"/>
          <w:bottom w:w="57" w:type="dxa"/>
        </w:tblCellMar>
        <w:tblLook w:val="04A0" w:firstRow="1" w:lastRow="0" w:firstColumn="1" w:lastColumn="0" w:noHBand="0" w:noVBand="1"/>
      </w:tblPr>
      <w:tblGrid>
        <w:gridCol w:w="2495"/>
        <w:gridCol w:w="2444"/>
        <w:gridCol w:w="2567"/>
        <w:gridCol w:w="2298"/>
        <w:gridCol w:w="36"/>
        <w:gridCol w:w="2497"/>
        <w:gridCol w:w="11"/>
        <w:gridCol w:w="1681"/>
      </w:tblGrid>
      <w:tr w:rsidR="004F0F84" w:rsidRPr="001E6E9D" w14:paraId="55F59C1C"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490B6A30"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lastRenderedPageBreak/>
              <w:t>CONTROLADORA / INVESTIDORA</w:t>
            </w:r>
          </w:p>
        </w:tc>
      </w:tr>
      <w:tr w:rsidR="004F0F84" w:rsidRPr="001E6E9D" w14:paraId="325CCAF9"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A72D4DC"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w:t>
            </w:r>
          </w:p>
        </w:tc>
      </w:tr>
      <w:tr w:rsidR="004F0F84" w:rsidRPr="001E6E9D" w14:paraId="3B35420C"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CE37E2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 acionista</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E6AC9BA"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Nacionalidade-UF</w:t>
            </w:r>
          </w:p>
        </w:tc>
        <w:tc>
          <w:tcPr>
            <w:tcW w:w="9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51C9A336"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Participa de acordo de acionistas</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F8722C3"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controlador</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3E4D6C01"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Última alteração</w:t>
            </w:r>
          </w:p>
        </w:tc>
      </w:tr>
      <w:tr w:rsidR="004F0F84" w:rsidRPr="001E6E9D" w14:paraId="745B43D8" w14:textId="77777777" w:rsidTr="004F0F84">
        <w:trPr>
          <w:trHeight w:val="20"/>
        </w:trPr>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05339E7B"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Acionista residente no exterior</w:t>
            </w:r>
          </w:p>
        </w:tc>
        <w:tc>
          <w:tcPr>
            <w:tcW w:w="178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853792D"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Nome do representante legal ou mandatário</w:t>
            </w:r>
          </w:p>
        </w:tc>
        <w:tc>
          <w:tcPr>
            <w:tcW w:w="8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55C786F" w14:textId="77777777" w:rsidR="004F0F84" w:rsidRPr="001E6E9D" w:rsidRDefault="004F0F84" w:rsidP="00DC7081">
            <w:pPr>
              <w:widowControl w:val="0"/>
              <w:spacing w:after="0"/>
              <w:jc w:val="lef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Tipo de pessoa</w:t>
            </w:r>
          </w:p>
        </w:tc>
        <w:tc>
          <w:tcPr>
            <w:tcW w:w="149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84FFEE"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CPF/CNPJ</w:t>
            </w:r>
          </w:p>
        </w:tc>
      </w:tr>
      <w:tr w:rsidR="004F0F84" w:rsidRPr="001E6E9D" w14:paraId="6FA8D9BF" w14:textId="77777777" w:rsidTr="004F0F84">
        <w:trPr>
          <w:trHeight w:val="20"/>
        </w:trPr>
        <w:tc>
          <w:tcPr>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6C46B55E"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Detalhamento de ações</w:t>
            </w:r>
          </w:p>
        </w:tc>
      </w:tr>
      <w:tr w:rsidR="004F0F84" w:rsidRPr="001E6E9D" w14:paraId="2751E4ED" w14:textId="77777777" w:rsidTr="004F0F84">
        <w:trPr>
          <w:trHeight w:val="20"/>
        </w:trPr>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3BB6654E"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ações ordinárias </w:t>
            </w:r>
          </w:p>
          <w:p w14:paraId="5F5930FC"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87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7BB9109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ordinárias %</w:t>
            </w:r>
          </w:p>
        </w:tc>
        <w:tc>
          <w:tcPr>
            <w:tcW w:w="9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hideMark/>
          </w:tcPr>
          <w:p w14:paraId="05BEFB14"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Qtde. ações preferenciais (Unidade)</w:t>
            </w:r>
          </w:p>
        </w:tc>
        <w:tc>
          <w:tcPr>
            <w:tcW w:w="832"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0AB2EFFB"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preferenciais %</w:t>
            </w:r>
          </w:p>
        </w:tc>
        <w:tc>
          <w:tcPr>
            <w:tcW w:w="89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cPr>
          <w:p w14:paraId="0DAD2F20"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 xml:space="preserve">Qtde. total de ações </w:t>
            </w:r>
          </w:p>
          <w:p w14:paraId="47F5A848"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(Unidade)</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36459AD6"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 ações %</w:t>
            </w:r>
          </w:p>
        </w:tc>
      </w:tr>
      <w:tr w:rsidR="004F0F84" w:rsidRPr="001E6E9D" w14:paraId="70E8AB61" w14:textId="77777777" w:rsidTr="004F0F84">
        <w:trPr>
          <w:trHeight w:val="20"/>
        </w:trPr>
        <w:tc>
          <w:tcPr>
            <w:tcW w:w="3494" w:type="pct"/>
            <w:gridSpan w:val="4"/>
            <w:tcBorders>
              <w:top w:val="single" w:sz="4" w:space="0" w:color="auto"/>
              <w:left w:val="nil"/>
              <w:bottom w:val="dashed" w:sz="4" w:space="0" w:color="808080"/>
              <w:right w:val="nil"/>
            </w:tcBorders>
            <w:vAlign w:val="center"/>
          </w:tcPr>
          <w:p w14:paraId="0BC82221" w14:textId="77777777" w:rsidR="004F0F84" w:rsidRPr="001E6E9D" w:rsidRDefault="004F0F84" w:rsidP="00DC7081">
            <w:pPr>
              <w:spacing w:before="60" w:after="60"/>
              <w:jc w:val="left"/>
              <w:rPr>
                <w:rFonts w:asciiTheme="minorHAnsi" w:eastAsia="Calibri" w:hAnsiTheme="minorHAnsi" w:cstheme="minorHAnsi"/>
                <w:b/>
                <w:bCs/>
                <w:sz w:val="16"/>
                <w:szCs w:val="20"/>
                <w:u w:val="single"/>
              </w:rPr>
            </w:pPr>
            <w:r w:rsidRPr="001E6E9D">
              <w:rPr>
                <w:rFonts w:asciiTheme="minorHAnsi" w:eastAsia="Calibri" w:hAnsiTheme="minorHAnsi" w:cstheme="minorHAnsi"/>
                <w:b/>
                <w:bCs/>
                <w:sz w:val="16"/>
                <w:szCs w:val="20"/>
                <w:u w:val="single"/>
              </w:rPr>
              <w:t>SPE Ubatuba</w:t>
            </w:r>
          </w:p>
        </w:tc>
        <w:tc>
          <w:tcPr>
            <w:tcW w:w="1506" w:type="pct"/>
            <w:gridSpan w:val="4"/>
            <w:tcBorders>
              <w:top w:val="single" w:sz="4" w:space="0" w:color="auto"/>
              <w:left w:val="nil"/>
              <w:bottom w:val="dashed" w:sz="4" w:space="0" w:color="808080"/>
              <w:right w:val="nil"/>
            </w:tcBorders>
          </w:tcPr>
          <w:p w14:paraId="17D21126"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p>
        </w:tc>
      </w:tr>
      <w:tr w:rsidR="004F0F84" w:rsidRPr="001E6E9D" w14:paraId="0A4B20DB" w14:textId="77777777" w:rsidTr="004F0F84">
        <w:trPr>
          <w:trHeight w:val="20"/>
        </w:trPr>
        <w:tc>
          <w:tcPr>
            <w:tcW w:w="5000" w:type="pct"/>
            <w:gridSpan w:val="8"/>
            <w:tcBorders>
              <w:top w:val="single" w:sz="4" w:space="0" w:color="auto"/>
              <w:left w:val="nil"/>
              <w:bottom w:val="dashed" w:sz="4" w:space="0" w:color="808080"/>
              <w:right w:val="nil"/>
            </w:tcBorders>
            <w:vAlign w:val="center"/>
            <w:hideMark/>
          </w:tcPr>
          <w:p w14:paraId="29039A81" w14:textId="77777777" w:rsidR="004F0F84" w:rsidRPr="001E6E9D" w:rsidRDefault="004F0F84" w:rsidP="00DC7081">
            <w:pPr>
              <w:spacing w:before="60" w:after="60"/>
              <w:jc w:val="left"/>
              <w:rPr>
                <w:rFonts w:asciiTheme="minorHAnsi" w:eastAsia="Calibri" w:hAnsiTheme="minorHAnsi" w:cstheme="minorHAnsi"/>
                <w:b/>
                <w:sz w:val="16"/>
                <w:szCs w:val="20"/>
              </w:rPr>
            </w:pPr>
            <w:r w:rsidRPr="001E6E9D">
              <w:rPr>
                <w:rFonts w:asciiTheme="minorHAnsi" w:eastAsia="Calibri" w:hAnsiTheme="minorHAnsi" w:cstheme="minorHAnsi"/>
                <w:b/>
                <w:sz w:val="16"/>
                <w:szCs w:val="20"/>
              </w:rPr>
              <w:t>Faro Energy Projetos Solares Holding IV S.A.</w:t>
            </w:r>
          </w:p>
        </w:tc>
      </w:tr>
      <w:tr w:rsidR="004F0F84" w:rsidRPr="001E6E9D" w14:paraId="1EB54A56" w14:textId="77777777" w:rsidTr="004F0F84">
        <w:trPr>
          <w:trHeight w:val="20"/>
        </w:trPr>
        <w:tc>
          <w:tcPr>
            <w:tcW w:w="889" w:type="pct"/>
            <w:tcBorders>
              <w:top w:val="dashed" w:sz="4" w:space="0" w:color="808080"/>
              <w:left w:val="nil"/>
              <w:bottom w:val="dashed" w:sz="4" w:space="0" w:color="808080"/>
              <w:right w:val="nil"/>
            </w:tcBorders>
            <w:vAlign w:val="center"/>
            <w:hideMark/>
          </w:tcPr>
          <w:p w14:paraId="7F382ACD" w14:textId="77777777" w:rsidR="004F0F84" w:rsidRPr="001E6E9D" w:rsidRDefault="004F0F84" w:rsidP="00DC7081">
            <w:pPr>
              <w:spacing w:before="60" w:after="60"/>
              <w:jc w:val="left"/>
              <w:rPr>
                <w:rFonts w:asciiTheme="minorHAnsi" w:eastAsia="Calibri" w:hAnsiTheme="minorHAnsi" w:cstheme="minorHAnsi"/>
                <w:sz w:val="16"/>
                <w:szCs w:val="20"/>
              </w:rPr>
            </w:pPr>
            <w:r w:rsidRPr="001E6E9D">
              <w:rPr>
                <w:rFonts w:asciiTheme="minorHAnsi" w:eastAsia="Calibri" w:hAnsiTheme="minorHAnsi" w:cstheme="minorHAnsi"/>
                <w:sz w:val="16"/>
                <w:szCs w:val="20"/>
              </w:rPr>
              <w:t>48.904.104/0001-57</w:t>
            </w:r>
          </w:p>
        </w:tc>
        <w:tc>
          <w:tcPr>
            <w:tcW w:w="871" w:type="pct"/>
            <w:tcBorders>
              <w:top w:val="dashed" w:sz="4" w:space="0" w:color="808080"/>
              <w:left w:val="nil"/>
              <w:bottom w:val="dashed" w:sz="4" w:space="0" w:color="808080"/>
              <w:right w:val="nil"/>
            </w:tcBorders>
            <w:hideMark/>
          </w:tcPr>
          <w:p w14:paraId="28CEF1FC"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Brasil</w:t>
            </w:r>
          </w:p>
        </w:tc>
        <w:tc>
          <w:tcPr>
            <w:tcW w:w="915" w:type="pct"/>
            <w:tcBorders>
              <w:top w:val="dashed" w:sz="4" w:space="0" w:color="808080"/>
              <w:left w:val="nil"/>
              <w:bottom w:val="dashed" w:sz="4" w:space="0" w:color="808080"/>
              <w:right w:val="nil"/>
            </w:tcBorders>
            <w:hideMark/>
          </w:tcPr>
          <w:p w14:paraId="26261F99"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24"/>
                <w:u w:color="000000"/>
                <w:lang w:eastAsia="pt-BR"/>
              </w:rPr>
              <w:t>Não</w:t>
            </w:r>
          </w:p>
        </w:tc>
        <w:tc>
          <w:tcPr>
            <w:tcW w:w="832" w:type="pct"/>
            <w:gridSpan w:val="2"/>
            <w:tcBorders>
              <w:top w:val="dashed" w:sz="4" w:space="0" w:color="808080"/>
              <w:left w:val="nil"/>
              <w:bottom w:val="dashed" w:sz="4" w:space="0" w:color="808080"/>
              <w:right w:val="nil"/>
            </w:tcBorders>
            <w:hideMark/>
          </w:tcPr>
          <w:p w14:paraId="1F96FC4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hideMark/>
          </w:tcPr>
          <w:p w14:paraId="7E585B58"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02/10/2024</w:t>
            </w:r>
          </w:p>
        </w:tc>
      </w:tr>
      <w:tr w:rsidR="004F0F84" w:rsidRPr="001E6E9D" w14:paraId="24FB91AC" w14:textId="77777777" w:rsidTr="004F0F84">
        <w:trPr>
          <w:trHeight w:val="20"/>
        </w:trPr>
        <w:tc>
          <w:tcPr>
            <w:tcW w:w="889" w:type="pct"/>
            <w:tcBorders>
              <w:top w:val="dashed" w:sz="4" w:space="0" w:color="808080"/>
              <w:left w:val="nil"/>
              <w:bottom w:val="dashed" w:sz="4" w:space="0" w:color="808080"/>
              <w:right w:val="nil"/>
            </w:tcBorders>
            <w:hideMark/>
          </w:tcPr>
          <w:p w14:paraId="2BF19963"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Não</w:t>
            </w:r>
          </w:p>
        </w:tc>
        <w:tc>
          <w:tcPr>
            <w:tcW w:w="1786" w:type="pct"/>
            <w:gridSpan w:val="2"/>
            <w:tcBorders>
              <w:top w:val="dashed" w:sz="4" w:space="0" w:color="808080"/>
              <w:left w:val="nil"/>
              <w:bottom w:val="dashed" w:sz="4" w:space="0" w:color="808080"/>
              <w:right w:val="nil"/>
            </w:tcBorders>
          </w:tcPr>
          <w:p w14:paraId="6E964421"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832" w:type="pct"/>
            <w:gridSpan w:val="2"/>
            <w:tcBorders>
              <w:top w:val="dashed" w:sz="4" w:space="0" w:color="808080"/>
              <w:left w:val="nil"/>
              <w:bottom w:val="dashed" w:sz="4" w:space="0" w:color="808080"/>
              <w:right w:val="nil"/>
            </w:tcBorders>
          </w:tcPr>
          <w:p w14:paraId="15C085AD"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c>
          <w:tcPr>
            <w:tcW w:w="1493" w:type="pct"/>
            <w:gridSpan w:val="3"/>
            <w:tcBorders>
              <w:top w:val="dashed" w:sz="4" w:space="0" w:color="808080"/>
              <w:left w:val="nil"/>
              <w:bottom w:val="dashed" w:sz="4" w:space="0" w:color="808080"/>
              <w:right w:val="nil"/>
            </w:tcBorders>
          </w:tcPr>
          <w:p w14:paraId="15D4EFAE" w14:textId="77777777" w:rsidR="004F0F84" w:rsidRPr="001E6E9D" w:rsidRDefault="004F0F84" w:rsidP="00DC7081">
            <w:pPr>
              <w:widowControl w:val="0"/>
              <w:spacing w:after="0"/>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w:t>
            </w:r>
          </w:p>
        </w:tc>
      </w:tr>
      <w:tr w:rsidR="004F0F84" w:rsidRPr="001E6E9D" w14:paraId="2F73D213" w14:textId="77777777" w:rsidTr="004F0F84">
        <w:trPr>
          <w:trHeight w:val="20"/>
        </w:trPr>
        <w:tc>
          <w:tcPr>
            <w:tcW w:w="889" w:type="pct"/>
            <w:tcBorders>
              <w:top w:val="dashed" w:sz="4" w:space="0" w:color="808080"/>
              <w:left w:val="nil"/>
              <w:bottom w:val="single" w:sz="4" w:space="0" w:color="auto"/>
              <w:right w:val="nil"/>
            </w:tcBorders>
            <w:vAlign w:val="center"/>
            <w:hideMark/>
          </w:tcPr>
          <w:p w14:paraId="62103472"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871" w:type="pct"/>
            <w:tcBorders>
              <w:top w:val="dashed" w:sz="4" w:space="0" w:color="808080"/>
              <w:left w:val="nil"/>
              <w:bottom w:val="single" w:sz="4" w:space="0" w:color="auto"/>
              <w:right w:val="nil"/>
            </w:tcBorders>
            <w:vAlign w:val="center"/>
            <w:hideMark/>
          </w:tcPr>
          <w:p w14:paraId="22B8E5C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c>
          <w:tcPr>
            <w:tcW w:w="915" w:type="pct"/>
            <w:tcBorders>
              <w:top w:val="dashed" w:sz="4" w:space="0" w:color="808080"/>
              <w:left w:val="nil"/>
              <w:bottom w:val="single" w:sz="4" w:space="0" w:color="auto"/>
              <w:right w:val="nil"/>
            </w:tcBorders>
            <w:vAlign w:val="center"/>
            <w:hideMark/>
          </w:tcPr>
          <w:p w14:paraId="2A53365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vAlign w:val="center"/>
            <w:hideMark/>
          </w:tcPr>
          <w:p w14:paraId="555892E7"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4" w:type="pct"/>
            <w:gridSpan w:val="2"/>
            <w:tcBorders>
              <w:top w:val="dashed" w:sz="4" w:space="0" w:color="808080"/>
              <w:left w:val="nil"/>
              <w:bottom w:val="single" w:sz="4" w:space="0" w:color="auto"/>
              <w:right w:val="nil"/>
            </w:tcBorders>
            <w:vAlign w:val="center"/>
            <w:hideMark/>
          </w:tcPr>
          <w:p w14:paraId="420885F4" w14:textId="77777777" w:rsidR="004F0F84" w:rsidRPr="001E6E9D" w:rsidRDefault="004F0F84" w:rsidP="00DC7081">
            <w:pPr>
              <w:spacing w:before="60" w:after="60"/>
              <w:jc w:val="right"/>
              <w:rPr>
                <w:rFonts w:asciiTheme="minorHAnsi" w:eastAsia="Calibri" w:hAnsiTheme="minorHAnsi" w:cstheme="minorHAnsi"/>
                <w:sz w:val="16"/>
                <w:szCs w:val="20"/>
              </w:rPr>
            </w:pPr>
            <w:r w:rsidRPr="001E6E9D">
              <w:rPr>
                <w:rFonts w:asciiTheme="minorHAnsi" w:eastAsia="Calibri" w:hAnsiTheme="minorHAnsi" w:cstheme="minorHAnsi"/>
                <w:sz w:val="16"/>
                <w:szCs w:val="20"/>
              </w:rPr>
              <w:t>999</w:t>
            </w:r>
          </w:p>
        </w:tc>
        <w:tc>
          <w:tcPr>
            <w:tcW w:w="598" w:type="pct"/>
            <w:tcBorders>
              <w:top w:val="dashed" w:sz="4" w:space="0" w:color="808080"/>
              <w:left w:val="nil"/>
              <w:bottom w:val="single" w:sz="4" w:space="0" w:color="auto"/>
              <w:right w:val="nil"/>
            </w:tcBorders>
            <w:vAlign w:val="center"/>
            <w:hideMark/>
          </w:tcPr>
          <w:p w14:paraId="5C07B9E8"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6"/>
                <w:szCs w:val="20"/>
                <w:u w:color="000000"/>
                <w:lang w:eastAsia="pt-BR"/>
              </w:rPr>
              <w:t>99,9</w:t>
            </w:r>
            <w:r w:rsidRPr="001E6E9D">
              <w:rPr>
                <w:rFonts w:asciiTheme="minorHAnsi" w:eastAsia="Times New Roman" w:hAnsiTheme="minorHAnsi" w:cstheme="minorHAnsi"/>
                <w:sz w:val="14"/>
                <w:szCs w:val="14"/>
                <w:u w:color="000000"/>
                <w:lang w:eastAsia="pt-BR"/>
              </w:rPr>
              <w:t>%</w:t>
            </w:r>
          </w:p>
        </w:tc>
      </w:tr>
      <w:tr w:rsidR="004F0F84" w:rsidRPr="001E6E9D" w14:paraId="31EA68BF" w14:textId="77777777" w:rsidTr="004F0F84">
        <w:trPr>
          <w:trHeight w:hRule="exact" w:val="376"/>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094EDFBF" w14:textId="77777777" w:rsidR="004F0F84" w:rsidRPr="001E6E9D" w:rsidRDefault="004F0F84" w:rsidP="00DC7081">
            <w:pPr>
              <w:widowControl w:val="0"/>
              <w:spacing w:after="0"/>
              <w:jc w:val="right"/>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AÇÕES EM TESOURARIA</w:t>
            </w:r>
          </w:p>
        </w:tc>
      </w:tr>
      <w:tr w:rsidR="004F0F84" w:rsidRPr="001E6E9D" w14:paraId="7996A427"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08C1305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76695CD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431B8404"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11A4541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683B9B0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51B721C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r>
      <w:tr w:rsidR="004F0F84" w:rsidRPr="001E6E9D" w14:paraId="4821C177" w14:textId="77777777" w:rsidTr="004F0F84">
        <w:trPr>
          <w:trHeight w:val="20"/>
        </w:trPr>
        <w:tc>
          <w:tcPr>
            <w:tcW w:w="5000" w:type="pct"/>
            <w:gridSpan w:val="8"/>
            <w:tcBorders>
              <w:top w:val="single" w:sz="4" w:space="0" w:color="auto"/>
              <w:left w:val="nil"/>
              <w:bottom w:val="dashed" w:sz="4" w:space="0" w:color="808080"/>
              <w:right w:val="nil"/>
            </w:tcBorders>
            <w:shd w:val="clear" w:color="auto" w:fill="F2F2F2" w:themeFill="background1" w:themeFillShade="F2"/>
            <w:hideMark/>
          </w:tcPr>
          <w:p w14:paraId="23247178"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OUTROS</w:t>
            </w:r>
          </w:p>
        </w:tc>
      </w:tr>
      <w:tr w:rsidR="004F0F84" w:rsidRPr="001E6E9D" w14:paraId="3526CB59" w14:textId="77777777" w:rsidTr="004F0F84">
        <w:trPr>
          <w:trHeight w:val="20"/>
        </w:trPr>
        <w:tc>
          <w:tcPr>
            <w:tcW w:w="889" w:type="pct"/>
            <w:tcBorders>
              <w:top w:val="dashed" w:sz="4" w:space="0" w:color="808080"/>
              <w:left w:val="nil"/>
              <w:bottom w:val="single" w:sz="4" w:space="0" w:color="auto"/>
              <w:right w:val="nil"/>
            </w:tcBorders>
            <w:shd w:val="clear" w:color="auto" w:fill="F2F2F2" w:themeFill="background1" w:themeFillShade="F2"/>
            <w:hideMark/>
          </w:tcPr>
          <w:p w14:paraId="5207C6E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1</w:t>
            </w:r>
          </w:p>
        </w:tc>
        <w:tc>
          <w:tcPr>
            <w:tcW w:w="871" w:type="pct"/>
            <w:tcBorders>
              <w:top w:val="dashed" w:sz="4" w:space="0" w:color="808080"/>
              <w:left w:val="nil"/>
              <w:bottom w:val="single" w:sz="4" w:space="0" w:color="auto"/>
              <w:right w:val="nil"/>
            </w:tcBorders>
            <w:shd w:val="clear" w:color="auto" w:fill="F2F2F2" w:themeFill="background1" w:themeFillShade="F2"/>
            <w:hideMark/>
          </w:tcPr>
          <w:p w14:paraId="0F664923"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915" w:type="pct"/>
            <w:tcBorders>
              <w:top w:val="dashed" w:sz="4" w:space="0" w:color="808080"/>
              <w:left w:val="nil"/>
              <w:bottom w:val="single" w:sz="4" w:space="0" w:color="auto"/>
              <w:right w:val="nil"/>
            </w:tcBorders>
            <w:shd w:val="clear" w:color="auto" w:fill="F2F2F2" w:themeFill="background1" w:themeFillShade="F2"/>
            <w:hideMark/>
          </w:tcPr>
          <w:p w14:paraId="6210868D"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F2F2F2" w:themeFill="background1" w:themeFillShade="F2"/>
            <w:hideMark/>
          </w:tcPr>
          <w:p w14:paraId="2F06A9F6"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F2F2F2" w:themeFill="background1" w:themeFillShade="F2"/>
            <w:hideMark/>
          </w:tcPr>
          <w:p w14:paraId="2DB31AEF"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w:t>
            </w:r>
          </w:p>
        </w:tc>
        <w:tc>
          <w:tcPr>
            <w:tcW w:w="603" w:type="pct"/>
            <w:gridSpan w:val="2"/>
            <w:tcBorders>
              <w:top w:val="dashed" w:sz="4" w:space="0" w:color="808080"/>
              <w:left w:val="nil"/>
              <w:bottom w:val="single" w:sz="4" w:space="0" w:color="auto"/>
              <w:right w:val="nil"/>
            </w:tcBorders>
            <w:shd w:val="clear" w:color="auto" w:fill="F2F2F2" w:themeFill="background1" w:themeFillShade="F2"/>
            <w:hideMark/>
          </w:tcPr>
          <w:p w14:paraId="4B1D1120" w14:textId="77777777" w:rsidR="004F0F84" w:rsidRPr="001E6E9D" w:rsidRDefault="004F0F84" w:rsidP="00DC7081">
            <w:pPr>
              <w:widowControl w:val="0"/>
              <w:spacing w:after="0"/>
              <w:jc w:val="right"/>
              <w:rPr>
                <w:rFonts w:asciiTheme="minorHAnsi" w:eastAsia="Times New Roman" w:hAnsiTheme="minorHAnsi" w:cstheme="minorHAnsi"/>
                <w:sz w:val="14"/>
                <w:szCs w:val="14"/>
                <w:u w:color="000000"/>
                <w:lang w:eastAsia="pt-BR"/>
              </w:rPr>
            </w:pPr>
            <w:r w:rsidRPr="001E6E9D">
              <w:rPr>
                <w:rFonts w:asciiTheme="minorHAnsi" w:eastAsia="Times New Roman" w:hAnsiTheme="minorHAnsi" w:cstheme="minorHAnsi"/>
                <w:sz w:val="14"/>
                <w:szCs w:val="14"/>
                <w:u w:color="000000"/>
                <w:lang w:eastAsia="pt-BR"/>
              </w:rPr>
              <w:t>0,1%</w:t>
            </w:r>
          </w:p>
        </w:tc>
      </w:tr>
      <w:tr w:rsidR="004F0F84" w:rsidRPr="001E6E9D" w14:paraId="28595BB2" w14:textId="77777777" w:rsidTr="004F0F84">
        <w:trPr>
          <w:trHeight w:val="20"/>
        </w:trPr>
        <w:tc>
          <w:tcPr>
            <w:tcW w:w="5000" w:type="pct"/>
            <w:gridSpan w:val="8"/>
            <w:tcBorders>
              <w:top w:val="single" w:sz="4" w:space="0" w:color="auto"/>
              <w:left w:val="nil"/>
              <w:bottom w:val="dashed" w:sz="4" w:space="0" w:color="808080"/>
              <w:right w:val="nil"/>
            </w:tcBorders>
            <w:shd w:val="clear" w:color="auto" w:fill="BFBFBF" w:themeFill="background1" w:themeFillShade="BF"/>
            <w:hideMark/>
          </w:tcPr>
          <w:p w14:paraId="2C53DD31" w14:textId="77777777" w:rsidR="004F0F84" w:rsidRPr="001E6E9D" w:rsidRDefault="004F0F84" w:rsidP="00DC7081">
            <w:pPr>
              <w:widowControl w:val="0"/>
              <w:spacing w:after="0"/>
              <w:rPr>
                <w:rFonts w:asciiTheme="minorHAnsi" w:eastAsia="Times New Roman" w:hAnsiTheme="minorHAnsi" w:cstheme="minorHAnsi"/>
                <w:b/>
                <w:sz w:val="14"/>
                <w:szCs w:val="14"/>
                <w:u w:color="000000"/>
                <w:lang w:eastAsia="pt-BR"/>
              </w:rPr>
            </w:pPr>
            <w:r w:rsidRPr="001E6E9D">
              <w:rPr>
                <w:rFonts w:asciiTheme="minorHAnsi" w:eastAsia="Times New Roman" w:hAnsiTheme="minorHAnsi" w:cstheme="minorHAnsi"/>
                <w:b/>
                <w:sz w:val="14"/>
                <w:szCs w:val="14"/>
                <w:u w:color="000000"/>
                <w:lang w:eastAsia="pt-BR"/>
              </w:rPr>
              <w:t>TOTAL</w:t>
            </w:r>
          </w:p>
        </w:tc>
      </w:tr>
      <w:tr w:rsidR="004F0F84" w:rsidRPr="001E6E9D" w14:paraId="2062B367" w14:textId="77777777" w:rsidTr="004F0F84">
        <w:trPr>
          <w:trHeight w:val="20"/>
        </w:trPr>
        <w:tc>
          <w:tcPr>
            <w:tcW w:w="889" w:type="pct"/>
            <w:tcBorders>
              <w:top w:val="dashed" w:sz="4" w:space="0" w:color="808080"/>
              <w:left w:val="nil"/>
              <w:bottom w:val="single" w:sz="4" w:space="0" w:color="auto"/>
              <w:right w:val="nil"/>
            </w:tcBorders>
            <w:shd w:val="clear" w:color="auto" w:fill="BFBFBF" w:themeFill="background1" w:themeFillShade="BF"/>
            <w:hideMark/>
          </w:tcPr>
          <w:p w14:paraId="071F8CAA"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871" w:type="pct"/>
            <w:tcBorders>
              <w:top w:val="dashed" w:sz="4" w:space="0" w:color="808080"/>
              <w:left w:val="nil"/>
              <w:bottom w:val="single" w:sz="4" w:space="0" w:color="auto"/>
              <w:right w:val="nil"/>
            </w:tcBorders>
            <w:shd w:val="clear" w:color="auto" w:fill="BFBFBF" w:themeFill="background1" w:themeFillShade="BF"/>
            <w:hideMark/>
          </w:tcPr>
          <w:p w14:paraId="606416CB"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c>
          <w:tcPr>
            <w:tcW w:w="915" w:type="pct"/>
            <w:tcBorders>
              <w:top w:val="dashed" w:sz="4" w:space="0" w:color="808080"/>
              <w:left w:val="nil"/>
              <w:bottom w:val="single" w:sz="4" w:space="0" w:color="auto"/>
              <w:right w:val="nil"/>
            </w:tcBorders>
            <w:shd w:val="clear" w:color="auto" w:fill="BFBFBF" w:themeFill="background1" w:themeFillShade="BF"/>
            <w:hideMark/>
          </w:tcPr>
          <w:p w14:paraId="7ACB5D0F"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w:t>
            </w:r>
          </w:p>
        </w:tc>
        <w:tc>
          <w:tcPr>
            <w:tcW w:w="832" w:type="pct"/>
            <w:gridSpan w:val="2"/>
            <w:tcBorders>
              <w:top w:val="dashed" w:sz="4" w:space="0" w:color="808080"/>
              <w:left w:val="nil"/>
              <w:bottom w:val="single" w:sz="4" w:space="0" w:color="auto"/>
              <w:right w:val="nil"/>
            </w:tcBorders>
            <w:shd w:val="clear" w:color="auto" w:fill="BFBFBF" w:themeFill="background1" w:themeFillShade="BF"/>
            <w:hideMark/>
          </w:tcPr>
          <w:p w14:paraId="66BDF731"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bCs/>
                <w:sz w:val="14"/>
                <w:szCs w:val="14"/>
                <w:u w:color="000000"/>
                <w:lang w:eastAsia="pt-BR"/>
              </w:rPr>
              <w:t>0,000%</w:t>
            </w:r>
          </w:p>
        </w:tc>
        <w:tc>
          <w:tcPr>
            <w:tcW w:w="890" w:type="pct"/>
            <w:tcBorders>
              <w:top w:val="dashed" w:sz="4" w:space="0" w:color="808080"/>
              <w:left w:val="nil"/>
              <w:bottom w:val="single" w:sz="4" w:space="0" w:color="auto"/>
              <w:right w:val="nil"/>
            </w:tcBorders>
            <w:shd w:val="clear" w:color="auto" w:fill="BFBFBF" w:themeFill="background1" w:themeFillShade="BF"/>
            <w:hideMark/>
          </w:tcPr>
          <w:p w14:paraId="20C0FEA0"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1.000</w:t>
            </w:r>
          </w:p>
        </w:tc>
        <w:tc>
          <w:tcPr>
            <w:tcW w:w="603" w:type="pct"/>
            <w:gridSpan w:val="2"/>
            <w:tcBorders>
              <w:top w:val="dashed" w:sz="4" w:space="0" w:color="808080"/>
              <w:left w:val="nil"/>
              <w:bottom w:val="single" w:sz="4" w:space="0" w:color="auto"/>
              <w:right w:val="nil"/>
            </w:tcBorders>
            <w:shd w:val="clear" w:color="auto" w:fill="BFBFBF" w:themeFill="background1" w:themeFillShade="BF"/>
            <w:hideMark/>
          </w:tcPr>
          <w:p w14:paraId="26F50237" w14:textId="77777777" w:rsidR="004F0F84" w:rsidRPr="001E6E9D" w:rsidRDefault="004F0F84" w:rsidP="00DC7081">
            <w:pPr>
              <w:widowControl w:val="0"/>
              <w:spacing w:after="0"/>
              <w:jc w:val="right"/>
              <w:rPr>
                <w:rFonts w:asciiTheme="minorHAnsi" w:eastAsia="Times New Roman" w:hAnsiTheme="minorHAnsi" w:cstheme="minorHAnsi"/>
                <w:b/>
                <w:bCs/>
                <w:sz w:val="14"/>
                <w:szCs w:val="14"/>
                <w:u w:color="000000"/>
                <w:lang w:eastAsia="pt-BR"/>
              </w:rPr>
            </w:pPr>
            <w:r w:rsidRPr="001E6E9D">
              <w:rPr>
                <w:rFonts w:asciiTheme="minorHAnsi" w:eastAsia="Times New Roman" w:hAnsiTheme="minorHAnsi" w:cstheme="minorHAnsi"/>
                <w:b/>
                <w:sz w:val="16"/>
                <w:szCs w:val="20"/>
                <w:u w:color="000000"/>
                <w:lang w:eastAsia="pt-BR"/>
              </w:rPr>
              <w:t>100</w:t>
            </w:r>
            <w:r w:rsidRPr="001E6E9D">
              <w:rPr>
                <w:rFonts w:asciiTheme="minorHAnsi" w:eastAsia="Times New Roman" w:hAnsiTheme="minorHAnsi" w:cstheme="minorHAnsi"/>
                <w:b/>
                <w:bCs/>
                <w:sz w:val="14"/>
                <w:szCs w:val="14"/>
                <w:u w:color="000000"/>
                <w:lang w:eastAsia="pt-BR"/>
              </w:rPr>
              <w:t>%</w:t>
            </w:r>
          </w:p>
        </w:tc>
      </w:tr>
    </w:tbl>
    <w:p w14:paraId="6445CAF7" w14:textId="77777777" w:rsidR="004F0F84" w:rsidRPr="001E6E9D" w:rsidRDefault="004F0F84" w:rsidP="00DC7081">
      <w:pPr>
        <w:spacing w:after="160"/>
        <w:jc w:val="left"/>
        <w:rPr>
          <w:rFonts w:asciiTheme="minorHAnsi" w:eastAsia="Calibri" w:hAnsiTheme="minorHAnsi" w:cstheme="minorHAnsi"/>
          <w:sz w:val="22"/>
        </w:rPr>
        <w:sectPr w:rsidR="004F0F84" w:rsidRPr="001E6E9D" w:rsidSect="00041F93">
          <w:headerReference w:type="default" r:id="rId25"/>
          <w:pgSz w:w="16840" w:h="11906" w:orient="landscape" w:code="9"/>
          <w:pgMar w:top="851" w:right="567" w:bottom="851" w:left="2268" w:header="0" w:footer="284" w:gutter="0"/>
          <w:cols w:space="708"/>
          <w:docGrid w:linePitch="360"/>
        </w:sectPr>
      </w:pPr>
    </w:p>
    <w:p w14:paraId="18009029" w14:textId="77777777" w:rsidR="00C879FE" w:rsidRPr="001E6E9D" w:rsidRDefault="00C879FE" w:rsidP="00DC7081">
      <w:pPr>
        <w:pStyle w:val="Ttulo4"/>
        <w:keepNext/>
        <w:spacing w:before="200"/>
        <w:rPr>
          <w:rFonts w:asciiTheme="minorHAnsi" w:hAnsiTheme="minorHAnsi"/>
          <w:i w:val="0"/>
        </w:rPr>
      </w:pPr>
      <w:r w:rsidRPr="001E6E9D">
        <w:rPr>
          <w:rFonts w:asciiTheme="minorHAnsi" w:hAnsiTheme="minorHAnsi"/>
          <w:i w:val="0"/>
        </w:rPr>
        <w:lastRenderedPageBreak/>
        <w:t>10.2.6. Principais características dos órgãos de administração e do conselho fiscal das garantidoras.</w:t>
      </w:r>
    </w:p>
    <w:p w14:paraId="68A727EB" w14:textId="77777777" w:rsidR="00C879FE" w:rsidRPr="001E6E9D" w:rsidRDefault="00C879FE" w:rsidP="00DC7081">
      <w:pPr>
        <w:tabs>
          <w:tab w:val="left" w:pos="709"/>
        </w:tabs>
        <w:rPr>
          <w:rFonts w:asciiTheme="minorHAnsi" w:eastAsia="Times New Roman" w:hAnsiTheme="minorHAnsi" w:cstheme="minorHAnsi"/>
          <w:b/>
          <w:bCs/>
          <w:szCs w:val="20"/>
          <w:lang w:eastAsia="pt-BR"/>
        </w:rPr>
      </w:pPr>
      <w:r w:rsidRPr="001E6E9D">
        <w:rPr>
          <w:rFonts w:asciiTheme="minorHAnsi" w:eastAsia="Times New Roman" w:hAnsiTheme="minorHAnsi" w:cstheme="minorHAnsi"/>
          <w:b/>
          <w:szCs w:val="20"/>
          <w:lang w:eastAsia="pt-BR"/>
        </w:rPr>
        <w:t>(i) Principais</w:t>
      </w:r>
      <w:r w:rsidRPr="001E6E9D">
        <w:rPr>
          <w:rFonts w:asciiTheme="minorHAnsi" w:eastAsia="Times New Roman" w:hAnsiTheme="minorHAnsi" w:cstheme="minorHAnsi"/>
          <w:b/>
          <w:bCs/>
          <w:szCs w:val="20"/>
          <w:lang w:eastAsia="pt-BR"/>
        </w:rPr>
        <w:t xml:space="preserve"> características das políticas de indicação e preenchimento de cargos, se houver, e, caso as Garantidoras a divulguem, locais na rede mundial de computadores em que o documento pode ser consultado.</w:t>
      </w:r>
    </w:p>
    <w:p w14:paraId="6FB356F5" w14:textId="77777777" w:rsidR="00C879FE" w:rsidRPr="001E6E9D" w:rsidRDefault="00C879FE" w:rsidP="00DC7081">
      <w:pPr>
        <w:tabs>
          <w:tab w:val="left" w:pos="709"/>
        </w:tabs>
        <w:rPr>
          <w:rFonts w:asciiTheme="minorHAnsi" w:hAnsiTheme="minorHAnsi" w:cstheme="minorHAnsi"/>
          <w:szCs w:val="20"/>
        </w:rPr>
      </w:pPr>
      <w:r w:rsidRPr="001E6E9D">
        <w:rPr>
          <w:rFonts w:asciiTheme="minorHAnsi" w:hAnsiTheme="minorHAnsi" w:cstheme="minorHAnsi"/>
          <w:szCs w:val="20"/>
        </w:rPr>
        <w:t xml:space="preserve">Não aplicável, pois os garantidores não possuem política de indicação e preenchimento de cargos. </w:t>
      </w:r>
    </w:p>
    <w:p w14:paraId="1F7E5C51" w14:textId="77777777" w:rsidR="00C879FE" w:rsidRPr="001E6E9D" w:rsidRDefault="00C879FE" w:rsidP="00DC7081">
      <w:pPr>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(ii) Se há mecanismos de avaliação de desempenho, informando, em caso positivo: (a) periodicidade das avaliações e sua abrangência; (b) metodologia adotada e os principais critérios utilizados nas avaliações; e (c) se foram contratados serviços de consultoria ou assessoria externos.</w:t>
      </w:r>
    </w:p>
    <w:p w14:paraId="4DA850EA" w14:textId="77777777" w:rsidR="00C879FE" w:rsidRPr="001E6E9D" w:rsidRDefault="00C879FE" w:rsidP="00DC7081">
      <w:pPr>
        <w:rPr>
          <w:rFonts w:asciiTheme="minorHAnsi" w:hAnsiTheme="minorHAnsi" w:cstheme="minorHAnsi"/>
          <w:szCs w:val="20"/>
        </w:rPr>
      </w:pPr>
      <w:r w:rsidRPr="001E6E9D">
        <w:rPr>
          <w:rFonts w:asciiTheme="minorHAnsi" w:hAnsiTheme="minorHAnsi" w:cstheme="minorHAnsi"/>
          <w:szCs w:val="20"/>
        </w:rPr>
        <w:t>Não aplicável, pois os garantidores não possuem mecanismos de avaliação de desempenho</w:t>
      </w:r>
    </w:p>
    <w:p w14:paraId="4D34F168" w14:textId="77777777" w:rsidR="00C879FE" w:rsidRPr="001E6E9D" w:rsidRDefault="00C879FE" w:rsidP="00DC7081">
      <w:pPr>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(iii) Regras de identificação e administração de conflito de interesses.</w:t>
      </w:r>
    </w:p>
    <w:p w14:paraId="031DF8CE" w14:textId="77777777" w:rsidR="00C879FE" w:rsidRPr="001E6E9D" w:rsidRDefault="00C879FE" w:rsidP="00DC7081">
      <w:pPr>
        <w:rPr>
          <w:rFonts w:asciiTheme="minorHAnsi" w:hAnsiTheme="minorHAnsi" w:cstheme="minorHAnsi"/>
          <w:szCs w:val="20"/>
        </w:rPr>
      </w:pPr>
      <w:r w:rsidRPr="001E6E9D">
        <w:rPr>
          <w:rFonts w:asciiTheme="minorHAnsi" w:hAnsiTheme="minorHAnsi" w:cstheme="minorHAnsi"/>
          <w:szCs w:val="20"/>
        </w:rPr>
        <w:t>Não aplicável, pois os garantidores não possuem regras de identificação e administração de conflito de interesses.</w:t>
      </w:r>
    </w:p>
    <w:p w14:paraId="097B304C" w14:textId="77777777" w:rsidR="00C879FE" w:rsidRPr="001E6E9D" w:rsidRDefault="00C879FE" w:rsidP="00DC7081">
      <w:pPr>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(iv) Composição por órgão.</w:t>
      </w:r>
    </w:p>
    <w:p w14:paraId="55F87F5E" w14:textId="3E980BA6" w:rsidR="00C879FE" w:rsidRPr="001E6E9D" w:rsidRDefault="00065DBC" w:rsidP="00DC7081">
      <w:pPr>
        <w:ind w:left="1080" w:hanging="1080"/>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(a)</w:t>
      </w:r>
      <w:r w:rsidR="001F7A69" w:rsidRPr="001E6E9D">
        <w:rPr>
          <w:rFonts w:asciiTheme="minorHAnsi" w:eastAsia="Times New Roman" w:hAnsiTheme="minorHAnsi" w:cstheme="minorHAnsi"/>
          <w:b/>
          <w:bCs/>
          <w:szCs w:val="20"/>
          <w:lang w:eastAsia="pt-BR"/>
        </w:rPr>
        <w:t xml:space="preserve"> </w:t>
      </w:r>
      <w:r w:rsidR="00C879FE" w:rsidRPr="001E6E9D">
        <w:rPr>
          <w:rFonts w:asciiTheme="minorHAnsi" w:eastAsia="Times New Roman" w:hAnsiTheme="minorHAnsi" w:cstheme="minorHAnsi"/>
          <w:b/>
          <w:bCs/>
          <w:szCs w:val="20"/>
          <w:lang w:eastAsia="pt-BR"/>
        </w:rPr>
        <w:t>Quantidade de membros por declaração de gênero</w:t>
      </w:r>
    </w:p>
    <w:p w14:paraId="2AC74069" w14:textId="77777777" w:rsidR="00C879FE" w:rsidRPr="001E6E9D" w:rsidRDefault="00C879FE"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u w:val="single"/>
          <w:lang w:eastAsia="pt-BR"/>
        </w:rPr>
        <w:t>FED e SPEs</w:t>
      </w:r>
      <w:r w:rsidRPr="001E6E9D">
        <w:rPr>
          <w:rFonts w:asciiTheme="minorHAnsi" w:eastAsia="Times New Roman" w:hAnsiTheme="minorHAnsi" w:cstheme="minorHAnsi"/>
          <w:szCs w:val="20"/>
          <w:lang w:eastAsia="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70" w:type="dxa"/>
          <w:bottom w:w="40" w:type="dxa"/>
          <w:right w:w="70" w:type="dxa"/>
        </w:tblCellMar>
        <w:tblLook w:val="04A0" w:firstRow="1" w:lastRow="0" w:firstColumn="1" w:lastColumn="0" w:noHBand="0" w:noVBand="1"/>
      </w:tblPr>
      <w:tblGrid>
        <w:gridCol w:w="2055"/>
        <w:gridCol w:w="1013"/>
        <w:gridCol w:w="1129"/>
        <w:gridCol w:w="1129"/>
        <w:gridCol w:w="1243"/>
        <w:gridCol w:w="1129"/>
        <w:gridCol w:w="1363"/>
      </w:tblGrid>
      <w:tr w:rsidR="00C879FE" w:rsidRPr="001E6E9D" w14:paraId="219DCAA8" w14:textId="77777777" w:rsidTr="00702698">
        <w:tc>
          <w:tcPr>
            <w:tcW w:w="5000" w:type="pct"/>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8FECA25" w14:textId="77777777" w:rsidR="00C879FE" w:rsidRPr="001E6E9D" w:rsidRDefault="00C879FE" w:rsidP="00DC7081">
            <w:pPr>
              <w:pStyle w:val="Texto-Corpo"/>
              <w:spacing w:before="60" w:after="60" w:line="240" w:lineRule="auto"/>
              <w:jc w:val="center"/>
              <w:rPr>
                <w:rFonts w:asciiTheme="minorHAnsi" w:hAnsiTheme="minorHAnsi" w:cstheme="minorHAnsi"/>
                <w:b/>
                <w:bCs/>
                <w:sz w:val="16"/>
                <w:szCs w:val="20"/>
              </w:rPr>
            </w:pPr>
            <w:r w:rsidRPr="001E6E9D">
              <w:rPr>
                <w:rFonts w:asciiTheme="minorHAnsi" w:hAnsiTheme="minorHAnsi" w:cstheme="minorHAnsi"/>
                <w:b/>
                <w:bCs/>
                <w:sz w:val="16"/>
                <w:szCs w:val="20"/>
              </w:rPr>
              <w:t>Identidade autodeclarada de gênero</w:t>
            </w:r>
          </w:p>
        </w:tc>
      </w:tr>
      <w:tr w:rsidR="00C879FE" w:rsidRPr="001E6E9D" w14:paraId="7AC63D9B" w14:textId="77777777" w:rsidTr="00702698">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744102" w14:textId="77777777" w:rsidR="00C879FE" w:rsidRPr="001E6E9D" w:rsidRDefault="00C879FE" w:rsidP="00DC7081">
            <w:pPr>
              <w:pStyle w:val="Texto-Corpo"/>
              <w:spacing w:before="60" w:after="60" w:line="240" w:lineRule="auto"/>
              <w:rPr>
                <w:rFonts w:asciiTheme="minorHAnsi" w:hAnsiTheme="minorHAnsi" w:cstheme="minorHAnsi"/>
                <w:sz w:val="16"/>
                <w:szCs w:val="20"/>
              </w:rPr>
            </w:pPr>
          </w:p>
        </w:tc>
        <w:tc>
          <w:tcPr>
            <w:tcW w:w="5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7" w:type="dxa"/>
              <w:bottom w:w="57" w:type="dxa"/>
            </w:tcMar>
            <w:vAlign w:val="center"/>
            <w:hideMark/>
          </w:tcPr>
          <w:p w14:paraId="2FEEC97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Feminino</w:t>
            </w:r>
          </w:p>
        </w:tc>
        <w:tc>
          <w:tcPr>
            <w:tcW w:w="6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B47921"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Masculino</w:t>
            </w:r>
          </w:p>
        </w:tc>
        <w:tc>
          <w:tcPr>
            <w:tcW w:w="6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97D41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Não-binário</w:t>
            </w:r>
          </w:p>
        </w:tc>
        <w:tc>
          <w:tcPr>
            <w:tcW w:w="68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B0157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Outros</w:t>
            </w:r>
          </w:p>
        </w:tc>
        <w:tc>
          <w:tcPr>
            <w:tcW w:w="6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33C53B" w14:textId="77777777" w:rsidR="00C879FE" w:rsidRPr="001E6E9D" w:rsidRDefault="00C879FE" w:rsidP="001F7A69">
            <w:pPr>
              <w:pStyle w:val="Texto-Corpo"/>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Prefere não responder</w:t>
            </w:r>
          </w:p>
        </w:tc>
        <w:tc>
          <w:tcPr>
            <w:tcW w:w="75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2223DA" w14:textId="77777777" w:rsidR="00C879FE" w:rsidRPr="001E6E9D" w:rsidRDefault="00C879FE"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Não se aplica</w:t>
            </w:r>
          </w:p>
        </w:tc>
      </w:tr>
      <w:tr w:rsidR="00B2445F" w:rsidRPr="001E6E9D" w14:paraId="5832B7FE" w14:textId="77777777" w:rsidTr="00702698">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36543A"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Diretoria</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hideMark/>
          </w:tcPr>
          <w:p w14:paraId="194A04B9"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3E3E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3</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B05A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5F29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623" w:type="pct"/>
            <w:tcBorders>
              <w:top w:val="single" w:sz="4" w:space="0" w:color="000000"/>
              <w:left w:val="single" w:sz="4" w:space="0" w:color="000000"/>
              <w:bottom w:val="single" w:sz="4" w:space="0" w:color="000000"/>
              <w:right w:val="single" w:sz="4" w:space="0" w:color="000000"/>
            </w:tcBorders>
            <w:vAlign w:val="center"/>
          </w:tcPr>
          <w:p w14:paraId="35F7CFB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752" w:type="pct"/>
            <w:tcBorders>
              <w:top w:val="single" w:sz="4" w:space="0" w:color="000000"/>
              <w:left w:val="single" w:sz="4" w:space="0" w:color="000000"/>
              <w:bottom w:val="single" w:sz="4" w:space="0" w:color="000000"/>
              <w:right w:val="single" w:sz="4" w:space="0" w:color="000000"/>
            </w:tcBorders>
            <w:vAlign w:val="center"/>
          </w:tcPr>
          <w:p w14:paraId="7EE9536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B2445F" w:rsidRPr="001E6E9D" w14:paraId="1513E226" w14:textId="77777777" w:rsidTr="00702698">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C9700E"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Conselho de Administração</w:t>
            </w:r>
          </w:p>
          <w:p w14:paraId="46DC8853"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(efetivos)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1566BDA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79AC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95A3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80532"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vAlign w:val="center"/>
          </w:tcPr>
          <w:p w14:paraId="038C0EA2"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2F1A0A8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5F41F3D1" w14:textId="77777777" w:rsidTr="00702698">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D7893F"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Conselho de Administração</w:t>
            </w:r>
          </w:p>
          <w:p w14:paraId="05B90DA2"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(suplentes)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274CA7D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0A2F9"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9148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66D3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vAlign w:val="center"/>
          </w:tcPr>
          <w:p w14:paraId="1078CAD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0509AD17"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63E652F2" w14:textId="77777777" w:rsidTr="00702698">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337611"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Conselho Fiscal (efetivos)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5145152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A8FF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170B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EC81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vAlign w:val="center"/>
          </w:tcPr>
          <w:p w14:paraId="40E00F59"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6EB9AB1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072CA2ED" w14:textId="77777777" w:rsidTr="00702698">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08FED5"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Conselho Fiscal (suplentes)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22500F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266B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C08E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E27CA"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vAlign w:val="center"/>
          </w:tcPr>
          <w:p w14:paraId="5D4927C1"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5A86F9D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11BDC844" w14:textId="77777777" w:rsidTr="00702698">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731971"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Total (3 membros)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18A3D87F"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54ECF"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3</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D50C3"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0</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02273"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0</w:t>
            </w:r>
          </w:p>
        </w:tc>
        <w:tc>
          <w:tcPr>
            <w:tcW w:w="623" w:type="pct"/>
            <w:tcBorders>
              <w:top w:val="single" w:sz="4" w:space="0" w:color="000000"/>
              <w:left w:val="single" w:sz="4" w:space="0" w:color="000000"/>
              <w:bottom w:val="single" w:sz="4" w:space="0" w:color="000000"/>
              <w:right w:val="single" w:sz="4" w:space="0" w:color="000000"/>
            </w:tcBorders>
            <w:vAlign w:val="center"/>
          </w:tcPr>
          <w:p w14:paraId="5DA69F45"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0</w:t>
            </w:r>
          </w:p>
        </w:tc>
        <w:tc>
          <w:tcPr>
            <w:tcW w:w="752" w:type="pct"/>
            <w:tcBorders>
              <w:top w:val="single" w:sz="4" w:space="0" w:color="000000"/>
              <w:left w:val="single" w:sz="4" w:space="0" w:color="000000"/>
              <w:bottom w:val="single" w:sz="4" w:space="0" w:color="000000"/>
              <w:right w:val="single" w:sz="4" w:space="0" w:color="000000"/>
            </w:tcBorders>
            <w:vAlign w:val="center"/>
          </w:tcPr>
          <w:p w14:paraId="5C38FFE4"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w:t>
            </w:r>
          </w:p>
        </w:tc>
      </w:tr>
    </w:tbl>
    <w:p w14:paraId="19C15F94" w14:textId="77777777" w:rsidR="00C879FE" w:rsidRPr="001E6E9D" w:rsidRDefault="00C879FE" w:rsidP="00DC7081">
      <w:pPr>
        <w:spacing w:before="200"/>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u w:val="single"/>
          <w:lang w:eastAsia="pt-BR"/>
        </w:rPr>
        <w:t>FERP</w:t>
      </w:r>
      <w:r w:rsidRPr="001E6E9D">
        <w:rPr>
          <w:rFonts w:asciiTheme="minorHAnsi" w:eastAsia="Times New Roman" w:hAnsiTheme="minorHAnsi" w:cstheme="minorHAnsi"/>
          <w:b/>
          <w:bCs/>
          <w:szCs w:val="20"/>
          <w:lang w:eastAsia="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70" w:type="dxa"/>
          <w:bottom w:w="40" w:type="dxa"/>
          <w:right w:w="70" w:type="dxa"/>
        </w:tblCellMar>
        <w:tblLook w:val="04A0" w:firstRow="1" w:lastRow="0" w:firstColumn="1" w:lastColumn="0" w:noHBand="0" w:noVBand="1"/>
      </w:tblPr>
      <w:tblGrid>
        <w:gridCol w:w="2055"/>
        <w:gridCol w:w="1013"/>
        <w:gridCol w:w="1129"/>
        <w:gridCol w:w="1129"/>
        <w:gridCol w:w="1243"/>
        <w:gridCol w:w="1129"/>
        <w:gridCol w:w="1363"/>
      </w:tblGrid>
      <w:tr w:rsidR="00C879FE" w:rsidRPr="001E6E9D" w14:paraId="00CDF3D2" w14:textId="77777777" w:rsidTr="00F57A92">
        <w:trPr>
          <w:tblHead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A7C6225" w14:textId="77777777" w:rsidR="00C879FE" w:rsidRPr="001E6E9D" w:rsidRDefault="00C879FE" w:rsidP="00DC7081">
            <w:pPr>
              <w:pStyle w:val="Texto-Corpo"/>
              <w:spacing w:before="60" w:after="60" w:line="240" w:lineRule="auto"/>
              <w:jc w:val="center"/>
              <w:rPr>
                <w:rFonts w:asciiTheme="minorHAnsi" w:hAnsiTheme="minorHAnsi" w:cstheme="minorHAnsi"/>
                <w:b/>
                <w:bCs/>
                <w:sz w:val="16"/>
                <w:szCs w:val="20"/>
              </w:rPr>
            </w:pPr>
            <w:r w:rsidRPr="001E6E9D">
              <w:rPr>
                <w:rFonts w:asciiTheme="minorHAnsi" w:hAnsiTheme="minorHAnsi" w:cstheme="minorHAnsi"/>
                <w:b/>
                <w:bCs/>
                <w:sz w:val="16"/>
                <w:szCs w:val="20"/>
              </w:rPr>
              <w:t>Identidade autodeclarada de gênero</w:t>
            </w:r>
          </w:p>
        </w:tc>
      </w:tr>
      <w:tr w:rsidR="00C879FE" w:rsidRPr="001E6E9D" w14:paraId="38767187" w14:textId="77777777" w:rsidTr="00F57A92">
        <w:trPr>
          <w:tblHeader/>
        </w:trPr>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0F729D" w14:textId="77777777" w:rsidR="00C879FE" w:rsidRPr="001E6E9D" w:rsidRDefault="00C879FE" w:rsidP="00DC7081">
            <w:pPr>
              <w:pStyle w:val="Texto-Corpo"/>
              <w:spacing w:before="60" w:after="60" w:line="240" w:lineRule="auto"/>
              <w:rPr>
                <w:rFonts w:asciiTheme="minorHAnsi" w:hAnsiTheme="minorHAnsi" w:cstheme="minorHAnsi"/>
                <w:sz w:val="16"/>
                <w:szCs w:val="20"/>
              </w:rPr>
            </w:pPr>
          </w:p>
        </w:tc>
        <w:tc>
          <w:tcPr>
            <w:tcW w:w="5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7" w:type="dxa"/>
              <w:bottom w:w="57" w:type="dxa"/>
            </w:tcMar>
            <w:vAlign w:val="center"/>
            <w:hideMark/>
          </w:tcPr>
          <w:p w14:paraId="03ACDB2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Feminino</w:t>
            </w:r>
          </w:p>
        </w:tc>
        <w:tc>
          <w:tcPr>
            <w:tcW w:w="6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5F948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Masculino</w:t>
            </w:r>
          </w:p>
        </w:tc>
        <w:tc>
          <w:tcPr>
            <w:tcW w:w="6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D1A51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Não-binário</w:t>
            </w:r>
          </w:p>
        </w:tc>
        <w:tc>
          <w:tcPr>
            <w:tcW w:w="68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B7E12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Outros</w:t>
            </w:r>
          </w:p>
        </w:tc>
        <w:tc>
          <w:tcPr>
            <w:tcW w:w="6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44DDE0" w14:textId="77777777" w:rsidR="00C879FE" w:rsidRPr="001E6E9D" w:rsidRDefault="00C879FE" w:rsidP="001F7A69">
            <w:pPr>
              <w:pStyle w:val="Texto-Corpo"/>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Prefere não responder</w:t>
            </w:r>
          </w:p>
        </w:tc>
        <w:tc>
          <w:tcPr>
            <w:tcW w:w="75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00A2E8" w14:textId="77777777" w:rsidR="00C879FE" w:rsidRPr="001E6E9D" w:rsidRDefault="00C879FE"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Não se aplica</w:t>
            </w:r>
          </w:p>
        </w:tc>
      </w:tr>
      <w:tr w:rsidR="00B2445F" w:rsidRPr="001E6E9D" w14:paraId="09BE79B7" w14:textId="77777777" w:rsidTr="008E3A6A">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EE1A51"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Diretoria</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hideMark/>
          </w:tcPr>
          <w:p w14:paraId="737459D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73A5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4</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6D08A"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AEDF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623" w:type="pct"/>
            <w:tcBorders>
              <w:top w:val="single" w:sz="4" w:space="0" w:color="000000"/>
              <w:left w:val="single" w:sz="4" w:space="0" w:color="000000"/>
              <w:bottom w:val="single" w:sz="4" w:space="0" w:color="000000"/>
              <w:right w:val="single" w:sz="4" w:space="0" w:color="000000"/>
            </w:tcBorders>
            <w:vAlign w:val="center"/>
          </w:tcPr>
          <w:p w14:paraId="3DF6E5A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752" w:type="pct"/>
            <w:tcBorders>
              <w:top w:val="single" w:sz="4" w:space="0" w:color="000000"/>
              <w:left w:val="single" w:sz="4" w:space="0" w:color="000000"/>
              <w:bottom w:val="single" w:sz="4" w:space="0" w:color="000000"/>
              <w:right w:val="single" w:sz="4" w:space="0" w:color="000000"/>
            </w:tcBorders>
            <w:vAlign w:val="center"/>
          </w:tcPr>
          <w:p w14:paraId="43D627B7"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B2445F" w:rsidRPr="001E6E9D" w14:paraId="1BAFA965" w14:textId="77777777" w:rsidTr="008E3A6A">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5019F9"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Conselho de Administração</w:t>
            </w:r>
          </w:p>
          <w:p w14:paraId="7B016402"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(efetivos)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F6698F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7E9EB"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3</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5A547"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2648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vAlign w:val="center"/>
          </w:tcPr>
          <w:p w14:paraId="0596FFF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0CE72CD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B2445F" w:rsidRPr="001E6E9D" w14:paraId="38A9C535" w14:textId="77777777" w:rsidTr="008E3A6A">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023C24"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Conselho de Administração</w:t>
            </w:r>
          </w:p>
          <w:p w14:paraId="19CA109D"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(suplentes)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7EC213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30E1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FD9A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E957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vAlign w:val="center"/>
          </w:tcPr>
          <w:p w14:paraId="20C8EB5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56F9652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12344675" w14:textId="77777777" w:rsidTr="008E3A6A">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FF65C2"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Conselho Fiscal (efetivos)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57EFA5B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4EF9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93239"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8ACE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vAlign w:val="center"/>
          </w:tcPr>
          <w:p w14:paraId="243D8E28" w14:textId="77777777" w:rsidR="00C879FE" w:rsidRPr="001E6E9D" w:rsidRDefault="00C879FE" w:rsidP="001F7A69">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68835A8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160839FD" w14:textId="77777777" w:rsidTr="008E3A6A">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7FBB6F"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Conselho Fiscal (suplentes)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114695BA"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AB28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0849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C807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623" w:type="pct"/>
            <w:tcBorders>
              <w:top w:val="single" w:sz="4" w:space="0" w:color="000000"/>
              <w:left w:val="single" w:sz="4" w:space="0" w:color="000000"/>
              <w:bottom w:val="single" w:sz="4" w:space="0" w:color="000000"/>
              <w:right w:val="single" w:sz="4" w:space="0" w:color="000000"/>
            </w:tcBorders>
            <w:vAlign w:val="center"/>
          </w:tcPr>
          <w:p w14:paraId="3259DBC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3C514D1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70EA1660" w14:textId="77777777" w:rsidTr="008E3A6A">
        <w:tc>
          <w:tcPr>
            <w:tcW w:w="11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A55A54"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Total (7 membros)</w:t>
            </w:r>
          </w:p>
        </w:tc>
        <w:tc>
          <w:tcPr>
            <w:tcW w:w="559"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668723ED"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A2C03"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7</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76508"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0</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B93A3"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0</w:t>
            </w:r>
          </w:p>
        </w:tc>
        <w:tc>
          <w:tcPr>
            <w:tcW w:w="623" w:type="pct"/>
            <w:tcBorders>
              <w:top w:val="single" w:sz="4" w:space="0" w:color="000000"/>
              <w:left w:val="single" w:sz="4" w:space="0" w:color="000000"/>
              <w:bottom w:val="single" w:sz="4" w:space="0" w:color="000000"/>
              <w:right w:val="single" w:sz="4" w:space="0" w:color="000000"/>
            </w:tcBorders>
            <w:vAlign w:val="center"/>
          </w:tcPr>
          <w:p w14:paraId="3F8BA2BD"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0</w:t>
            </w:r>
          </w:p>
        </w:tc>
        <w:tc>
          <w:tcPr>
            <w:tcW w:w="752" w:type="pct"/>
            <w:tcBorders>
              <w:top w:val="single" w:sz="4" w:space="0" w:color="000000"/>
              <w:left w:val="single" w:sz="4" w:space="0" w:color="000000"/>
              <w:bottom w:val="single" w:sz="4" w:space="0" w:color="000000"/>
              <w:right w:val="single" w:sz="4" w:space="0" w:color="000000"/>
            </w:tcBorders>
            <w:vAlign w:val="center"/>
          </w:tcPr>
          <w:p w14:paraId="6AEF1449"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w:t>
            </w:r>
          </w:p>
        </w:tc>
      </w:tr>
    </w:tbl>
    <w:p w14:paraId="49409CBF" w14:textId="39E8A1B0" w:rsidR="00C879FE" w:rsidRPr="001E6E9D" w:rsidRDefault="00065DBC" w:rsidP="00DC7081">
      <w:pPr>
        <w:keepNext/>
        <w:spacing w:before="200"/>
        <w:ind w:left="1077" w:hanging="1077"/>
        <w:rPr>
          <w:rFonts w:asciiTheme="minorHAnsi" w:eastAsia="Times New Roman" w:hAnsiTheme="minorHAnsi" w:cstheme="minorHAnsi"/>
          <w:b/>
          <w:szCs w:val="20"/>
          <w:lang w:eastAsia="pt-BR"/>
        </w:rPr>
      </w:pPr>
      <w:r w:rsidRPr="001E6E9D">
        <w:rPr>
          <w:rFonts w:asciiTheme="minorHAnsi" w:eastAsia="Times New Roman" w:hAnsiTheme="minorHAnsi" w:cstheme="minorHAnsi"/>
          <w:b/>
          <w:szCs w:val="20"/>
          <w:lang w:eastAsia="pt-BR"/>
        </w:rPr>
        <w:lastRenderedPageBreak/>
        <w:t>(b)</w:t>
      </w:r>
      <w:r w:rsidR="0034415F" w:rsidRPr="001E6E9D">
        <w:rPr>
          <w:rFonts w:asciiTheme="minorHAnsi" w:eastAsia="Times New Roman" w:hAnsiTheme="minorHAnsi" w:cstheme="minorHAnsi"/>
          <w:b/>
          <w:szCs w:val="20"/>
          <w:lang w:eastAsia="pt-BR"/>
        </w:rPr>
        <w:t xml:space="preserve"> </w:t>
      </w:r>
      <w:r w:rsidR="00C879FE" w:rsidRPr="001E6E9D">
        <w:rPr>
          <w:rFonts w:asciiTheme="minorHAnsi" w:eastAsia="Times New Roman" w:hAnsiTheme="minorHAnsi" w:cstheme="minorHAnsi"/>
          <w:b/>
          <w:bCs/>
          <w:szCs w:val="20"/>
          <w:lang w:eastAsia="pt-BR"/>
        </w:rPr>
        <w:t>Quantidade de membros por declaração</w:t>
      </w:r>
      <w:r w:rsidR="00C879FE" w:rsidRPr="001E6E9D">
        <w:rPr>
          <w:rFonts w:asciiTheme="minorHAnsi" w:eastAsia="Times New Roman" w:hAnsiTheme="minorHAnsi" w:cstheme="minorHAnsi"/>
          <w:b/>
          <w:szCs w:val="20"/>
          <w:lang w:eastAsia="pt-BR"/>
        </w:rPr>
        <w:t xml:space="preserve"> de cor ou raça</w:t>
      </w:r>
    </w:p>
    <w:p w14:paraId="3A6AC61B" w14:textId="77777777" w:rsidR="00C879FE" w:rsidRPr="001E6E9D" w:rsidRDefault="00C879FE" w:rsidP="00DC7081">
      <w:pPr>
        <w:rPr>
          <w:rFonts w:asciiTheme="minorHAnsi" w:eastAsia="Times New Roman" w:hAnsiTheme="minorHAnsi" w:cstheme="minorHAnsi"/>
          <w:b/>
          <w:szCs w:val="20"/>
          <w:lang w:eastAsia="pt-BR"/>
        </w:rPr>
      </w:pPr>
      <w:r w:rsidRPr="001E6E9D">
        <w:rPr>
          <w:rFonts w:asciiTheme="minorHAnsi" w:eastAsia="Times New Roman" w:hAnsiTheme="minorHAnsi" w:cstheme="minorHAnsi"/>
          <w:b/>
          <w:szCs w:val="20"/>
          <w:u w:val="single"/>
          <w:lang w:eastAsia="pt-BR"/>
        </w:rPr>
        <w:t>FED e SPEs</w:t>
      </w:r>
      <w:r w:rsidRPr="001E6E9D">
        <w:rPr>
          <w:rFonts w:asciiTheme="minorHAnsi" w:eastAsia="Times New Roman" w:hAnsiTheme="minorHAnsi" w:cstheme="minorHAnsi"/>
          <w:b/>
          <w:szCs w:val="20"/>
          <w:lang w:eastAsia="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70" w:type="dxa"/>
          <w:bottom w:w="40" w:type="dxa"/>
          <w:right w:w="70" w:type="dxa"/>
        </w:tblCellMar>
        <w:tblLook w:val="04A0" w:firstRow="1" w:lastRow="0" w:firstColumn="1" w:lastColumn="0" w:noHBand="0" w:noVBand="1"/>
      </w:tblPr>
      <w:tblGrid>
        <w:gridCol w:w="1855"/>
        <w:gridCol w:w="968"/>
        <w:gridCol w:w="855"/>
        <w:gridCol w:w="855"/>
        <w:gridCol w:w="855"/>
        <w:gridCol w:w="966"/>
        <w:gridCol w:w="855"/>
        <w:gridCol w:w="993"/>
        <w:gridCol w:w="859"/>
      </w:tblGrid>
      <w:tr w:rsidR="00C879FE" w:rsidRPr="001E6E9D" w14:paraId="5FAEC8F0" w14:textId="77777777" w:rsidTr="008E3A6A">
        <w:tc>
          <w:tcPr>
            <w:tcW w:w="5000" w:type="pct"/>
            <w:gridSpan w:val="9"/>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D3EDCF1" w14:textId="77777777" w:rsidR="00C879FE" w:rsidRPr="001E6E9D" w:rsidRDefault="00C879FE" w:rsidP="00DC7081">
            <w:pPr>
              <w:pStyle w:val="Texto-Corpo"/>
              <w:spacing w:before="60" w:after="60" w:line="240" w:lineRule="auto"/>
              <w:jc w:val="center"/>
              <w:rPr>
                <w:rFonts w:asciiTheme="minorHAnsi" w:hAnsiTheme="minorHAnsi" w:cstheme="minorHAnsi"/>
                <w:b/>
                <w:bCs/>
                <w:sz w:val="16"/>
                <w:szCs w:val="20"/>
              </w:rPr>
            </w:pPr>
            <w:r w:rsidRPr="001E6E9D">
              <w:rPr>
                <w:rFonts w:asciiTheme="minorHAnsi" w:hAnsiTheme="minorHAnsi" w:cstheme="minorHAnsi"/>
                <w:b/>
                <w:bCs/>
                <w:sz w:val="16"/>
                <w:szCs w:val="20"/>
              </w:rPr>
              <w:t>Identidade autodeclarada de cor ou raça</w:t>
            </w:r>
          </w:p>
        </w:tc>
      </w:tr>
      <w:tr w:rsidR="00C879FE" w:rsidRPr="001E6E9D" w14:paraId="18B5E742"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5F92A7" w14:textId="77777777" w:rsidR="00C879FE" w:rsidRPr="001E6E9D" w:rsidRDefault="00C879FE" w:rsidP="00DC7081">
            <w:pPr>
              <w:pStyle w:val="Texto-Corpo"/>
              <w:spacing w:before="60" w:after="60" w:line="240" w:lineRule="auto"/>
              <w:rPr>
                <w:rFonts w:asciiTheme="minorHAnsi" w:hAnsiTheme="minorHAnsi" w:cstheme="minorHAnsi"/>
                <w:sz w:val="16"/>
                <w:szCs w:val="20"/>
              </w:rPr>
            </w:pPr>
          </w:p>
        </w:tc>
        <w:tc>
          <w:tcPr>
            <w:tcW w:w="5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7" w:type="dxa"/>
              <w:bottom w:w="57" w:type="dxa"/>
            </w:tcMar>
            <w:vAlign w:val="center"/>
            <w:hideMark/>
          </w:tcPr>
          <w:p w14:paraId="2089E6F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Amarelo</w:t>
            </w:r>
          </w:p>
        </w:tc>
        <w:tc>
          <w:tcPr>
            <w:tcW w:w="4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6F34FA"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Branco</w:t>
            </w:r>
          </w:p>
        </w:tc>
        <w:tc>
          <w:tcPr>
            <w:tcW w:w="4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50361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Preto</w:t>
            </w:r>
          </w:p>
        </w:tc>
        <w:tc>
          <w:tcPr>
            <w:tcW w:w="4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37A69B"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Pardo</w:t>
            </w:r>
          </w:p>
        </w:tc>
        <w:tc>
          <w:tcPr>
            <w:tcW w:w="53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FF8690" w14:textId="77777777" w:rsidR="00C879FE" w:rsidRPr="001E6E9D" w:rsidRDefault="00C879FE"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Indígena</w:t>
            </w:r>
          </w:p>
        </w:tc>
        <w:tc>
          <w:tcPr>
            <w:tcW w:w="4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DA1EB3" w14:textId="77777777" w:rsidR="00C879FE" w:rsidRPr="001E6E9D" w:rsidRDefault="00C879FE"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Outros</w:t>
            </w:r>
          </w:p>
        </w:tc>
        <w:tc>
          <w:tcPr>
            <w:tcW w:w="5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D89172" w14:textId="77777777" w:rsidR="00C879FE" w:rsidRPr="001E6E9D" w:rsidRDefault="00C879FE" w:rsidP="001F7A69">
            <w:pPr>
              <w:pStyle w:val="Texto-Corpo"/>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Prefere não responder</w:t>
            </w:r>
          </w:p>
        </w:tc>
        <w:tc>
          <w:tcPr>
            <w:tcW w:w="4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5082C7" w14:textId="77777777" w:rsidR="00C879FE" w:rsidRPr="001E6E9D" w:rsidRDefault="00C879FE"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Não se aplica</w:t>
            </w:r>
          </w:p>
        </w:tc>
      </w:tr>
      <w:tr w:rsidR="00B2445F" w:rsidRPr="001E6E9D" w14:paraId="66E8EBB0"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759616"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Diretoria</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hideMark/>
          </w:tcPr>
          <w:p w14:paraId="5B0B8BE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3FD4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3</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97CF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CE61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533" w:type="pct"/>
            <w:tcBorders>
              <w:top w:val="single" w:sz="4" w:space="0" w:color="000000"/>
              <w:left w:val="single" w:sz="4" w:space="0" w:color="000000"/>
              <w:bottom w:val="single" w:sz="4" w:space="0" w:color="000000"/>
              <w:right w:val="single" w:sz="4" w:space="0" w:color="000000"/>
            </w:tcBorders>
            <w:vAlign w:val="center"/>
          </w:tcPr>
          <w:p w14:paraId="3E7363E2"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472" w:type="pct"/>
            <w:tcBorders>
              <w:top w:val="single" w:sz="4" w:space="0" w:color="000000"/>
              <w:left w:val="single" w:sz="4" w:space="0" w:color="000000"/>
              <w:bottom w:val="single" w:sz="4" w:space="0" w:color="000000"/>
              <w:right w:val="single" w:sz="4" w:space="0" w:color="000000"/>
            </w:tcBorders>
            <w:vAlign w:val="center"/>
          </w:tcPr>
          <w:p w14:paraId="6BCBAE0A"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548" w:type="pct"/>
            <w:tcBorders>
              <w:top w:val="single" w:sz="4" w:space="0" w:color="000000"/>
              <w:left w:val="single" w:sz="4" w:space="0" w:color="000000"/>
              <w:bottom w:val="single" w:sz="4" w:space="0" w:color="000000"/>
              <w:right w:val="single" w:sz="4" w:space="0" w:color="000000"/>
            </w:tcBorders>
            <w:vAlign w:val="center"/>
          </w:tcPr>
          <w:p w14:paraId="7FE0A6C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473" w:type="pct"/>
            <w:tcBorders>
              <w:top w:val="single" w:sz="4" w:space="0" w:color="000000"/>
              <w:left w:val="single" w:sz="4" w:space="0" w:color="000000"/>
              <w:bottom w:val="single" w:sz="4" w:space="0" w:color="000000"/>
              <w:right w:val="single" w:sz="4" w:space="0" w:color="000000"/>
            </w:tcBorders>
            <w:vAlign w:val="center"/>
          </w:tcPr>
          <w:p w14:paraId="686ADE8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w:t>
            </w:r>
          </w:p>
        </w:tc>
      </w:tr>
      <w:tr w:rsidR="00B2445F" w:rsidRPr="001E6E9D" w14:paraId="3F3B6AD1"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A6B3AE"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Conselho de Administração</w:t>
            </w:r>
          </w:p>
          <w:p w14:paraId="6647CD89"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(efetivos)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6BA4EAD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3284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D1FB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63C8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23FC850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2987EE5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5ECEDA5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409C176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4F8ADFAF"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7DB2EF"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Conselho de Administração</w:t>
            </w:r>
          </w:p>
          <w:p w14:paraId="224660F4"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(suplentes)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01023A39"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05E6B"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3142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9D77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576BD741"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5F2DCF7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7B7C5739"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6C2B2DD9"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13F85A24"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B40E2C"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Conselho Fiscal (efetivos)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1F90806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AE822"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8055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2B6A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27A5CD6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1EC6C79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4AE46C8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38258F5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7776124B"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A6DBA3"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Conselho Fiscal (suplentes)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5144DDC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CBB7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F8E9B"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E9EC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6F1D5922"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53F1535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6C169F9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3AF58181"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X</w:t>
            </w:r>
          </w:p>
        </w:tc>
      </w:tr>
      <w:tr w:rsidR="00B2445F" w:rsidRPr="001E6E9D" w14:paraId="623BAD60"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A8BEB0"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Total</w:t>
            </w:r>
          </w:p>
          <w:p w14:paraId="6FA807BA"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(3 membros)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1C3D67B4"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0250D"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3</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A5A8F"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0FD15"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533" w:type="pct"/>
            <w:tcBorders>
              <w:top w:val="single" w:sz="4" w:space="0" w:color="000000"/>
              <w:left w:val="single" w:sz="4" w:space="0" w:color="000000"/>
              <w:bottom w:val="single" w:sz="4" w:space="0" w:color="000000"/>
              <w:right w:val="single" w:sz="4" w:space="0" w:color="000000"/>
            </w:tcBorders>
            <w:vAlign w:val="center"/>
          </w:tcPr>
          <w:p w14:paraId="270A065E"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472" w:type="pct"/>
            <w:tcBorders>
              <w:top w:val="single" w:sz="4" w:space="0" w:color="000000"/>
              <w:left w:val="single" w:sz="4" w:space="0" w:color="000000"/>
              <w:bottom w:val="single" w:sz="4" w:space="0" w:color="000000"/>
              <w:right w:val="single" w:sz="4" w:space="0" w:color="000000"/>
            </w:tcBorders>
            <w:vAlign w:val="center"/>
          </w:tcPr>
          <w:p w14:paraId="46A301D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548" w:type="pct"/>
            <w:tcBorders>
              <w:top w:val="single" w:sz="4" w:space="0" w:color="000000"/>
              <w:left w:val="single" w:sz="4" w:space="0" w:color="000000"/>
              <w:bottom w:val="single" w:sz="4" w:space="0" w:color="000000"/>
              <w:right w:val="single" w:sz="4" w:space="0" w:color="000000"/>
            </w:tcBorders>
            <w:vAlign w:val="center"/>
          </w:tcPr>
          <w:p w14:paraId="7689753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473" w:type="pct"/>
            <w:tcBorders>
              <w:top w:val="single" w:sz="4" w:space="0" w:color="000000"/>
              <w:left w:val="single" w:sz="4" w:space="0" w:color="000000"/>
              <w:bottom w:val="single" w:sz="4" w:space="0" w:color="000000"/>
              <w:right w:val="single" w:sz="4" w:space="0" w:color="000000"/>
            </w:tcBorders>
            <w:vAlign w:val="center"/>
          </w:tcPr>
          <w:p w14:paraId="12625AA2"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w:t>
            </w:r>
          </w:p>
        </w:tc>
      </w:tr>
    </w:tbl>
    <w:p w14:paraId="436EA94C" w14:textId="77777777" w:rsidR="00C879FE" w:rsidRPr="001E6E9D" w:rsidRDefault="00C879FE" w:rsidP="00DC7081">
      <w:pPr>
        <w:spacing w:before="200"/>
        <w:rPr>
          <w:rFonts w:asciiTheme="minorHAnsi" w:eastAsia="Times New Roman" w:hAnsiTheme="minorHAnsi" w:cstheme="minorHAnsi"/>
          <w:b/>
          <w:szCs w:val="20"/>
          <w:lang w:eastAsia="pt-BR"/>
        </w:rPr>
      </w:pPr>
      <w:r w:rsidRPr="001E6E9D">
        <w:rPr>
          <w:rFonts w:asciiTheme="minorHAnsi" w:eastAsia="Times New Roman" w:hAnsiTheme="minorHAnsi" w:cstheme="minorHAnsi"/>
          <w:b/>
          <w:szCs w:val="20"/>
          <w:u w:val="single"/>
          <w:lang w:eastAsia="pt-BR"/>
        </w:rPr>
        <w:t>FERP</w:t>
      </w:r>
      <w:r w:rsidRPr="001E6E9D">
        <w:rPr>
          <w:rFonts w:asciiTheme="minorHAnsi" w:eastAsia="Times New Roman" w:hAnsiTheme="minorHAnsi" w:cstheme="minorHAnsi"/>
          <w:b/>
          <w:szCs w:val="20"/>
          <w:lang w:eastAsia="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70" w:type="dxa"/>
          <w:bottom w:w="40" w:type="dxa"/>
          <w:right w:w="70" w:type="dxa"/>
        </w:tblCellMar>
        <w:tblLook w:val="04A0" w:firstRow="1" w:lastRow="0" w:firstColumn="1" w:lastColumn="0" w:noHBand="0" w:noVBand="1"/>
      </w:tblPr>
      <w:tblGrid>
        <w:gridCol w:w="1855"/>
        <w:gridCol w:w="968"/>
        <w:gridCol w:w="855"/>
        <w:gridCol w:w="855"/>
        <w:gridCol w:w="855"/>
        <w:gridCol w:w="966"/>
        <w:gridCol w:w="855"/>
        <w:gridCol w:w="993"/>
        <w:gridCol w:w="859"/>
      </w:tblGrid>
      <w:tr w:rsidR="00B2445F" w:rsidRPr="001E6E9D" w14:paraId="0BD7D777" w14:textId="77777777" w:rsidTr="008E3A6A">
        <w:tc>
          <w:tcPr>
            <w:tcW w:w="5000" w:type="pct"/>
            <w:gridSpan w:val="9"/>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6AD9271" w14:textId="77777777" w:rsidR="00C879FE" w:rsidRPr="001E6E9D" w:rsidRDefault="00C879FE" w:rsidP="00DC7081">
            <w:pPr>
              <w:pStyle w:val="Texto-Corpo"/>
              <w:spacing w:before="60" w:after="60" w:line="240" w:lineRule="auto"/>
              <w:jc w:val="center"/>
              <w:rPr>
                <w:rFonts w:asciiTheme="minorHAnsi" w:hAnsiTheme="minorHAnsi" w:cstheme="minorHAnsi"/>
                <w:b/>
                <w:bCs/>
                <w:sz w:val="16"/>
                <w:szCs w:val="20"/>
              </w:rPr>
            </w:pPr>
            <w:r w:rsidRPr="001E6E9D">
              <w:rPr>
                <w:rFonts w:asciiTheme="minorHAnsi" w:hAnsiTheme="minorHAnsi" w:cstheme="minorHAnsi"/>
                <w:b/>
                <w:bCs/>
                <w:sz w:val="16"/>
                <w:szCs w:val="20"/>
              </w:rPr>
              <w:t>Identidade autodeclarada de cor ou raça</w:t>
            </w:r>
          </w:p>
        </w:tc>
      </w:tr>
      <w:tr w:rsidR="00C879FE" w:rsidRPr="001E6E9D" w14:paraId="46DF4B63"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719E9C" w14:textId="77777777" w:rsidR="00C879FE" w:rsidRPr="001E6E9D" w:rsidRDefault="00C879FE" w:rsidP="00DC7081">
            <w:pPr>
              <w:pStyle w:val="Texto-Corpo"/>
              <w:spacing w:before="60" w:after="60" w:line="240" w:lineRule="auto"/>
              <w:rPr>
                <w:rFonts w:asciiTheme="minorHAnsi" w:hAnsiTheme="minorHAnsi" w:cstheme="minorHAnsi"/>
                <w:sz w:val="16"/>
                <w:szCs w:val="20"/>
              </w:rPr>
            </w:pPr>
          </w:p>
        </w:tc>
        <w:tc>
          <w:tcPr>
            <w:tcW w:w="53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7" w:type="dxa"/>
              <w:bottom w:w="57" w:type="dxa"/>
            </w:tcMar>
            <w:vAlign w:val="center"/>
            <w:hideMark/>
          </w:tcPr>
          <w:p w14:paraId="0BDEB139"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Amarelo</w:t>
            </w:r>
          </w:p>
        </w:tc>
        <w:tc>
          <w:tcPr>
            <w:tcW w:w="4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419692"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Branco</w:t>
            </w:r>
          </w:p>
        </w:tc>
        <w:tc>
          <w:tcPr>
            <w:tcW w:w="4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3A481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Preto</w:t>
            </w:r>
          </w:p>
        </w:tc>
        <w:tc>
          <w:tcPr>
            <w:tcW w:w="4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EC674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sz w:val="16"/>
                <w:szCs w:val="20"/>
              </w:rPr>
              <w:t>Pardo</w:t>
            </w:r>
          </w:p>
        </w:tc>
        <w:tc>
          <w:tcPr>
            <w:tcW w:w="53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440A14" w14:textId="77777777" w:rsidR="00C879FE" w:rsidRPr="001E6E9D" w:rsidRDefault="00C879FE"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Indígena</w:t>
            </w:r>
          </w:p>
        </w:tc>
        <w:tc>
          <w:tcPr>
            <w:tcW w:w="4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438CF0" w14:textId="77777777" w:rsidR="00C879FE" w:rsidRPr="001E6E9D" w:rsidRDefault="00C879FE"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Outros</w:t>
            </w:r>
          </w:p>
        </w:tc>
        <w:tc>
          <w:tcPr>
            <w:tcW w:w="5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82ADB3" w14:textId="77777777" w:rsidR="00C879FE" w:rsidRPr="001E6E9D" w:rsidRDefault="00C879FE"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Prefere não responder</w:t>
            </w:r>
          </w:p>
        </w:tc>
        <w:tc>
          <w:tcPr>
            <w:tcW w:w="4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4E960D" w14:textId="77777777" w:rsidR="00C879FE" w:rsidRPr="001E6E9D" w:rsidRDefault="00C879FE"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Não se aplica</w:t>
            </w:r>
          </w:p>
        </w:tc>
      </w:tr>
      <w:tr w:rsidR="00AE0F80" w:rsidRPr="001E6E9D" w14:paraId="46B462F7"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5BE68F"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Diretoria</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hideMark/>
          </w:tcPr>
          <w:p w14:paraId="03A8F4B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1A2A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4</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95F52"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A9C4A"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4AEA9202"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23F0296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4F7008C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180D063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AE0F80" w:rsidRPr="001E6E9D" w14:paraId="364DDFDC"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4588A8"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Conselho de Administração</w:t>
            </w:r>
          </w:p>
          <w:p w14:paraId="3398503A"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(efetivos)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54A8793"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00FA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3</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67B0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A75D7"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621778DE"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3984CC98"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36A9A4E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252923C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AE0F80" w:rsidRPr="001E6E9D" w14:paraId="3142096A"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91C39A"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Conselho de Administração</w:t>
            </w:r>
          </w:p>
          <w:p w14:paraId="4709CC21"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(suplentes)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5DE8D80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3FCFA"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CCF6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D47F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4EAE5BEB"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12091F04"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02F78B5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6DAA170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AE0F80" w:rsidRPr="001E6E9D" w14:paraId="16AD6CE0"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6FF5F5"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Conselho Fiscal (efetivos)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5B3B98A9"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C716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62B8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0574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55D0D69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47C6627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20BC1466"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6A67442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AE0F80" w:rsidRPr="001E6E9D" w14:paraId="0E49BDFB"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367A69"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Conselho Fiscal (suplentes)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4302C7FD"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F177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31E6C"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2DCF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1042DCE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70203040"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1DE7EDE7"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659E8B0F"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AE0F80" w:rsidRPr="001E6E9D" w14:paraId="43B33AA2" w14:textId="77777777" w:rsidTr="008E3A6A">
        <w:tc>
          <w:tcPr>
            <w:tcW w:w="10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09FF81"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Total</w:t>
            </w:r>
          </w:p>
          <w:p w14:paraId="209BCFFB" w14:textId="77777777" w:rsidR="00C879FE" w:rsidRPr="001E6E9D" w:rsidRDefault="00C879FE" w:rsidP="0034415F">
            <w:pPr>
              <w:pStyle w:val="Texto-Corpo"/>
              <w:spacing w:before="60" w:after="6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(7 membros)</w:t>
            </w:r>
          </w:p>
        </w:tc>
        <w:tc>
          <w:tcPr>
            <w:tcW w:w="534" w:type="pc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14869B0A"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693B8"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7</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DBF74"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6952A"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w:t>
            </w:r>
          </w:p>
        </w:tc>
        <w:tc>
          <w:tcPr>
            <w:tcW w:w="533" w:type="pct"/>
            <w:tcBorders>
              <w:top w:val="single" w:sz="4" w:space="0" w:color="000000"/>
              <w:left w:val="single" w:sz="4" w:space="0" w:color="000000"/>
              <w:bottom w:val="single" w:sz="4" w:space="0" w:color="000000"/>
              <w:right w:val="single" w:sz="4" w:space="0" w:color="000000"/>
            </w:tcBorders>
            <w:vAlign w:val="center"/>
          </w:tcPr>
          <w:p w14:paraId="36C545CC"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49137F45"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0C0663F2" w14:textId="77777777" w:rsidR="00C879FE" w:rsidRPr="001E6E9D" w:rsidRDefault="00C879FE"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473" w:type="pct"/>
            <w:tcBorders>
              <w:top w:val="single" w:sz="4" w:space="0" w:color="000000"/>
              <w:left w:val="single" w:sz="4" w:space="0" w:color="000000"/>
              <w:bottom w:val="single" w:sz="4" w:space="0" w:color="000000"/>
              <w:right w:val="single" w:sz="4" w:space="0" w:color="000000"/>
            </w:tcBorders>
            <w:vAlign w:val="center"/>
          </w:tcPr>
          <w:p w14:paraId="6C34E146" w14:textId="77777777" w:rsidR="00C879FE" w:rsidRPr="001E6E9D" w:rsidRDefault="00C879FE"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sz w:val="16"/>
                <w:szCs w:val="20"/>
              </w:rPr>
              <w:t>-</w:t>
            </w:r>
          </w:p>
        </w:tc>
      </w:tr>
    </w:tbl>
    <w:p w14:paraId="08485AA9" w14:textId="7236E14C" w:rsidR="00C879FE" w:rsidRPr="001E6E9D" w:rsidRDefault="00C879FE" w:rsidP="00DC7081">
      <w:pPr>
        <w:spacing w:before="200"/>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(c) Número total de membros agrupados por outros atributos de diversidade que as Garantidoras entendam relevantes</w:t>
      </w:r>
    </w:p>
    <w:p w14:paraId="5ACAAB28" w14:textId="30E090A8" w:rsidR="00C879FE" w:rsidRPr="001E6E9D" w:rsidRDefault="00C879FE" w:rsidP="00DC7081">
      <w:pPr>
        <w:pStyle w:val="2Nvel"/>
        <w:spacing w:after="200"/>
        <w:rPr>
          <w:rFonts w:asciiTheme="minorHAnsi" w:eastAsia="Calibri" w:hAnsiTheme="minorHAnsi" w:cstheme="minorHAnsi"/>
          <w:b w:val="0"/>
        </w:rPr>
      </w:pPr>
      <w:r w:rsidRPr="001E6E9D">
        <w:rPr>
          <w:rFonts w:asciiTheme="minorHAnsi" w:eastAsia="Calibri" w:hAnsiTheme="minorHAnsi" w:cstheme="minorHAnsi"/>
          <w:b w:val="0"/>
        </w:rPr>
        <w:t xml:space="preserve">Não aplicável, tendo em vista que os garantidores não consideram, na data deste Prospecto, outros indicadores de diversidade além daqueles informados nos subitens </w:t>
      </w:r>
      <w:r w:rsidR="000D5E35" w:rsidRPr="001E6E9D">
        <w:rPr>
          <w:rFonts w:asciiTheme="minorHAnsi" w:eastAsia="Calibri" w:hAnsiTheme="minorHAnsi" w:cstheme="minorHAnsi"/>
          <w:b w:val="0"/>
        </w:rPr>
        <w:t>“</w:t>
      </w:r>
      <w:r w:rsidRPr="001E6E9D">
        <w:rPr>
          <w:rFonts w:asciiTheme="minorHAnsi" w:eastAsia="Calibri" w:hAnsiTheme="minorHAnsi" w:cstheme="minorHAnsi"/>
          <w:b w:val="0"/>
        </w:rPr>
        <w:t xml:space="preserve">(d)(i)” e </w:t>
      </w:r>
      <w:r w:rsidR="000D5E35" w:rsidRPr="001E6E9D">
        <w:rPr>
          <w:rFonts w:asciiTheme="minorHAnsi" w:eastAsia="Calibri" w:hAnsiTheme="minorHAnsi" w:cstheme="minorHAnsi"/>
          <w:b w:val="0"/>
        </w:rPr>
        <w:t>“</w:t>
      </w:r>
      <w:r w:rsidRPr="001E6E9D">
        <w:rPr>
          <w:rFonts w:asciiTheme="minorHAnsi" w:eastAsia="Calibri" w:hAnsiTheme="minorHAnsi" w:cstheme="minorHAnsi"/>
          <w:b w:val="0"/>
        </w:rPr>
        <w:t>(d)(ii)” anteriores.</w:t>
      </w:r>
    </w:p>
    <w:p w14:paraId="3E87A4F9" w14:textId="77777777" w:rsidR="00C879FE" w:rsidRPr="001E6E9D" w:rsidRDefault="00C879FE" w:rsidP="00DC7081">
      <w:pPr>
        <w:keepNext/>
        <w:keepLines/>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(v) Se houver, objetivos específicos que as Garantidoras possuem com relação a diversidade de gênero, cor ou raça ou outros atributos entre os membros de seus órgãos de administração e de seu conselho fiscal.</w:t>
      </w:r>
    </w:p>
    <w:p w14:paraId="74D0BAD9" w14:textId="77777777" w:rsidR="00C879FE" w:rsidRPr="001E6E9D" w:rsidRDefault="00C879FE" w:rsidP="00DC7081">
      <w:pPr>
        <w:rPr>
          <w:rFonts w:asciiTheme="minorHAnsi" w:hAnsiTheme="minorHAnsi" w:cstheme="minorHAnsi"/>
          <w:szCs w:val="20"/>
        </w:rPr>
      </w:pPr>
      <w:r w:rsidRPr="001E6E9D">
        <w:rPr>
          <w:rFonts w:asciiTheme="minorHAnsi" w:hAnsiTheme="minorHAnsi" w:cstheme="minorHAnsi"/>
          <w:szCs w:val="20"/>
        </w:rPr>
        <w:t>Atualmente, os garantidores não possuem objetivos, compromissos ou políticas formais específicas relativas à diversidade em seus órgãos de administração. Entretanto, informam que permanecem atentos à questão, levando-a em consideração para a formação de lideranças diversas e composição de seus órgãos da administração.</w:t>
      </w:r>
    </w:p>
    <w:p w14:paraId="50450B93" w14:textId="77777777" w:rsidR="00C879FE" w:rsidRPr="001E6E9D" w:rsidRDefault="00C879FE" w:rsidP="00DC7081">
      <w:pPr>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lastRenderedPageBreak/>
        <w:t>(vi) Papel dos órgãos de administração na avaliação, gerenciamento e supervisão dos riscos e oportunidades relacionados ao clima.</w:t>
      </w:r>
    </w:p>
    <w:p w14:paraId="7F13F7AA" w14:textId="77777777" w:rsidR="00065DBC" w:rsidRPr="001E6E9D" w:rsidRDefault="00C879FE" w:rsidP="00DC7081">
      <w:pPr>
        <w:rPr>
          <w:rFonts w:asciiTheme="minorHAnsi" w:hAnsiTheme="minorHAnsi" w:cstheme="minorHAnsi"/>
          <w:szCs w:val="20"/>
        </w:rPr>
      </w:pPr>
      <w:r w:rsidRPr="001E6E9D">
        <w:rPr>
          <w:rFonts w:asciiTheme="minorHAnsi" w:eastAsia="Times New Roman" w:hAnsiTheme="minorHAnsi" w:cstheme="minorHAnsi"/>
          <w:szCs w:val="20"/>
        </w:rPr>
        <w:t xml:space="preserve">O papel dos órgãos de administração está descrito no Formulário de Referência da Emissora no item 7.1(f) do Formulário </w:t>
      </w:r>
      <w:r w:rsidRPr="001E6E9D">
        <w:rPr>
          <w:rFonts w:asciiTheme="minorHAnsi" w:hAnsiTheme="minorHAnsi" w:cstheme="minorHAnsi"/>
          <w:szCs w:val="20"/>
        </w:rPr>
        <w:t>de Referência da Emissora.</w:t>
      </w:r>
    </w:p>
    <w:p w14:paraId="6FA3EBAA" w14:textId="5B27061B" w:rsidR="00C879FE" w:rsidRPr="001E6E9D" w:rsidRDefault="00C879FE" w:rsidP="00DC7081">
      <w:pPr>
        <w:pStyle w:val="Ttulo4"/>
        <w:rPr>
          <w:rFonts w:asciiTheme="minorHAnsi" w:hAnsiTheme="minorHAnsi"/>
          <w:i w:val="0"/>
        </w:rPr>
      </w:pPr>
      <w:r w:rsidRPr="001E6E9D">
        <w:rPr>
          <w:rFonts w:asciiTheme="minorHAnsi" w:hAnsiTheme="minorHAnsi"/>
          <w:i w:val="0"/>
        </w:rPr>
        <w:t>10.2.7. Remuneração total do conselho de administração, da diretoria estatutária e do conselho fiscal das Garantidoras.</w:t>
      </w:r>
    </w:p>
    <w:p w14:paraId="434F0A66" w14:textId="77777777" w:rsidR="0035572A" w:rsidRPr="001E6E9D" w:rsidRDefault="0035572A" w:rsidP="00DC7081">
      <w:pPr>
        <w:pStyle w:val="Head"/>
        <w:spacing w:before="0" w:after="200" w:line="240" w:lineRule="auto"/>
        <w:rPr>
          <w:rFonts w:asciiTheme="minorHAnsi" w:hAnsiTheme="minorHAnsi" w:cstheme="minorHAnsi"/>
          <w:kern w:val="0"/>
          <w:sz w:val="20"/>
          <w:szCs w:val="20"/>
          <w:lang w:val="en-US"/>
        </w:rPr>
      </w:pPr>
      <w:r w:rsidRPr="001E6E9D">
        <w:rPr>
          <w:rFonts w:asciiTheme="minorHAnsi" w:hAnsiTheme="minorHAnsi" w:cstheme="minorHAnsi"/>
          <w:kern w:val="0"/>
          <w:sz w:val="20"/>
          <w:szCs w:val="20"/>
          <w:lang w:val="en-US"/>
        </w:rPr>
        <w:t>2024:</w:t>
      </w:r>
    </w:p>
    <w:p w14:paraId="4A4EB229" w14:textId="07480FDF" w:rsidR="0035572A" w:rsidRPr="001E6E9D" w:rsidRDefault="00305A23" w:rsidP="00305A23">
      <w:pPr>
        <w:keepNext/>
        <w:ind w:left="360" w:hanging="360"/>
        <w:rPr>
          <w:rFonts w:asciiTheme="minorHAnsi" w:hAnsiTheme="minorHAnsi" w:cstheme="minorHAnsi"/>
          <w:lang w:val="en-US" w:eastAsia="en-GB"/>
        </w:rPr>
      </w:pPr>
      <w:r w:rsidRPr="001E6E9D">
        <w:rPr>
          <w:rFonts w:asciiTheme="minorHAnsi" w:hAnsiTheme="minorHAnsi" w:cstheme="minorHAnsi"/>
          <w:lang w:val="en-US" w:eastAsia="en-GB"/>
        </w:rPr>
        <w:t>(a)</w:t>
      </w:r>
      <w:r w:rsidRPr="001E6E9D">
        <w:rPr>
          <w:rFonts w:asciiTheme="minorHAnsi" w:hAnsiTheme="minorHAnsi" w:cstheme="minorHAnsi"/>
          <w:lang w:val="en-US" w:eastAsia="en-GB"/>
        </w:rPr>
        <w:tab/>
      </w:r>
      <w:r w:rsidR="0035572A" w:rsidRPr="001E6E9D">
        <w:rPr>
          <w:rFonts w:asciiTheme="minorHAnsi" w:hAnsiTheme="minorHAnsi" w:cstheme="minorHAnsi"/>
          <w:lang w:val="en-US" w:eastAsia="en-GB"/>
        </w:rPr>
        <w:t>FED, SPE 1, SPE 2, SPE 3, SPE 4, SPE 5, SPE 6, SPE 7, SPE 8, SPE 9, SPE 10, SPE 11, SPE 12, SPE 13, SPE 14, SPE 15 e SPE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4"/>
        <w:gridCol w:w="1731"/>
        <w:gridCol w:w="1738"/>
        <w:gridCol w:w="1734"/>
        <w:gridCol w:w="1714"/>
      </w:tblGrid>
      <w:tr w:rsidR="0035572A" w:rsidRPr="001E6E9D" w14:paraId="0421CD03"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815B732" w14:textId="77777777" w:rsidR="0035572A" w:rsidRPr="001E6E9D" w:rsidRDefault="0035572A"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prevista para o Exercício Social corrente 31/12/2024 – Valores Anuais</w:t>
            </w:r>
          </w:p>
        </w:tc>
      </w:tr>
      <w:tr w:rsidR="0035572A" w:rsidRPr="001E6E9D" w14:paraId="039A66FE" w14:textId="77777777" w:rsidTr="004F0F84">
        <w:trPr>
          <w:tblHeader/>
        </w:trPr>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C2A962" w14:textId="77777777" w:rsidR="0035572A" w:rsidRPr="001E6E9D" w:rsidRDefault="0035572A" w:rsidP="00DC7081">
            <w:pPr>
              <w:pStyle w:val="Texto-Corpo"/>
              <w:keepNext/>
              <w:spacing w:before="40" w:after="40" w:line="240" w:lineRule="auto"/>
              <w:rPr>
                <w:rFonts w:asciiTheme="minorHAnsi" w:hAnsiTheme="minorHAnsi" w:cstheme="minorHAnsi"/>
                <w:b/>
                <w:sz w:val="16"/>
                <w:szCs w:val="20"/>
              </w:rPr>
            </w:pPr>
          </w:p>
        </w:tc>
        <w:tc>
          <w:tcPr>
            <w:tcW w:w="9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E8DE69" w14:textId="77777777" w:rsidR="0035572A" w:rsidRPr="001E6E9D" w:rsidRDefault="0035572A"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A91266" w14:textId="77777777" w:rsidR="0035572A" w:rsidRPr="001E6E9D" w:rsidRDefault="0035572A"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33AC00" w14:textId="77777777" w:rsidR="0035572A" w:rsidRPr="001E6E9D" w:rsidRDefault="0035572A"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5A206B" w14:textId="77777777" w:rsidR="0035572A" w:rsidRPr="001E6E9D" w:rsidRDefault="0035572A"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Total</w:t>
            </w:r>
          </w:p>
        </w:tc>
      </w:tr>
      <w:tr w:rsidR="0035572A" w:rsidRPr="001E6E9D" w14:paraId="5D969909"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6DD8A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CF88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70A9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3</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D271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0831124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3</w:t>
            </w:r>
          </w:p>
        </w:tc>
      </w:tr>
      <w:tr w:rsidR="0035572A" w:rsidRPr="001E6E9D" w14:paraId="7498D349"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79E26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F9E7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E868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CDB3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3E91A5F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12BF59B"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EEA09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296B1" w14:textId="77777777" w:rsidR="0035572A" w:rsidRPr="001E6E9D" w:rsidRDefault="0035572A" w:rsidP="001F7A69">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nenhuma das garantidoras FED e SPEs não possuía 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BF11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D1C08" w14:textId="2F87A44F" w:rsidR="0035572A" w:rsidRPr="001E6E9D" w:rsidRDefault="0035572A" w:rsidP="001F7A69">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nenhuma das garantidoras FED e SPEs possuía Conselho Fiscal.</w:t>
            </w:r>
          </w:p>
        </w:tc>
        <w:tc>
          <w:tcPr>
            <w:tcW w:w="947" w:type="pct"/>
            <w:tcBorders>
              <w:top w:val="single" w:sz="4" w:space="0" w:color="000000"/>
              <w:left w:val="single" w:sz="4" w:space="0" w:color="000000"/>
              <w:bottom w:val="single" w:sz="4" w:space="0" w:color="000000"/>
              <w:right w:val="single" w:sz="4" w:space="0" w:color="000000"/>
            </w:tcBorders>
            <w:vAlign w:val="center"/>
          </w:tcPr>
          <w:p w14:paraId="5439317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35572A" w:rsidRPr="001E6E9D" w14:paraId="29232BAA"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79FE71"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35572A" w:rsidRPr="001E6E9D" w14:paraId="6E99A49E"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4EE0EA"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747C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95DC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090C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54C0416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E7A4C20"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4D34F1"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4B8A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B9902"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9B52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5276467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E9FE00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C73BFE"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56D5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09C4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89C1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30DA37E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99B3E6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615198"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3F5C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8D10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7A51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0784B83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F10A62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B54F35"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C65AA"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51A8D"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86D5C"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67A84FF7"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r>
      <w:tr w:rsidR="0035572A" w:rsidRPr="001E6E9D" w14:paraId="5AB6FA04"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C2DD76"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35572A" w:rsidRPr="001E6E9D" w14:paraId="331BA8E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A258ED"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Bônus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A3E09"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AB31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6433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462C789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0A7715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2C650A"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CFB6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5CFA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AF6D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7F0CFF3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561150C"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B2FAFB"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33EC2"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B6E9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DA59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7FF56CE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E9774AC"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712986"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2F46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74E5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6270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6C14A1F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6C43D4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63DDCD"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0C9ED"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F7BB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AD80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158F553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4713239"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6F85AA"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79F6D"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BFC2D"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6338B"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49545C99"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r>
      <w:tr w:rsidR="0035572A" w:rsidRPr="001E6E9D" w14:paraId="6A78CB52"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A089FA"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A0A6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E997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247F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34EFB17D"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274450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1CEA7F"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CDE9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3C8CD"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B563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32B630A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EDBDD8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886A98" w14:textId="32098076"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 xml:space="preserve">Baseada em ações </w:t>
            </w:r>
            <w:r w:rsidR="0034415F" w:rsidRPr="001E6E9D">
              <w:rPr>
                <w:rFonts w:asciiTheme="minorHAnsi" w:hAnsiTheme="minorHAnsi" w:cstheme="minorHAnsi"/>
                <w:b/>
                <w:sz w:val="16"/>
                <w:szCs w:val="20"/>
              </w:rPr>
              <w:br/>
            </w:r>
            <w:r w:rsidRPr="001E6E9D">
              <w:rPr>
                <w:rFonts w:asciiTheme="minorHAnsi" w:hAnsiTheme="minorHAnsi" w:cstheme="minorHAnsi"/>
                <w:b/>
                <w:sz w:val="16"/>
                <w:szCs w:val="20"/>
              </w:rPr>
              <w:t>(incluindo opções)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E0F4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CEA4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3F38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3361ED5D"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4C45B7B"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CE6E97"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57BF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05AF1" w14:textId="77777777" w:rsidR="0035572A" w:rsidRPr="001E6E9D" w:rsidRDefault="0035572A"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 xml:space="preserve">Foram considerados para o cálculo do número de membros da Diretoria os meses de janeiro ou mês de constituição a dezembro de 2024 conforme disposto no item 10.2.8.2 do OFÍCIO-CIRCULAR/ANUAL-2024-CVM/SEP, o número de membros da Diretoria </w:t>
            </w:r>
            <w:r w:rsidRPr="001E6E9D">
              <w:rPr>
                <w:rFonts w:asciiTheme="minorHAnsi" w:hAnsiTheme="minorHAnsi" w:cstheme="minorHAnsi"/>
                <w:sz w:val="16"/>
                <w:szCs w:val="20"/>
              </w:rPr>
              <w:lastRenderedPageBreak/>
              <w:t>foi apurado de acordo com a média anual do número de membros de tal órgão apurado mensalmente, com duas casas decimais.</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D7E3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lastRenderedPageBreak/>
              <w:t>-</w:t>
            </w:r>
          </w:p>
        </w:tc>
        <w:tc>
          <w:tcPr>
            <w:tcW w:w="947" w:type="pct"/>
            <w:tcBorders>
              <w:top w:val="single" w:sz="4" w:space="0" w:color="000000"/>
              <w:left w:val="single" w:sz="4" w:space="0" w:color="000000"/>
              <w:bottom w:val="single" w:sz="4" w:space="0" w:color="000000"/>
              <w:right w:val="single" w:sz="4" w:space="0" w:color="000000"/>
            </w:tcBorders>
            <w:vAlign w:val="center"/>
          </w:tcPr>
          <w:p w14:paraId="46F088F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35572A" w:rsidRPr="001E6E9D" w14:paraId="13E97063"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F6440A"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Total da remuneração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D22F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3A78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E2C7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4A0DF12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r>
    </w:tbl>
    <w:p w14:paraId="173C1565" w14:textId="50D3E847" w:rsidR="0035572A" w:rsidRPr="001E6E9D" w:rsidRDefault="0034415F" w:rsidP="0034415F">
      <w:pPr>
        <w:pStyle w:val="Texto-Corpo"/>
        <w:keepNext/>
        <w:spacing w:before="200" w:after="200" w:line="240" w:lineRule="auto"/>
        <w:ind w:left="567" w:hanging="567"/>
        <w:rPr>
          <w:rFonts w:asciiTheme="minorHAnsi" w:hAnsiTheme="minorHAnsi" w:cstheme="minorHAnsi"/>
          <w:szCs w:val="20"/>
        </w:rPr>
      </w:pPr>
      <w:r w:rsidRPr="001E6E9D">
        <w:rPr>
          <w:rFonts w:asciiTheme="minorHAnsi" w:hAnsiTheme="minorHAnsi" w:cstheme="minorHAnsi"/>
          <w:szCs w:val="20"/>
        </w:rPr>
        <w:t xml:space="preserve"> </w:t>
      </w:r>
      <w:r w:rsidR="00DC7081" w:rsidRPr="001E6E9D">
        <w:rPr>
          <w:rFonts w:asciiTheme="minorHAnsi" w:hAnsiTheme="minorHAnsi" w:cstheme="minorHAnsi"/>
          <w:szCs w:val="20"/>
        </w:rPr>
        <w:t>(b)</w:t>
      </w:r>
      <w:r w:rsidR="00DC7081" w:rsidRPr="001E6E9D">
        <w:rPr>
          <w:rFonts w:asciiTheme="minorHAnsi" w:hAnsiTheme="minorHAnsi" w:cstheme="minorHAnsi"/>
          <w:szCs w:val="20"/>
        </w:rPr>
        <w:tab/>
      </w:r>
      <w:r w:rsidR="0035572A" w:rsidRPr="001E6E9D">
        <w:rPr>
          <w:rFonts w:asciiTheme="minorHAnsi" w:hAnsiTheme="minorHAnsi" w:cstheme="minorHAnsi"/>
          <w:szCs w:val="20"/>
        </w:rPr>
        <w:t>FERP: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0"/>
        <w:gridCol w:w="1738"/>
        <w:gridCol w:w="1738"/>
        <w:gridCol w:w="1732"/>
        <w:gridCol w:w="1713"/>
      </w:tblGrid>
      <w:tr w:rsidR="0035572A" w:rsidRPr="001E6E9D" w14:paraId="5B64F57F"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70D7C42" w14:textId="77777777" w:rsidR="0035572A" w:rsidRPr="001E6E9D" w:rsidRDefault="0035572A" w:rsidP="00DC7081">
            <w:pPr>
              <w:pStyle w:val="Texto-Corpo"/>
              <w:keepNext/>
              <w:spacing w:before="60" w:after="6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prevista para o Exercício Social corrente 31/12/2024 – Valores Anuais</w:t>
            </w:r>
          </w:p>
        </w:tc>
      </w:tr>
      <w:tr w:rsidR="0035572A" w:rsidRPr="001E6E9D" w14:paraId="3F47AD84" w14:textId="77777777" w:rsidTr="004F0F84">
        <w:trPr>
          <w:tblHeader/>
        </w:trPr>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2AFD5A" w14:textId="77777777" w:rsidR="0035572A" w:rsidRPr="001E6E9D" w:rsidRDefault="0035572A" w:rsidP="0034415F">
            <w:pPr>
              <w:pStyle w:val="Texto-Corpo"/>
              <w:keepNext/>
              <w:spacing w:before="60" w:after="60" w:line="240" w:lineRule="auto"/>
              <w:jc w:val="left"/>
              <w:rPr>
                <w:rFonts w:asciiTheme="minorHAnsi" w:hAnsiTheme="minorHAnsi" w:cstheme="minorHAnsi"/>
                <w:b/>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4634F8" w14:textId="77777777" w:rsidR="0035572A" w:rsidRPr="001E6E9D" w:rsidRDefault="0035572A" w:rsidP="0034415F">
            <w:pPr>
              <w:pStyle w:val="Texto-Corpo"/>
              <w:keepNext/>
              <w:spacing w:before="60" w:after="6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6AEEAD" w14:textId="77777777" w:rsidR="0035572A" w:rsidRPr="001E6E9D" w:rsidRDefault="0035572A" w:rsidP="0034415F">
            <w:pPr>
              <w:pStyle w:val="Texto-Corpo"/>
              <w:keepNext/>
              <w:spacing w:before="60" w:after="6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5341DC" w14:textId="77777777" w:rsidR="0035572A" w:rsidRPr="001E6E9D" w:rsidRDefault="0035572A" w:rsidP="0034415F">
            <w:pPr>
              <w:pStyle w:val="Texto-Corpo"/>
              <w:keepNext/>
              <w:spacing w:before="60" w:after="6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1254B0" w14:textId="77777777" w:rsidR="0035572A" w:rsidRPr="001E6E9D" w:rsidRDefault="0035572A" w:rsidP="0034415F">
            <w:pPr>
              <w:pStyle w:val="Texto-Corpo"/>
              <w:keepNext/>
              <w:spacing w:before="60" w:after="6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Total</w:t>
            </w:r>
          </w:p>
        </w:tc>
      </w:tr>
      <w:tr w:rsidR="0035572A" w:rsidRPr="001E6E9D" w14:paraId="6A18C90D"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D88907"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DB6D8"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3</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C6C7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3,64</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AC02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7BAF368"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6,64</w:t>
            </w:r>
          </w:p>
        </w:tc>
      </w:tr>
      <w:tr w:rsidR="0035572A" w:rsidRPr="001E6E9D" w14:paraId="7729B3C4"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E5E39E"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A13D1"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71696"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A5448"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DB0153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11E495C"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E26489"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798D6"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3</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F2501"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 xml:space="preserve">4 </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B7A57" w14:textId="77777777" w:rsidR="0035572A" w:rsidRPr="001E6E9D" w:rsidRDefault="0035572A" w:rsidP="0034415F">
            <w:pPr>
              <w:pStyle w:val="Texto-Corpo"/>
              <w:spacing w:before="60" w:after="6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a FERP não possuía Conselho Fiscal.</w:t>
            </w:r>
          </w:p>
        </w:tc>
        <w:tc>
          <w:tcPr>
            <w:tcW w:w="946" w:type="pct"/>
            <w:tcBorders>
              <w:top w:val="single" w:sz="4" w:space="0" w:color="000000"/>
              <w:left w:val="single" w:sz="4" w:space="0" w:color="000000"/>
              <w:bottom w:val="single" w:sz="4" w:space="0" w:color="000000"/>
              <w:right w:val="single" w:sz="4" w:space="0" w:color="000000"/>
            </w:tcBorders>
            <w:vAlign w:val="center"/>
          </w:tcPr>
          <w:p w14:paraId="374159C9"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35572A" w:rsidRPr="001E6E9D" w14:paraId="00BE492C"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F14A5A" w14:textId="77777777" w:rsidR="0035572A" w:rsidRPr="001E6E9D" w:rsidRDefault="0035572A" w:rsidP="0034415F">
            <w:pPr>
              <w:pStyle w:val="Texto-Corpo"/>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35572A" w:rsidRPr="001E6E9D" w14:paraId="16A06219"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09D4BC"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2E92B"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7F6C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3959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CFDFB59"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70D55990"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E0079D"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0E428"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DAF5F"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850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9349216"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FF1B173"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D9E804"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6C14A"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1F39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A1104"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36B8C4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7621E17"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3155F5"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B4EEE"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FB969"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8A66C"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FE5365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05CFF92"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292F92"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2DE5D"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965F5"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94F7B"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666AF59A"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r>
      <w:tr w:rsidR="0035572A" w:rsidRPr="001E6E9D" w14:paraId="7DAA1532"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C549B8" w14:textId="77777777" w:rsidR="0035572A" w:rsidRPr="001E6E9D" w:rsidRDefault="0035572A" w:rsidP="0034415F">
            <w:pPr>
              <w:pStyle w:val="Texto-Corpo"/>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35572A" w:rsidRPr="001E6E9D" w14:paraId="253D0D7C"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FC1B06"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Bônus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57265"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275E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19208"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E1C0D7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57BB5743"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3B0891"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47733"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D8ECF"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C6647"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2EC8BC8"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DD47A82"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0F9CDA"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1262B"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22AB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CB7DE"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FB6AB4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0844CBF"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6CB947"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C8992"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6896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1BBFC"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F2599A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91410D3"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811453"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5A54B"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312B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2334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BF6E0A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2C91B18"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D6390F"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7B617"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14853"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08C4B"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50C2F8A1"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r>
      <w:tr w:rsidR="0035572A" w:rsidRPr="001E6E9D" w14:paraId="6679E485"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21430E" w14:textId="77777777" w:rsidR="0035572A" w:rsidRPr="001E6E9D" w:rsidRDefault="0035572A"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65A0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8DEF6"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E7F74"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ACC30D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70D1141A"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40A24C" w14:textId="77777777" w:rsidR="0035572A" w:rsidRPr="001E6E9D" w:rsidRDefault="0035572A"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F3199"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E9B5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9390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96CDFC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B2E9A5C"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FD289A" w14:textId="3191EE8F" w:rsidR="0035572A" w:rsidRPr="001E6E9D" w:rsidRDefault="0035572A" w:rsidP="0034415F">
            <w:pPr>
              <w:pStyle w:val="Texto-Corpo"/>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 xml:space="preserve">Baseada em ações </w:t>
            </w:r>
            <w:r w:rsidR="0034415F" w:rsidRPr="001E6E9D">
              <w:rPr>
                <w:rFonts w:asciiTheme="minorHAnsi" w:hAnsiTheme="minorHAnsi" w:cstheme="minorHAnsi"/>
                <w:b/>
                <w:sz w:val="16"/>
                <w:szCs w:val="20"/>
              </w:rPr>
              <w:br/>
            </w:r>
            <w:r w:rsidRPr="001E6E9D">
              <w:rPr>
                <w:rFonts w:asciiTheme="minorHAnsi" w:hAnsiTheme="minorHAnsi" w:cstheme="minorHAnsi"/>
                <w:b/>
                <w:sz w:val="16"/>
                <w:szCs w:val="20"/>
              </w:rPr>
              <w:t>(incluindo opções)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B58D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CE39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4C2E6"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805A242"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65C811C"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E4BA33" w14:textId="77777777" w:rsidR="0035572A" w:rsidRPr="001E6E9D" w:rsidRDefault="0035572A"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81D41" w14:textId="77777777" w:rsidR="0035572A" w:rsidRPr="001E6E9D" w:rsidRDefault="0035572A" w:rsidP="0034415F">
            <w:pPr>
              <w:pStyle w:val="Texto-Corpo"/>
              <w:spacing w:before="60" w:after="60" w:line="240" w:lineRule="auto"/>
              <w:jc w:val="center"/>
              <w:rPr>
                <w:rFonts w:asciiTheme="minorHAnsi" w:hAnsiTheme="minorHAnsi" w:cstheme="minorHAnsi"/>
                <w:sz w:val="16"/>
                <w:szCs w:val="20"/>
              </w:rPr>
            </w:pPr>
            <w:r w:rsidRPr="001E6E9D">
              <w:rPr>
                <w:rFonts w:asciiTheme="minorHAnsi" w:hAnsiTheme="minorHAnsi" w:cstheme="minorHAnsi"/>
                <w:sz w:val="16"/>
                <w:szCs w:val="20"/>
              </w:rPr>
              <w:t xml:space="preserve">Conforme disposto no item 10.2.8.2 do OFÍCIO-CIRCULAR/ANUAL-2024-CVM/SEP, o número de membros da Diretoria foi apurado de acordo com a média anual do número de membros de tal órgão apurado </w:t>
            </w:r>
            <w:r w:rsidRPr="001E6E9D">
              <w:rPr>
                <w:rFonts w:asciiTheme="minorHAnsi" w:hAnsiTheme="minorHAnsi" w:cstheme="minorHAnsi"/>
                <w:sz w:val="16"/>
                <w:szCs w:val="20"/>
              </w:rPr>
              <w:lastRenderedPageBreak/>
              <w:t>mensalmente, com duas casas decimais.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721A7" w14:textId="77777777" w:rsidR="0035572A" w:rsidRPr="001E6E9D" w:rsidRDefault="0035572A" w:rsidP="0034415F">
            <w:pPr>
              <w:pStyle w:val="Texto-Corpo"/>
              <w:spacing w:before="60" w:after="60" w:line="240" w:lineRule="auto"/>
              <w:jc w:val="center"/>
              <w:rPr>
                <w:rFonts w:asciiTheme="minorHAnsi" w:hAnsiTheme="minorHAnsi" w:cstheme="minorHAnsi"/>
                <w:sz w:val="16"/>
                <w:szCs w:val="20"/>
              </w:rPr>
            </w:pPr>
            <w:r w:rsidRPr="001E6E9D">
              <w:rPr>
                <w:rFonts w:asciiTheme="minorHAnsi" w:hAnsiTheme="minorHAnsi" w:cstheme="minorHAnsi"/>
                <w:sz w:val="16"/>
                <w:szCs w:val="20"/>
              </w:rPr>
              <w:lastRenderedPageBreak/>
              <w:t xml:space="preserve">Conforme disposto no item 10.2.8.2 do OFÍCIO-CIRCULAR/ANUAL-2024-CVM/SEP, o número de membros da Diretoria foi apurado de acordo com a média anual do número de membros de tal órgão apurado </w:t>
            </w:r>
            <w:r w:rsidRPr="001E6E9D">
              <w:rPr>
                <w:rFonts w:asciiTheme="minorHAnsi" w:hAnsiTheme="minorHAnsi" w:cstheme="minorHAnsi"/>
                <w:sz w:val="16"/>
                <w:szCs w:val="20"/>
              </w:rPr>
              <w:lastRenderedPageBreak/>
              <w:t>mensalmente, com duas casas decimais.</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2D1BE"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lastRenderedPageBreak/>
              <w:t>-</w:t>
            </w:r>
          </w:p>
        </w:tc>
        <w:tc>
          <w:tcPr>
            <w:tcW w:w="946" w:type="pct"/>
            <w:tcBorders>
              <w:top w:val="single" w:sz="4" w:space="0" w:color="000000"/>
              <w:left w:val="single" w:sz="4" w:space="0" w:color="000000"/>
              <w:bottom w:val="single" w:sz="4" w:space="0" w:color="000000"/>
              <w:right w:val="single" w:sz="4" w:space="0" w:color="000000"/>
            </w:tcBorders>
            <w:vAlign w:val="center"/>
          </w:tcPr>
          <w:p w14:paraId="1BE54A35"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r>
      <w:tr w:rsidR="0035572A" w:rsidRPr="001E6E9D" w14:paraId="2C66D4ED"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D1EF4E" w14:textId="77777777" w:rsidR="0035572A" w:rsidRPr="001E6E9D" w:rsidRDefault="0035572A"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Total da remuneração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65EE6"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3760B"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471B2"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C1A6A24"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r>
    </w:tbl>
    <w:p w14:paraId="08EBC5E3" w14:textId="77777777" w:rsidR="0035572A" w:rsidRPr="001E6E9D" w:rsidRDefault="0035572A" w:rsidP="00DC7081">
      <w:pPr>
        <w:rPr>
          <w:rFonts w:asciiTheme="minorHAnsi" w:hAnsiTheme="minorHAnsi" w:cstheme="minorHAnsi"/>
          <w:lang w:eastAsia="en-GB"/>
        </w:rPr>
      </w:pPr>
    </w:p>
    <w:p w14:paraId="4D278DFA" w14:textId="0D286980" w:rsidR="007E45D1" w:rsidRPr="001E6E9D" w:rsidRDefault="007E45D1" w:rsidP="00DC7081">
      <w:pPr>
        <w:pStyle w:val="Head"/>
        <w:spacing w:before="0" w:after="200" w:line="240" w:lineRule="auto"/>
        <w:rPr>
          <w:rFonts w:asciiTheme="minorHAnsi" w:hAnsiTheme="minorHAnsi" w:cstheme="minorHAnsi"/>
          <w:kern w:val="0"/>
          <w:sz w:val="20"/>
          <w:szCs w:val="20"/>
        </w:rPr>
      </w:pPr>
      <w:r w:rsidRPr="001E6E9D">
        <w:rPr>
          <w:rFonts w:asciiTheme="minorHAnsi" w:hAnsiTheme="minorHAnsi" w:cstheme="minorHAnsi"/>
          <w:kern w:val="0"/>
          <w:sz w:val="20"/>
          <w:szCs w:val="20"/>
        </w:rPr>
        <w:t>2023:</w:t>
      </w:r>
    </w:p>
    <w:p w14:paraId="54CB8F90" w14:textId="194A943A" w:rsidR="00706230" w:rsidRPr="001E6E9D" w:rsidRDefault="00DC7081" w:rsidP="0034415F">
      <w:pPr>
        <w:keepNext/>
        <w:ind w:left="360" w:hanging="360"/>
        <w:rPr>
          <w:rFonts w:asciiTheme="minorHAnsi" w:hAnsiTheme="minorHAnsi" w:cstheme="minorHAnsi"/>
          <w:lang w:eastAsia="en-GB"/>
        </w:rPr>
      </w:pPr>
      <w:r w:rsidRPr="001E6E9D">
        <w:rPr>
          <w:rFonts w:asciiTheme="minorHAnsi" w:hAnsiTheme="minorHAnsi" w:cstheme="minorHAnsi"/>
          <w:lang w:eastAsia="en-GB"/>
        </w:rPr>
        <w:t>(a)</w:t>
      </w:r>
      <w:r w:rsidRPr="001E6E9D">
        <w:rPr>
          <w:rFonts w:asciiTheme="minorHAnsi" w:hAnsiTheme="minorHAnsi" w:cstheme="minorHAnsi"/>
          <w:lang w:eastAsia="en-GB"/>
        </w:rPr>
        <w:tab/>
      </w:r>
      <w:r w:rsidR="00706230" w:rsidRPr="001E6E9D">
        <w:rPr>
          <w:rFonts w:asciiTheme="minorHAnsi" w:hAnsiTheme="minorHAnsi" w:cstheme="minorHAnsi"/>
        </w:rPr>
        <w:t xml:space="preserve">As garantidoras </w:t>
      </w:r>
      <w:r w:rsidR="00212924" w:rsidRPr="001E6E9D">
        <w:rPr>
          <w:rFonts w:asciiTheme="minorHAnsi" w:hAnsiTheme="minorHAnsi" w:cstheme="minorHAnsi"/>
        </w:rPr>
        <w:t xml:space="preserve">SPE </w:t>
      </w:r>
      <w:r w:rsidR="0031315D" w:rsidRPr="001E6E9D">
        <w:rPr>
          <w:rFonts w:asciiTheme="minorHAnsi" w:hAnsiTheme="minorHAnsi" w:cstheme="minorHAnsi"/>
        </w:rPr>
        <w:t>12, SPE 14 e SPE16</w:t>
      </w:r>
      <w:r w:rsidR="00706230" w:rsidRPr="001E6E9D">
        <w:rPr>
          <w:rFonts w:asciiTheme="minorHAnsi" w:hAnsiTheme="minorHAnsi" w:cstheme="minorHAnsi"/>
        </w:rPr>
        <w:t xml:space="preserve"> não haviam sido constituídas até 31 de dezembro de 2023;</w:t>
      </w:r>
    </w:p>
    <w:p w14:paraId="017E90DB" w14:textId="6C82DD88" w:rsidR="007E45D1" w:rsidRPr="001E6E9D" w:rsidRDefault="0034415F" w:rsidP="0034415F">
      <w:pPr>
        <w:keepNext/>
        <w:ind w:left="360" w:hanging="360"/>
        <w:rPr>
          <w:rFonts w:asciiTheme="minorHAnsi" w:hAnsiTheme="minorHAnsi" w:cstheme="minorHAnsi"/>
          <w:lang w:eastAsia="en-GB"/>
        </w:rPr>
      </w:pPr>
      <w:r w:rsidRPr="001E6E9D">
        <w:rPr>
          <w:rFonts w:asciiTheme="minorHAnsi" w:hAnsiTheme="minorHAnsi" w:cstheme="minorHAnsi"/>
          <w:lang w:eastAsia="en-GB"/>
        </w:rPr>
        <w:t xml:space="preserve"> </w:t>
      </w:r>
      <w:r w:rsidR="00DC7081" w:rsidRPr="001E6E9D">
        <w:rPr>
          <w:rFonts w:asciiTheme="minorHAnsi" w:hAnsiTheme="minorHAnsi" w:cstheme="minorHAnsi"/>
          <w:lang w:eastAsia="en-GB"/>
        </w:rPr>
        <w:t>(b)</w:t>
      </w:r>
      <w:r w:rsidR="00DC7081" w:rsidRPr="001E6E9D">
        <w:rPr>
          <w:rFonts w:asciiTheme="minorHAnsi" w:hAnsiTheme="minorHAnsi" w:cstheme="minorHAnsi"/>
          <w:lang w:eastAsia="en-GB"/>
        </w:rPr>
        <w:tab/>
      </w:r>
      <w:r w:rsidR="007E45D1" w:rsidRPr="001E6E9D">
        <w:rPr>
          <w:rFonts w:asciiTheme="minorHAnsi" w:hAnsiTheme="minorHAnsi" w:cstheme="minorHAnsi"/>
          <w:lang w:eastAsia="en-GB"/>
        </w:rPr>
        <w:t>FED: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4"/>
        <w:gridCol w:w="1731"/>
        <w:gridCol w:w="1738"/>
        <w:gridCol w:w="1734"/>
        <w:gridCol w:w="1714"/>
      </w:tblGrid>
      <w:tr w:rsidR="007E45D1" w:rsidRPr="001E6E9D" w14:paraId="4F0EB490"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61AD94B" w14:textId="6F0C69F9" w:rsidR="007E45D1" w:rsidRPr="001E6E9D" w:rsidRDefault="007E45D1"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do Exercício Social em 31/12/202</w:t>
            </w:r>
            <w:r w:rsidR="00D1501F" w:rsidRPr="001E6E9D">
              <w:rPr>
                <w:rFonts w:asciiTheme="minorHAnsi" w:hAnsiTheme="minorHAnsi" w:cstheme="minorHAnsi"/>
                <w:b/>
                <w:sz w:val="16"/>
                <w:szCs w:val="20"/>
              </w:rPr>
              <w:t>3</w:t>
            </w:r>
            <w:r w:rsidRPr="001E6E9D">
              <w:rPr>
                <w:rFonts w:asciiTheme="minorHAnsi" w:hAnsiTheme="minorHAnsi" w:cstheme="minorHAnsi"/>
                <w:b/>
                <w:sz w:val="16"/>
                <w:szCs w:val="20"/>
              </w:rPr>
              <w:t xml:space="preserve"> - Valores Anuais</w:t>
            </w:r>
          </w:p>
        </w:tc>
      </w:tr>
      <w:tr w:rsidR="007E45D1" w:rsidRPr="001E6E9D" w14:paraId="2EE8C060" w14:textId="77777777" w:rsidTr="004F0F84">
        <w:trPr>
          <w:tblHeader/>
        </w:trPr>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31D980" w14:textId="77777777" w:rsidR="007E45D1" w:rsidRPr="001E6E9D" w:rsidRDefault="007E45D1" w:rsidP="00DC7081">
            <w:pPr>
              <w:pStyle w:val="Texto-Corpo"/>
              <w:keepNext/>
              <w:spacing w:before="40" w:after="40" w:line="240" w:lineRule="auto"/>
              <w:rPr>
                <w:rFonts w:asciiTheme="minorHAnsi" w:hAnsiTheme="minorHAnsi" w:cstheme="minorHAnsi"/>
                <w:b/>
                <w:sz w:val="16"/>
                <w:szCs w:val="20"/>
              </w:rPr>
            </w:pPr>
          </w:p>
        </w:tc>
        <w:tc>
          <w:tcPr>
            <w:tcW w:w="9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71A72A" w14:textId="77777777" w:rsidR="007E45D1" w:rsidRPr="001E6E9D" w:rsidRDefault="007E45D1" w:rsidP="0034415F">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26E1C9" w14:textId="77777777" w:rsidR="007E45D1" w:rsidRPr="001E6E9D" w:rsidRDefault="007E45D1"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B0993D" w14:textId="77777777" w:rsidR="007E45D1" w:rsidRPr="001E6E9D" w:rsidRDefault="007E45D1"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F37C00" w14:textId="77777777" w:rsidR="007E45D1" w:rsidRPr="001E6E9D" w:rsidRDefault="007E45D1"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Total</w:t>
            </w:r>
          </w:p>
        </w:tc>
      </w:tr>
      <w:tr w:rsidR="007E45D1" w:rsidRPr="001E6E9D" w14:paraId="537BDD29"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28FB71" w14:textId="77777777" w:rsidR="007E45D1" w:rsidRPr="001E6E9D" w:rsidRDefault="007E45D1"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2EC59" w14:textId="77777777" w:rsidR="007E45D1" w:rsidRPr="001E6E9D" w:rsidRDefault="007E45D1"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20B6B" w14:textId="70F515DC" w:rsidR="007E45D1"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2,67</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CCFB9" w14:textId="77777777" w:rsidR="007E45D1" w:rsidRPr="001E6E9D" w:rsidRDefault="007E45D1"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B29F3D4" w14:textId="3D510F90" w:rsidR="007E45D1"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2,67</w:t>
            </w:r>
          </w:p>
        </w:tc>
      </w:tr>
      <w:tr w:rsidR="007E45D1" w:rsidRPr="001E6E9D" w14:paraId="2711389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E0633B" w14:textId="77777777" w:rsidR="007E45D1" w:rsidRPr="001E6E9D" w:rsidRDefault="007E45D1"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BB982" w14:textId="77777777" w:rsidR="007E45D1" w:rsidRPr="001E6E9D" w:rsidRDefault="007E45D1"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8795A" w14:textId="77777777" w:rsidR="007E45D1" w:rsidRPr="001E6E9D" w:rsidRDefault="007E45D1"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47CB0" w14:textId="77777777" w:rsidR="007E45D1" w:rsidRPr="001E6E9D" w:rsidRDefault="007E45D1"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B6043AE" w14:textId="77777777" w:rsidR="007E45D1" w:rsidRPr="001E6E9D" w:rsidRDefault="007E45D1"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2B2765E2"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B4AC2E"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E4ACF" w14:textId="796561AF" w:rsidR="007E45D1" w:rsidRPr="001E6E9D" w:rsidRDefault="008172F9"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 xml:space="preserve">Na data </w:t>
            </w:r>
            <w:r w:rsidR="0024668F" w:rsidRPr="001E6E9D">
              <w:rPr>
                <w:rFonts w:asciiTheme="minorHAnsi" w:hAnsiTheme="minorHAnsi" w:cstheme="minorHAnsi"/>
                <w:sz w:val="16"/>
                <w:szCs w:val="20"/>
              </w:rPr>
              <w:t>deste Prospecto</w:t>
            </w:r>
            <w:r w:rsidRPr="001E6E9D">
              <w:rPr>
                <w:rFonts w:asciiTheme="minorHAnsi" w:hAnsiTheme="minorHAnsi" w:cstheme="minorHAnsi"/>
                <w:sz w:val="16"/>
                <w:szCs w:val="20"/>
              </w:rPr>
              <w:t>, a FED não possuía 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8C8D5"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D60DB" w14:textId="41616ED6" w:rsidR="007E45D1" w:rsidRPr="001E6E9D" w:rsidRDefault="008172F9"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 xml:space="preserve">Na data </w:t>
            </w:r>
            <w:r w:rsidR="0024668F" w:rsidRPr="001E6E9D">
              <w:rPr>
                <w:rFonts w:asciiTheme="minorHAnsi" w:hAnsiTheme="minorHAnsi" w:cstheme="minorHAnsi"/>
                <w:sz w:val="16"/>
                <w:szCs w:val="20"/>
              </w:rPr>
              <w:t>deste Prospecto</w:t>
            </w:r>
            <w:r w:rsidRPr="001E6E9D">
              <w:rPr>
                <w:rFonts w:asciiTheme="minorHAnsi" w:hAnsiTheme="minorHAnsi" w:cstheme="minorHAnsi"/>
                <w:sz w:val="16"/>
                <w:szCs w:val="20"/>
              </w:rPr>
              <w:t>, a FED não possuía Conselho Fiscal</w:t>
            </w:r>
            <w:r w:rsidR="007E45D1" w:rsidRPr="001E6E9D">
              <w:rPr>
                <w:rFonts w:asciiTheme="minorHAnsi" w:hAnsiTheme="minorHAnsi" w:cstheme="minorHAnsi"/>
                <w:sz w:val="16"/>
                <w:szCs w:val="20"/>
              </w:rPr>
              <w:t>.</w:t>
            </w:r>
          </w:p>
        </w:tc>
        <w:tc>
          <w:tcPr>
            <w:tcW w:w="946" w:type="pct"/>
            <w:tcBorders>
              <w:top w:val="single" w:sz="4" w:space="0" w:color="000000"/>
              <w:left w:val="single" w:sz="4" w:space="0" w:color="000000"/>
              <w:bottom w:val="single" w:sz="4" w:space="0" w:color="000000"/>
              <w:right w:val="single" w:sz="4" w:space="0" w:color="000000"/>
            </w:tcBorders>
            <w:vAlign w:val="center"/>
          </w:tcPr>
          <w:p w14:paraId="7F09845A" w14:textId="77777777" w:rsidR="007E45D1" w:rsidRPr="001E6E9D" w:rsidRDefault="007E45D1" w:rsidP="00DC7081">
            <w:pPr>
              <w:pStyle w:val="Texto-Corpo"/>
              <w:spacing w:before="40" w:after="40" w:line="240" w:lineRule="auto"/>
              <w:rPr>
                <w:rFonts w:asciiTheme="minorHAnsi" w:hAnsiTheme="minorHAnsi" w:cstheme="minorHAnsi"/>
                <w:sz w:val="16"/>
                <w:szCs w:val="20"/>
              </w:rPr>
            </w:pPr>
          </w:p>
        </w:tc>
      </w:tr>
      <w:tr w:rsidR="007E45D1" w:rsidRPr="001E6E9D" w14:paraId="3D513188"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7C6C3D" w14:textId="77777777" w:rsidR="007E45D1" w:rsidRPr="001E6E9D" w:rsidRDefault="007E45D1"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7E45D1" w:rsidRPr="001E6E9D" w14:paraId="75B8E0C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E61248"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8593C"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3F6B0"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B9801"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F031E94"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0DC89420"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949B18"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ECF58"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544D4"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E352F"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96B2073"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71D79FA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E759E1"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FE6CD"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62D0D"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B18BF"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A614D1A"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55CE8C2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13E4BD" w14:textId="77777777" w:rsidR="007E45D1" w:rsidRPr="001E6E9D" w:rsidRDefault="007E45D1"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B0D3D"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7AA43"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BA2A8"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E2BEA76"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4C4AA6AC"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E2B0F7" w14:textId="77777777" w:rsidR="007E45D1" w:rsidRPr="001E6E9D" w:rsidRDefault="007E45D1"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BF1E8" w14:textId="77777777" w:rsidR="007E45D1" w:rsidRPr="001E6E9D" w:rsidRDefault="007E45D1"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C4CFC" w14:textId="77777777" w:rsidR="007E45D1" w:rsidRPr="001E6E9D" w:rsidRDefault="007E45D1"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25B7A" w14:textId="77777777" w:rsidR="007E45D1" w:rsidRPr="001E6E9D" w:rsidRDefault="007E45D1"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170C41F2" w14:textId="77777777" w:rsidR="007E45D1" w:rsidRPr="001E6E9D" w:rsidRDefault="007E45D1" w:rsidP="00DC7081">
            <w:pPr>
              <w:pStyle w:val="Texto-Corpo"/>
              <w:spacing w:before="40" w:after="40" w:line="240" w:lineRule="auto"/>
              <w:rPr>
                <w:rFonts w:asciiTheme="minorHAnsi" w:hAnsiTheme="minorHAnsi" w:cstheme="minorHAnsi"/>
                <w:sz w:val="16"/>
                <w:szCs w:val="20"/>
              </w:rPr>
            </w:pPr>
          </w:p>
        </w:tc>
      </w:tr>
      <w:tr w:rsidR="007E45D1" w:rsidRPr="001E6E9D" w14:paraId="11A9D0B7"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E8F271" w14:textId="77777777" w:rsidR="007E45D1" w:rsidRPr="001E6E9D" w:rsidRDefault="007E45D1"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7E45D1" w:rsidRPr="001E6E9D" w14:paraId="41757DFC"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B8B307" w14:textId="77777777" w:rsidR="007E45D1" w:rsidRPr="001E6E9D" w:rsidRDefault="007E45D1"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Bônus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8F65F"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08AC2"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7EBB3"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60CA06D8"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7C1546A3"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6F0D81" w14:textId="77777777" w:rsidR="007E45D1" w:rsidRPr="001E6E9D" w:rsidRDefault="007E45D1"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5E959"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5F337"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076CC"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51A46A7"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06595A3F"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43D07A" w14:textId="77777777" w:rsidR="007E45D1" w:rsidRPr="001E6E9D" w:rsidRDefault="007E45D1"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1BC7F"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94EB8"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DC8F9"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273FA63"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4141C3CF"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E7D1CB" w14:textId="77777777" w:rsidR="007E45D1" w:rsidRPr="001E6E9D" w:rsidRDefault="007E45D1"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82758"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A4990"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4F70D"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EA66A1E"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2E5E457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01BDE9" w14:textId="77777777" w:rsidR="007E45D1" w:rsidRPr="001E6E9D" w:rsidRDefault="007E45D1"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F41BA"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94B3F"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87F15"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330489B"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6CFD2B4F"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9ABF70" w14:textId="77777777" w:rsidR="007E45D1" w:rsidRPr="001E6E9D" w:rsidRDefault="007E45D1"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F1F27" w14:textId="77777777" w:rsidR="007E45D1" w:rsidRPr="001E6E9D" w:rsidRDefault="007E45D1"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AF18F" w14:textId="77777777" w:rsidR="007E45D1" w:rsidRPr="001E6E9D" w:rsidRDefault="007E45D1"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1E559" w14:textId="77777777" w:rsidR="007E45D1" w:rsidRPr="001E6E9D" w:rsidRDefault="007E45D1"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06685E7A" w14:textId="77777777" w:rsidR="007E45D1" w:rsidRPr="001E6E9D" w:rsidRDefault="007E45D1" w:rsidP="00DC7081">
            <w:pPr>
              <w:pStyle w:val="Texto-Corpo"/>
              <w:spacing w:before="40" w:after="40" w:line="240" w:lineRule="auto"/>
              <w:rPr>
                <w:rFonts w:asciiTheme="minorHAnsi" w:hAnsiTheme="minorHAnsi" w:cstheme="minorHAnsi"/>
                <w:sz w:val="16"/>
                <w:szCs w:val="20"/>
              </w:rPr>
            </w:pPr>
          </w:p>
        </w:tc>
      </w:tr>
      <w:tr w:rsidR="007E45D1" w:rsidRPr="001E6E9D" w14:paraId="30E9404E"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73705B" w14:textId="77777777" w:rsidR="007E45D1" w:rsidRPr="001E6E9D" w:rsidRDefault="007E45D1"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A3A3C"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8EE35"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73BFF"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B35902F"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690E24A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54B305" w14:textId="77777777" w:rsidR="007E45D1" w:rsidRPr="001E6E9D" w:rsidRDefault="007E45D1"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4B9FB"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FB312"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567C5"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42ACD2E"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0B2CDE18"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A18E7C" w14:textId="77777777" w:rsidR="007E45D1" w:rsidRPr="001E6E9D" w:rsidRDefault="007E45D1"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Baseada em ações (incluindo opções)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40721"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28642"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562D4"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A7D121E"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7E45D1" w:rsidRPr="001E6E9D" w14:paraId="54993320"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510659" w14:textId="77777777" w:rsidR="007E45D1" w:rsidRPr="001E6E9D" w:rsidRDefault="007E45D1"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D770C"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CE4B9" w14:textId="203F6AB4" w:rsidR="007E45D1" w:rsidRPr="001E6E9D" w:rsidRDefault="007E45D1"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Conforme disposto no item 10.2.8.2 do OFÍCIO-CIRCULAR/ANUAL-2024-CVM/SEP, o número de membros da Diretoria foi apurado de acordo com a média anual do número de membros de tal órgão apurado mensalmente, com duas casas decimais.</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F4D1F"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46" w:type="pct"/>
            <w:tcBorders>
              <w:top w:val="single" w:sz="4" w:space="0" w:color="000000"/>
              <w:left w:val="single" w:sz="4" w:space="0" w:color="000000"/>
              <w:bottom w:val="single" w:sz="4" w:space="0" w:color="000000"/>
              <w:right w:val="single" w:sz="4" w:space="0" w:color="000000"/>
            </w:tcBorders>
            <w:vAlign w:val="center"/>
          </w:tcPr>
          <w:p w14:paraId="3D1E75C7" w14:textId="77777777" w:rsidR="007E45D1" w:rsidRPr="001E6E9D" w:rsidRDefault="007E45D1"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7E45D1" w:rsidRPr="001E6E9D" w14:paraId="649CFCCB"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4B38AE" w14:textId="77777777" w:rsidR="007E45D1" w:rsidRPr="001E6E9D" w:rsidRDefault="007E45D1"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lastRenderedPageBreak/>
              <w:t>Total da remuneração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A2DD3" w14:textId="77777777" w:rsidR="007E45D1" w:rsidRPr="001E6E9D" w:rsidRDefault="007E45D1"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CBD7B" w14:textId="77777777" w:rsidR="007E45D1" w:rsidRPr="001E6E9D" w:rsidRDefault="007E45D1"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E22FA" w14:textId="77777777" w:rsidR="007E45D1" w:rsidRPr="001E6E9D" w:rsidRDefault="007E45D1"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B609E13" w14:textId="77777777" w:rsidR="007E45D1" w:rsidRPr="001E6E9D" w:rsidRDefault="007E45D1"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r>
    </w:tbl>
    <w:p w14:paraId="01E42259" w14:textId="7379A044" w:rsidR="0035572A" w:rsidRPr="001E6E9D" w:rsidRDefault="0034415F" w:rsidP="0034415F">
      <w:pPr>
        <w:keepNext/>
        <w:spacing w:before="200"/>
        <w:ind w:left="360" w:hanging="360"/>
        <w:rPr>
          <w:rFonts w:asciiTheme="minorHAnsi" w:hAnsiTheme="minorHAnsi" w:cstheme="minorHAnsi"/>
          <w:szCs w:val="20"/>
        </w:rPr>
      </w:pPr>
      <w:r w:rsidRPr="001E6E9D">
        <w:rPr>
          <w:rFonts w:asciiTheme="minorHAnsi" w:hAnsiTheme="minorHAnsi" w:cstheme="minorHAnsi"/>
          <w:szCs w:val="20"/>
        </w:rPr>
        <w:t xml:space="preserve"> </w:t>
      </w:r>
      <w:r w:rsidR="00DC7081" w:rsidRPr="001E6E9D">
        <w:rPr>
          <w:rFonts w:asciiTheme="minorHAnsi" w:hAnsiTheme="minorHAnsi" w:cstheme="minorHAnsi"/>
          <w:szCs w:val="20"/>
        </w:rPr>
        <w:t>(c)</w:t>
      </w:r>
      <w:r w:rsidR="00DC7081" w:rsidRPr="001E6E9D">
        <w:rPr>
          <w:rFonts w:asciiTheme="minorHAnsi" w:hAnsiTheme="minorHAnsi" w:cstheme="minorHAnsi"/>
          <w:szCs w:val="20"/>
        </w:rPr>
        <w:tab/>
      </w:r>
      <w:r w:rsidR="0035572A" w:rsidRPr="001E6E9D">
        <w:rPr>
          <w:rFonts w:asciiTheme="minorHAnsi" w:hAnsiTheme="minorHAnsi" w:cstheme="minorHAnsi"/>
          <w:lang w:eastAsia="en-GB"/>
        </w:rPr>
        <w:t>FERP</w:t>
      </w:r>
      <w:r w:rsidR="0035572A" w:rsidRPr="001E6E9D">
        <w:rPr>
          <w:rFonts w:asciiTheme="minorHAnsi" w:hAnsiTheme="minorHAnsi" w:cstheme="minorHAnsi"/>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0"/>
        <w:gridCol w:w="1738"/>
        <w:gridCol w:w="1738"/>
        <w:gridCol w:w="1732"/>
        <w:gridCol w:w="1713"/>
      </w:tblGrid>
      <w:tr w:rsidR="0035572A" w:rsidRPr="001E6E9D" w14:paraId="17EAD0FB"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8066203" w14:textId="77777777" w:rsidR="0035572A" w:rsidRPr="001E6E9D" w:rsidRDefault="0035572A" w:rsidP="00DC7081">
            <w:pPr>
              <w:pStyle w:val="Texto-Corpo"/>
              <w:keepNext/>
              <w:spacing w:before="60" w:after="6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do Exercício Social em 31/12/2023 - Valores Anuais</w:t>
            </w:r>
          </w:p>
        </w:tc>
      </w:tr>
      <w:tr w:rsidR="0035572A" w:rsidRPr="001E6E9D" w14:paraId="72ED4482"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5FE708" w14:textId="77777777" w:rsidR="0035572A" w:rsidRPr="001E6E9D" w:rsidRDefault="0035572A" w:rsidP="00DC7081">
            <w:pPr>
              <w:pStyle w:val="Texto-Corpo"/>
              <w:keepNext/>
              <w:spacing w:before="60" w:after="60" w:line="240" w:lineRule="auto"/>
              <w:rPr>
                <w:rFonts w:asciiTheme="minorHAnsi" w:hAnsiTheme="minorHAnsi" w:cstheme="minorHAnsi"/>
                <w:b/>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2EDA13" w14:textId="77777777" w:rsidR="0035572A" w:rsidRPr="001E6E9D" w:rsidRDefault="0035572A" w:rsidP="0034415F">
            <w:pPr>
              <w:pStyle w:val="Texto-Corpo"/>
              <w:keepNext/>
              <w:spacing w:before="60" w:after="6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70DF45" w14:textId="77777777" w:rsidR="0035572A" w:rsidRPr="001E6E9D" w:rsidRDefault="0035572A" w:rsidP="00DC7081">
            <w:pPr>
              <w:pStyle w:val="Texto-Corpo"/>
              <w:keepNext/>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324823" w14:textId="77777777" w:rsidR="0035572A" w:rsidRPr="001E6E9D" w:rsidRDefault="0035572A" w:rsidP="00DC7081">
            <w:pPr>
              <w:pStyle w:val="Texto-Corpo"/>
              <w:keepNext/>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063A08" w14:textId="77777777" w:rsidR="0035572A" w:rsidRPr="001E6E9D" w:rsidRDefault="0035572A" w:rsidP="00DC7081">
            <w:pPr>
              <w:pStyle w:val="Texto-Corpo"/>
              <w:keepNext/>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Total</w:t>
            </w:r>
          </w:p>
        </w:tc>
      </w:tr>
      <w:tr w:rsidR="0035572A" w:rsidRPr="001E6E9D" w14:paraId="5B12A105"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6A15F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90CA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3</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83D4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2,67</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3FDB2"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5D88903F"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5,67</w:t>
            </w:r>
          </w:p>
        </w:tc>
      </w:tr>
      <w:tr w:rsidR="0035572A" w:rsidRPr="001E6E9D" w14:paraId="2F18A197"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B8186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C19B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3E256"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F016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6B76293B"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200DC1C"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FBD9B9"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C6D1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0FD5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 xml:space="preserve">- </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4D10B" w14:textId="77777777" w:rsidR="0035572A" w:rsidRPr="001E6E9D" w:rsidRDefault="0035572A" w:rsidP="0034415F">
            <w:pPr>
              <w:pStyle w:val="Texto-Corpo"/>
              <w:spacing w:before="60" w:after="6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a FERP não possuía Conselho Fiscal.</w:t>
            </w:r>
          </w:p>
        </w:tc>
        <w:tc>
          <w:tcPr>
            <w:tcW w:w="945" w:type="pct"/>
            <w:tcBorders>
              <w:top w:val="single" w:sz="4" w:space="0" w:color="000000"/>
              <w:left w:val="single" w:sz="4" w:space="0" w:color="000000"/>
              <w:bottom w:val="single" w:sz="4" w:space="0" w:color="000000"/>
              <w:right w:val="single" w:sz="4" w:space="0" w:color="000000"/>
            </w:tcBorders>
            <w:vAlign w:val="center"/>
          </w:tcPr>
          <w:p w14:paraId="30A4814B"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r>
      <w:tr w:rsidR="0035572A" w:rsidRPr="001E6E9D" w14:paraId="7F2E1322"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08EB0C" w14:textId="77777777" w:rsidR="0035572A" w:rsidRPr="001E6E9D" w:rsidRDefault="0035572A"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35572A" w:rsidRPr="001E6E9D" w14:paraId="401D96F5"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A0EF26"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3389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E734F"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A8CF8"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7CBED5D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5C9BC930"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34FB5C"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BE7C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720E6"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5D12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5A4678F9"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1D7CFE2"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822362"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4447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439B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7E8B1"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5CA6B0C1"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40DF0D7"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4EB691"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EABA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AE687"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FA94DE"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342E01F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2EE4C885"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DD43F9"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54F19"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828EE"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70ACD"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14:paraId="09B63A3C"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r>
      <w:tr w:rsidR="0035572A" w:rsidRPr="001E6E9D" w14:paraId="4217812E"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ED5D0D" w14:textId="77777777" w:rsidR="0035572A" w:rsidRPr="001E6E9D" w:rsidRDefault="0035572A" w:rsidP="0034415F">
            <w:pPr>
              <w:pStyle w:val="Texto-Corpo"/>
              <w:keepNext/>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35572A" w:rsidRPr="001E6E9D" w14:paraId="7769794C"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C3AA2A"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Bônus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3C8A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6704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D84E6"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2A4014C4"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71328E06"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5F3E24"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FA359"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A76FB"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35984"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7C8E1117"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2C3437F"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7F60F5"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77CAF"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70BB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8F931"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750CAFD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5055BBD"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011803"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2D96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AF24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D479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1D7F3AF4"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3FB1CC2"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9D24DF"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C563B"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4D964"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4C7DE"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3AE450C3"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ACBE8EE"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8B291A" w14:textId="77777777" w:rsidR="0035572A" w:rsidRPr="001E6E9D" w:rsidRDefault="0035572A" w:rsidP="0034415F">
            <w:pPr>
              <w:pStyle w:val="Texto-Corpo"/>
              <w:spacing w:before="60" w:after="6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49020"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A18FB"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D2AAD"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14:paraId="430B125A" w14:textId="77777777" w:rsidR="0035572A" w:rsidRPr="001E6E9D" w:rsidRDefault="0035572A" w:rsidP="00DC7081">
            <w:pPr>
              <w:pStyle w:val="Texto-Corpo"/>
              <w:spacing w:before="60" w:after="60" w:line="240" w:lineRule="auto"/>
              <w:rPr>
                <w:rFonts w:asciiTheme="minorHAnsi" w:hAnsiTheme="minorHAnsi" w:cstheme="minorHAnsi"/>
                <w:sz w:val="16"/>
                <w:szCs w:val="20"/>
              </w:rPr>
            </w:pPr>
          </w:p>
        </w:tc>
      </w:tr>
      <w:tr w:rsidR="0035572A" w:rsidRPr="001E6E9D" w14:paraId="1C6C56ED"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B3AAF6" w14:textId="77777777" w:rsidR="0035572A" w:rsidRPr="001E6E9D" w:rsidRDefault="0035572A" w:rsidP="0034415F">
            <w:pPr>
              <w:pStyle w:val="Texto-Corpo"/>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25132"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1BCFD"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BF6E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77DAB55B"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711AC681"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4F871C" w14:textId="77777777" w:rsidR="0035572A" w:rsidRPr="001E6E9D" w:rsidRDefault="0035572A" w:rsidP="0034415F">
            <w:pPr>
              <w:pStyle w:val="Texto-Corpo"/>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EFBD0"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F2EB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FC5EC"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22D8C56E"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262C7711"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3E2FE3" w14:textId="77777777" w:rsidR="0035572A" w:rsidRPr="001E6E9D" w:rsidRDefault="0035572A" w:rsidP="0034415F">
            <w:pPr>
              <w:pStyle w:val="Texto-Corpo"/>
              <w:spacing w:before="60" w:after="6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Baseada em ações (incluindo opções)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FD609"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2BE15"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308EB"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6039D851"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2BBA9F8A"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E08046" w14:textId="77777777" w:rsidR="0035572A" w:rsidRPr="001E6E9D" w:rsidRDefault="0035572A"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5C0A4"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Conforme disposto no item 10.2.8.2 do OFÍCIO-CIRCULAR/ANUAL-2024-CVM/SEP, o número de membros da Diretoria foi apurado de acordo com a média anual do número de membros de tal órgão apurado mensalmente, com duas casas decimais.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C2ACB"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Conforme disposto no item 10.2.8.2 do OFÍCIO-CIRCULAR/ANUAL-2024-CVM/SEP, o número de membros da Diretoria foi apurado de acordo com a média anual do número de membros de tal órgão apurado mensalmente, com duas casas decimais.</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29811"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45" w:type="pct"/>
            <w:tcBorders>
              <w:top w:val="single" w:sz="4" w:space="0" w:color="000000"/>
              <w:left w:val="single" w:sz="4" w:space="0" w:color="000000"/>
              <w:bottom w:val="single" w:sz="4" w:space="0" w:color="000000"/>
              <w:right w:val="single" w:sz="4" w:space="0" w:color="000000"/>
            </w:tcBorders>
            <w:vAlign w:val="center"/>
          </w:tcPr>
          <w:p w14:paraId="1C70BACA" w14:textId="77777777" w:rsidR="0035572A" w:rsidRPr="001E6E9D" w:rsidRDefault="0035572A" w:rsidP="00DC7081">
            <w:pPr>
              <w:pStyle w:val="Texto-Corpo"/>
              <w:spacing w:before="60" w:after="6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35572A" w:rsidRPr="001E6E9D" w14:paraId="28888283"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8747E7" w14:textId="77777777" w:rsidR="0035572A" w:rsidRPr="001E6E9D" w:rsidRDefault="0035572A" w:rsidP="00DC7081">
            <w:pPr>
              <w:pStyle w:val="Texto-Corpo"/>
              <w:spacing w:before="60" w:after="60" w:line="240" w:lineRule="auto"/>
              <w:rPr>
                <w:rFonts w:asciiTheme="minorHAnsi" w:hAnsiTheme="minorHAnsi" w:cstheme="minorHAnsi"/>
                <w:b/>
                <w:sz w:val="16"/>
                <w:szCs w:val="20"/>
              </w:rPr>
            </w:pPr>
            <w:r w:rsidRPr="001E6E9D">
              <w:rPr>
                <w:rFonts w:asciiTheme="minorHAnsi" w:hAnsiTheme="minorHAnsi" w:cstheme="minorHAnsi"/>
                <w:b/>
                <w:sz w:val="16"/>
                <w:szCs w:val="20"/>
              </w:rPr>
              <w:t>Total da remuneração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E296F" w14:textId="77777777" w:rsidR="0035572A" w:rsidRPr="001E6E9D" w:rsidRDefault="0035572A"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849DC" w14:textId="77777777" w:rsidR="0035572A" w:rsidRPr="001E6E9D" w:rsidRDefault="0035572A"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66226" w14:textId="77777777" w:rsidR="0035572A" w:rsidRPr="001E6E9D" w:rsidRDefault="0035572A"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22D034DB" w14:textId="77777777" w:rsidR="0035572A" w:rsidRPr="001E6E9D" w:rsidRDefault="0035572A" w:rsidP="00DC7081">
            <w:pPr>
              <w:pStyle w:val="Texto-Corpo"/>
              <w:spacing w:before="60" w:after="6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r>
    </w:tbl>
    <w:p w14:paraId="1803A3F9" w14:textId="77777777" w:rsidR="0035572A" w:rsidRPr="001E6E9D" w:rsidRDefault="0035572A" w:rsidP="00DC7081">
      <w:pPr>
        <w:pStyle w:val="Head"/>
        <w:keepNext w:val="0"/>
        <w:spacing w:before="0" w:after="200" w:line="240" w:lineRule="auto"/>
        <w:rPr>
          <w:rFonts w:asciiTheme="minorHAnsi" w:hAnsiTheme="minorHAnsi" w:cstheme="minorHAnsi"/>
          <w:kern w:val="0"/>
          <w:sz w:val="20"/>
          <w:szCs w:val="20"/>
        </w:rPr>
      </w:pPr>
    </w:p>
    <w:p w14:paraId="5184BCB6" w14:textId="785FC194" w:rsidR="00C879FE" w:rsidRPr="001E6E9D" w:rsidRDefault="00C879FE" w:rsidP="00DC7081">
      <w:pPr>
        <w:pStyle w:val="Texto-Corpo"/>
        <w:spacing w:before="200" w:after="200" w:line="240" w:lineRule="auto"/>
        <w:rPr>
          <w:rFonts w:asciiTheme="minorHAnsi" w:hAnsiTheme="minorHAnsi" w:cstheme="minorHAnsi"/>
          <w:szCs w:val="20"/>
        </w:rPr>
      </w:pPr>
    </w:p>
    <w:p w14:paraId="20F58878" w14:textId="38CF4872" w:rsidR="00D1501F" w:rsidRPr="001E6E9D" w:rsidRDefault="00DC7081" w:rsidP="0034415F">
      <w:pPr>
        <w:keepNext/>
        <w:ind w:left="360" w:hanging="360"/>
        <w:rPr>
          <w:rFonts w:asciiTheme="minorHAnsi" w:hAnsiTheme="minorHAnsi" w:cstheme="minorHAnsi"/>
          <w:lang w:val="de-DE" w:eastAsia="en-GB"/>
        </w:rPr>
      </w:pPr>
      <w:r w:rsidRPr="001E6E9D">
        <w:rPr>
          <w:rFonts w:asciiTheme="minorHAnsi" w:hAnsiTheme="minorHAnsi" w:cstheme="minorHAnsi"/>
          <w:lang w:val="de-DE" w:eastAsia="en-GB"/>
        </w:rPr>
        <w:lastRenderedPageBreak/>
        <w:t>(d)</w:t>
      </w:r>
      <w:r w:rsidRPr="001E6E9D">
        <w:rPr>
          <w:rFonts w:asciiTheme="minorHAnsi" w:hAnsiTheme="minorHAnsi" w:cstheme="minorHAnsi"/>
          <w:lang w:val="de-DE" w:eastAsia="en-GB"/>
        </w:rPr>
        <w:tab/>
      </w:r>
      <w:r w:rsidR="008172F9" w:rsidRPr="00A31D92">
        <w:rPr>
          <w:rFonts w:asciiTheme="minorHAnsi" w:hAnsiTheme="minorHAnsi" w:cstheme="minorHAnsi"/>
          <w:lang w:val="de-DE"/>
        </w:rPr>
        <w:t>SPE</w:t>
      </w:r>
      <w:r w:rsidR="008172F9" w:rsidRPr="001E6E9D">
        <w:rPr>
          <w:rFonts w:asciiTheme="minorHAnsi" w:hAnsiTheme="minorHAnsi" w:cstheme="minorHAnsi"/>
          <w:lang w:val="de-DE" w:eastAsia="en-GB"/>
        </w:rPr>
        <w:t xml:space="preserve"> 1, SPE 2</w:t>
      </w:r>
      <w:r w:rsidR="002411B7" w:rsidRPr="001E6E9D">
        <w:rPr>
          <w:rFonts w:asciiTheme="minorHAnsi" w:hAnsiTheme="minorHAnsi" w:cstheme="minorHAnsi"/>
          <w:lang w:val="de-DE" w:eastAsia="en-GB"/>
        </w:rPr>
        <w:t>, SPE 6, SPE 7, SPE 9, SPE 11 e SPE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4"/>
        <w:gridCol w:w="1731"/>
        <w:gridCol w:w="1738"/>
        <w:gridCol w:w="1734"/>
        <w:gridCol w:w="1714"/>
      </w:tblGrid>
      <w:tr w:rsidR="00D1501F" w:rsidRPr="001E6E9D" w14:paraId="2EA1EF85"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6812409" w14:textId="77777777" w:rsidR="00D1501F" w:rsidRPr="001E6E9D" w:rsidRDefault="00D1501F"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do Exercício Social em 31/12/2023 - Valores Anuais</w:t>
            </w:r>
          </w:p>
        </w:tc>
      </w:tr>
      <w:tr w:rsidR="00D1501F" w:rsidRPr="001E6E9D" w14:paraId="5D405B73" w14:textId="77777777" w:rsidTr="004F0F84">
        <w:trPr>
          <w:tblHeader/>
        </w:trPr>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3B8317" w14:textId="77777777" w:rsidR="00D1501F" w:rsidRPr="001E6E9D" w:rsidRDefault="00D1501F" w:rsidP="00DC7081">
            <w:pPr>
              <w:pStyle w:val="Texto-Corpo"/>
              <w:keepNext/>
              <w:spacing w:before="40" w:after="40" w:line="240" w:lineRule="auto"/>
              <w:rPr>
                <w:rFonts w:asciiTheme="minorHAnsi" w:hAnsiTheme="minorHAnsi" w:cstheme="minorHAnsi"/>
                <w:b/>
                <w:sz w:val="16"/>
                <w:szCs w:val="20"/>
              </w:rPr>
            </w:pPr>
          </w:p>
        </w:tc>
        <w:tc>
          <w:tcPr>
            <w:tcW w:w="9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20F207" w14:textId="77777777" w:rsidR="00D1501F" w:rsidRPr="001E6E9D" w:rsidRDefault="00D1501F"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F1ED3A" w14:textId="77777777" w:rsidR="00D1501F" w:rsidRPr="001E6E9D" w:rsidRDefault="00D1501F"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26BF7B" w14:textId="77777777" w:rsidR="00D1501F" w:rsidRPr="001E6E9D" w:rsidRDefault="00D1501F"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8CC3CD" w14:textId="77777777" w:rsidR="00D1501F" w:rsidRPr="001E6E9D" w:rsidRDefault="00D1501F"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Total</w:t>
            </w:r>
          </w:p>
        </w:tc>
      </w:tr>
      <w:tr w:rsidR="00D1501F" w:rsidRPr="001E6E9D" w14:paraId="213F747C"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012BAA" w14:textId="77777777"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4C6EB" w14:textId="77777777"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FD4A7" w14:textId="3FB13C7C"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2,</w:t>
            </w:r>
            <w:r w:rsidR="008172F9" w:rsidRPr="001E6E9D">
              <w:rPr>
                <w:rFonts w:asciiTheme="minorHAnsi" w:hAnsiTheme="minorHAnsi" w:cstheme="minorHAnsi"/>
                <w:sz w:val="16"/>
                <w:szCs w:val="20"/>
              </w:rPr>
              <w:t>33</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DD5BF" w14:textId="77777777"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1CDDA61" w14:textId="05691581"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2,</w:t>
            </w:r>
            <w:r w:rsidR="008172F9" w:rsidRPr="001E6E9D">
              <w:rPr>
                <w:rFonts w:asciiTheme="minorHAnsi" w:hAnsiTheme="minorHAnsi" w:cstheme="minorHAnsi"/>
                <w:sz w:val="16"/>
                <w:szCs w:val="20"/>
              </w:rPr>
              <w:t>33</w:t>
            </w:r>
          </w:p>
        </w:tc>
      </w:tr>
      <w:tr w:rsidR="00D1501F" w:rsidRPr="001E6E9D" w14:paraId="534A5402"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648A32" w14:textId="77777777"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66F24" w14:textId="77777777"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27CC9" w14:textId="77777777"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A1A84" w14:textId="77777777"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887F838" w14:textId="77777777" w:rsidR="00D1501F" w:rsidRPr="001E6E9D" w:rsidRDefault="00D1501F"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7D2CDE5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85BE7F"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9EBF2" w14:textId="0C9239E3"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 xml:space="preserve">Na data </w:t>
            </w:r>
            <w:r w:rsidR="0024668F" w:rsidRPr="001E6E9D">
              <w:rPr>
                <w:rFonts w:asciiTheme="minorHAnsi" w:hAnsiTheme="minorHAnsi" w:cstheme="minorHAnsi"/>
                <w:sz w:val="16"/>
                <w:szCs w:val="20"/>
              </w:rPr>
              <w:t>deste Prospecto</w:t>
            </w:r>
            <w:r w:rsidRPr="001E6E9D">
              <w:rPr>
                <w:rFonts w:asciiTheme="minorHAnsi" w:hAnsiTheme="minorHAnsi" w:cstheme="minorHAnsi"/>
                <w:sz w:val="16"/>
                <w:szCs w:val="20"/>
              </w:rPr>
              <w:t>, nenhuma das garantidoras SPEs possuía 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D8CA3"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92E5F" w14:textId="60C37B53"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 xml:space="preserve">Na data </w:t>
            </w:r>
            <w:r w:rsidR="0024668F" w:rsidRPr="001E6E9D">
              <w:rPr>
                <w:rFonts w:asciiTheme="minorHAnsi" w:hAnsiTheme="minorHAnsi" w:cstheme="minorHAnsi"/>
                <w:sz w:val="16"/>
                <w:szCs w:val="20"/>
              </w:rPr>
              <w:t>deste Prospecto</w:t>
            </w:r>
            <w:r w:rsidRPr="001E6E9D">
              <w:rPr>
                <w:rFonts w:asciiTheme="minorHAnsi" w:hAnsiTheme="minorHAnsi" w:cstheme="minorHAnsi"/>
                <w:sz w:val="16"/>
                <w:szCs w:val="20"/>
              </w:rPr>
              <w:t>, nenhuma das garantidoras SPEs possuía Conselho Fiscal.</w:t>
            </w:r>
          </w:p>
        </w:tc>
        <w:tc>
          <w:tcPr>
            <w:tcW w:w="946" w:type="pct"/>
            <w:tcBorders>
              <w:top w:val="single" w:sz="4" w:space="0" w:color="000000"/>
              <w:left w:val="single" w:sz="4" w:space="0" w:color="000000"/>
              <w:bottom w:val="single" w:sz="4" w:space="0" w:color="000000"/>
              <w:right w:val="single" w:sz="4" w:space="0" w:color="000000"/>
            </w:tcBorders>
            <w:vAlign w:val="center"/>
          </w:tcPr>
          <w:p w14:paraId="5FD4AE3A" w14:textId="77777777" w:rsidR="00D1501F" w:rsidRPr="001E6E9D" w:rsidRDefault="00D1501F" w:rsidP="00DC7081">
            <w:pPr>
              <w:pStyle w:val="Texto-Corpo"/>
              <w:spacing w:before="40" w:after="40" w:line="240" w:lineRule="auto"/>
              <w:rPr>
                <w:rFonts w:asciiTheme="minorHAnsi" w:hAnsiTheme="minorHAnsi" w:cstheme="minorHAnsi"/>
                <w:sz w:val="16"/>
                <w:szCs w:val="20"/>
              </w:rPr>
            </w:pPr>
          </w:p>
        </w:tc>
      </w:tr>
      <w:tr w:rsidR="00D1501F" w:rsidRPr="001E6E9D" w14:paraId="6D5397EB"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5B297E" w14:textId="77777777" w:rsidR="00D1501F" w:rsidRPr="001E6E9D" w:rsidRDefault="00D1501F"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D1501F" w:rsidRPr="001E6E9D" w14:paraId="20E8E46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F807B6"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C95FA"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26EE4"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4D6D9"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DB3419C"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1EAA9E9C"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8EF805"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D9EED"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6AC08"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2A91E"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5EEA131"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603EB53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9376EE"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63B0A"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3B96A"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CD59F"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6B9C24DA"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191E10DF"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BA8F63"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BC0B3"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C76E7"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A8111"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9A63A7A"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7C46E77F"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79F77B"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7F390" w14:textId="77777777" w:rsidR="00D1501F" w:rsidRPr="001E6E9D" w:rsidRDefault="00D1501F"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7B8E6" w14:textId="77777777" w:rsidR="00D1501F" w:rsidRPr="001E6E9D" w:rsidRDefault="00D1501F"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D2461" w14:textId="77777777" w:rsidR="00D1501F" w:rsidRPr="001E6E9D" w:rsidRDefault="00D1501F"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75594206" w14:textId="77777777" w:rsidR="00D1501F" w:rsidRPr="001E6E9D" w:rsidRDefault="00D1501F" w:rsidP="00DC7081">
            <w:pPr>
              <w:pStyle w:val="Texto-Corpo"/>
              <w:spacing w:before="40" w:after="40" w:line="240" w:lineRule="auto"/>
              <w:rPr>
                <w:rFonts w:asciiTheme="minorHAnsi" w:hAnsiTheme="minorHAnsi" w:cstheme="minorHAnsi"/>
                <w:sz w:val="16"/>
                <w:szCs w:val="20"/>
              </w:rPr>
            </w:pPr>
          </w:p>
        </w:tc>
      </w:tr>
      <w:tr w:rsidR="00D1501F" w:rsidRPr="001E6E9D" w14:paraId="7C681F3F"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2BF523" w14:textId="77777777" w:rsidR="00D1501F" w:rsidRPr="001E6E9D" w:rsidRDefault="00D1501F"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D1501F" w:rsidRPr="001E6E9D" w14:paraId="497E755F"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83A46E"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Bônus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7E334"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E43A86"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6119B"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6DFE2280"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5B413CE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699482"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2EE48"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C1CB1"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598A7"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1CE1D28"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3EA92FAE"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C96A2A"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AC9B6"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94015"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C2DEF"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23B0E87"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6516327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96E97E"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88B52"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5AF10"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9F6B0"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AE9C423"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46C4B7D3"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9B6244"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58C6B"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8A3D1"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12C38"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EBA2906"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3F1F8C3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CD022E"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96118" w14:textId="77777777" w:rsidR="00D1501F" w:rsidRPr="001E6E9D" w:rsidRDefault="00D1501F"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ED360" w14:textId="77777777" w:rsidR="00D1501F" w:rsidRPr="001E6E9D" w:rsidRDefault="00D1501F"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FD4E1" w14:textId="77777777" w:rsidR="00D1501F" w:rsidRPr="001E6E9D" w:rsidRDefault="00D1501F"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42868EC2" w14:textId="77777777" w:rsidR="00D1501F" w:rsidRPr="001E6E9D" w:rsidRDefault="00D1501F" w:rsidP="00DC7081">
            <w:pPr>
              <w:pStyle w:val="Texto-Corpo"/>
              <w:spacing w:before="40" w:after="40" w:line="240" w:lineRule="auto"/>
              <w:rPr>
                <w:rFonts w:asciiTheme="minorHAnsi" w:hAnsiTheme="minorHAnsi" w:cstheme="minorHAnsi"/>
                <w:sz w:val="16"/>
                <w:szCs w:val="20"/>
              </w:rPr>
            </w:pPr>
          </w:p>
        </w:tc>
      </w:tr>
      <w:tr w:rsidR="00D1501F" w:rsidRPr="001E6E9D" w14:paraId="2690A68C"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529E07" w14:textId="77777777" w:rsidR="00D1501F" w:rsidRPr="001E6E9D" w:rsidRDefault="00D1501F"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5450A"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669F3"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B5689"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6A0395A4"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7558926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5206E7" w14:textId="77777777" w:rsidR="00D1501F" w:rsidRPr="001E6E9D" w:rsidRDefault="00D1501F"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F8EAD"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17CFC"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485DF"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22089F0"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1A60064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F6626C" w14:textId="77777777" w:rsidR="00D1501F" w:rsidRPr="001E6E9D" w:rsidRDefault="00D1501F"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Baseada em ações (incluindo opções)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AA8C5"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957BF"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80D7C"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1BA1262"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D1501F" w:rsidRPr="001E6E9D" w14:paraId="59BDF34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DCBE7B" w14:textId="77777777" w:rsidR="00D1501F" w:rsidRPr="001E6E9D" w:rsidRDefault="00D1501F"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470D7"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9C131" w14:textId="1ED71637" w:rsidR="00D1501F" w:rsidRPr="001E6E9D" w:rsidRDefault="00C3745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Conforme disposto no item 10.2.8.2 do OFÍCIO-CIRCULAR/ANUAL-2024-CVM/SEP, o número de membros da Diretoria foi apurado de acordo com a média anual do número de membros de tal órgão apurado mensalmente, com duas casas decimais.</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573E2"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46" w:type="pct"/>
            <w:tcBorders>
              <w:top w:val="single" w:sz="4" w:space="0" w:color="000000"/>
              <w:left w:val="single" w:sz="4" w:space="0" w:color="000000"/>
              <w:bottom w:val="single" w:sz="4" w:space="0" w:color="000000"/>
              <w:right w:val="single" w:sz="4" w:space="0" w:color="000000"/>
            </w:tcBorders>
            <w:vAlign w:val="center"/>
          </w:tcPr>
          <w:p w14:paraId="665B5AF9" w14:textId="77777777" w:rsidR="00D1501F" w:rsidRPr="001E6E9D" w:rsidRDefault="00D1501F"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D1501F" w:rsidRPr="001E6E9D" w14:paraId="14D7B7C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2BA50A" w14:textId="77777777" w:rsidR="00D1501F" w:rsidRPr="001E6E9D" w:rsidRDefault="00D1501F"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Total da remuneração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76932" w14:textId="77777777" w:rsidR="00D1501F" w:rsidRPr="001E6E9D" w:rsidRDefault="00D1501F"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B609A" w14:textId="77777777" w:rsidR="00D1501F" w:rsidRPr="001E6E9D" w:rsidRDefault="00D1501F"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5F20E" w14:textId="77777777" w:rsidR="00D1501F" w:rsidRPr="001E6E9D" w:rsidRDefault="00D1501F"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053AB19" w14:textId="77777777" w:rsidR="00D1501F" w:rsidRPr="001E6E9D" w:rsidRDefault="00D1501F"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r>
    </w:tbl>
    <w:p w14:paraId="27F9532A" w14:textId="77777777" w:rsidR="007E45D1" w:rsidRPr="001E6E9D" w:rsidRDefault="007E45D1" w:rsidP="00DC7081">
      <w:pPr>
        <w:pStyle w:val="Texto-Corpo"/>
        <w:spacing w:before="200" w:after="200" w:line="240" w:lineRule="auto"/>
        <w:rPr>
          <w:rFonts w:asciiTheme="minorHAnsi" w:hAnsiTheme="minorHAnsi" w:cstheme="minorHAnsi"/>
          <w:szCs w:val="20"/>
        </w:rPr>
      </w:pPr>
    </w:p>
    <w:p w14:paraId="6543178B" w14:textId="77777777" w:rsidR="002411B7" w:rsidRPr="001E6E9D" w:rsidRDefault="002411B7" w:rsidP="00DC7081">
      <w:pPr>
        <w:pStyle w:val="Texto-Corpo"/>
        <w:spacing w:before="200" w:after="200" w:line="240" w:lineRule="auto"/>
        <w:rPr>
          <w:rFonts w:asciiTheme="minorHAnsi" w:hAnsiTheme="minorHAnsi" w:cstheme="minorHAnsi"/>
          <w:szCs w:val="20"/>
        </w:rPr>
      </w:pPr>
    </w:p>
    <w:p w14:paraId="59EB0FB4" w14:textId="655F994E" w:rsidR="002411B7" w:rsidRPr="001E6E9D" w:rsidRDefault="00DC7081" w:rsidP="0034415F">
      <w:pPr>
        <w:keepNext/>
        <w:ind w:left="360" w:hanging="360"/>
        <w:rPr>
          <w:rFonts w:asciiTheme="minorHAnsi" w:hAnsiTheme="minorHAnsi" w:cstheme="minorHAnsi"/>
          <w:lang w:eastAsia="en-GB"/>
        </w:rPr>
      </w:pPr>
      <w:r w:rsidRPr="001E6E9D">
        <w:rPr>
          <w:rFonts w:asciiTheme="minorHAnsi" w:hAnsiTheme="minorHAnsi" w:cstheme="minorHAnsi"/>
          <w:lang w:eastAsia="en-GB"/>
        </w:rPr>
        <w:t>(e)</w:t>
      </w:r>
      <w:r w:rsidRPr="001E6E9D">
        <w:rPr>
          <w:rFonts w:asciiTheme="minorHAnsi" w:hAnsiTheme="minorHAnsi" w:cstheme="minorHAnsi"/>
          <w:lang w:eastAsia="en-GB"/>
        </w:rPr>
        <w:tab/>
      </w:r>
      <w:r w:rsidR="002411B7" w:rsidRPr="001E6E9D">
        <w:rPr>
          <w:rFonts w:asciiTheme="minorHAnsi" w:hAnsiTheme="minorHAnsi" w:cstheme="minorHAnsi"/>
          <w:lang w:eastAsia="en-GB"/>
        </w:rPr>
        <w:t>SPE 3 e SPE 4</w:t>
      </w:r>
      <w:r w:rsidR="00F4799D" w:rsidRPr="001E6E9D">
        <w:rPr>
          <w:rFonts w:asciiTheme="minorHAnsi" w:hAnsiTheme="minorHAnsi" w:cstheme="minorHAnsi"/>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4"/>
        <w:gridCol w:w="1731"/>
        <w:gridCol w:w="1738"/>
        <w:gridCol w:w="1734"/>
        <w:gridCol w:w="1714"/>
      </w:tblGrid>
      <w:tr w:rsidR="002411B7" w:rsidRPr="001E6E9D" w14:paraId="37CE881B"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9C64EEC" w14:textId="77777777" w:rsidR="002411B7" w:rsidRPr="001E6E9D" w:rsidRDefault="002411B7"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do Exercício Social em 31/12/2023 - Valores Anuais</w:t>
            </w:r>
          </w:p>
        </w:tc>
      </w:tr>
      <w:tr w:rsidR="002411B7" w:rsidRPr="001E6E9D" w14:paraId="0A804012" w14:textId="77777777" w:rsidTr="004F0F84">
        <w:trPr>
          <w:tblHeader/>
        </w:trPr>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483B85"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p>
        </w:tc>
        <w:tc>
          <w:tcPr>
            <w:tcW w:w="9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200A46"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36F8AB"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EE9EC6"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4DE614"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Total</w:t>
            </w:r>
          </w:p>
        </w:tc>
      </w:tr>
      <w:tr w:rsidR="002411B7" w:rsidRPr="001E6E9D" w14:paraId="1DEEF96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26ABDB"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BEF09"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E1D7C" w14:textId="3C756749"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2,50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E097E"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92F12BE" w14:textId="3AAA77B0"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2,50</w:t>
            </w:r>
          </w:p>
        </w:tc>
      </w:tr>
      <w:tr w:rsidR="002411B7" w:rsidRPr="001E6E9D" w14:paraId="3AE5C51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E30AAE"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DB7BC"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E9152"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9D174"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5A520BD"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7C6BE0D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C688FA"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1AA33" w14:textId="465F1264" w:rsidR="002411B7" w:rsidRPr="001E6E9D" w:rsidRDefault="002411B7"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 xml:space="preserve">Na data </w:t>
            </w:r>
            <w:r w:rsidR="0024668F" w:rsidRPr="001E6E9D">
              <w:rPr>
                <w:rFonts w:asciiTheme="minorHAnsi" w:hAnsiTheme="minorHAnsi" w:cstheme="minorHAnsi"/>
                <w:sz w:val="16"/>
                <w:szCs w:val="20"/>
              </w:rPr>
              <w:t>deste Prospecto</w:t>
            </w:r>
            <w:r w:rsidRPr="001E6E9D">
              <w:rPr>
                <w:rFonts w:asciiTheme="minorHAnsi" w:hAnsiTheme="minorHAnsi" w:cstheme="minorHAnsi"/>
                <w:sz w:val="16"/>
                <w:szCs w:val="20"/>
              </w:rPr>
              <w:t>, nenhuma das garantidoras SPEs possuía 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B360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479AA" w14:textId="76F9CB3C" w:rsidR="002411B7" w:rsidRPr="001E6E9D" w:rsidRDefault="002411B7"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 xml:space="preserve">Na data </w:t>
            </w:r>
            <w:r w:rsidR="0024668F" w:rsidRPr="001E6E9D">
              <w:rPr>
                <w:rFonts w:asciiTheme="minorHAnsi" w:hAnsiTheme="minorHAnsi" w:cstheme="minorHAnsi"/>
                <w:sz w:val="16"/>
                <w:szCs w:val="20"/>
              </w:rPr>
              <w:t>deste Prospecto</w:t>
            </w:r>
            <w:r w:rsidRPr="001E6E9D">
              <w:rPr>
                <w:rFonts w:asciiTheme="minorHAnsi" w:hAnsiTheme="minorHAnsi" w:cstheme="minorHAnsi"/>
                <w:sz w:val="16"/>
                <w:szCs w:val="20"/>
              </w:rPr>
              <w:t>, nenhuma das garantidoras SPEs possuía Conselho Fiscal.</w:t>
            </w:r>
          </w:p>
        </w:tc>
        <w:tc>
          <w:tcPr>
            <w:tcW w:w="946" w:type="pct"/>
            <w:tcBorders>
              <w:top w:val="single" w:sz="4" w:space="0" w:color="000000"/>
              <w:left w:val="single" w:sz="4" w:space="0" w:color="000000"/>
              <w:bottom w:val="single" w:sz="4" w:space="0" w:color="000000"/>
              <w:right w:val="single" w:sz="4" w:space="0" w:color="000000"/>
            </w:tcBorders>
            <w:vAlign w:val="center"/>
          </w:tcPr>
          <w:p w14:paraId="25BC67C5"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r>
      <w:tr w:rsidR="002411B7" w:rsidRPr="001E6E9D" w14:paraId="77F5ECD4"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D87463" w14:textId="77777777" w:rsidR="002411B7" w:rsidRPr="001E6E9D" w:rsidRDefault="002411B7"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2411B7" w:rsidRPr="001E6E9D" w14:paraId="5C63F16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8B6C50"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71718"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DF25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71945"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CF15D3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72D07ACE"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835C0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E4831"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45CDC"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B54B1"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FECCBF0"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31DF7649"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46A675"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C9ED0"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54FE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72F8E"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ED81DDF"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7FCBE222"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D2AE5F"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81CB3"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1BC9F"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DF612"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E35E4AE"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23FCA580"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AAC07E" w14:textId="77777777" w:rsidR="002411B7" w:rsidRPr="001E6E9D" w:rsidRDefault="002411B7"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787E7"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5727F"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65A37"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644FAEEB"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r>
      <w:tr w:rsidR="002411B7" w:rsidRPr="001E6E9D" w14:paraId="3179C3E9"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698E03" w14:textId="77777777" w:rsidR="002411B7" w:rsidRPr="001E6E9D" w:rsidRDefault="002411B7"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2411B7" w:rsidRPr="001E6E9D" w14:paraId="24A893E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5D8BAD" w14:textId="77777777" w:rsidR="002411B7" w:rsidRPr="001E6E9D" w:rsidRDefault="002411B7"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Bônus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43102"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8E64D"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80A3C"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43DA013"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25C00F7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9D96C4" w14:textId="77777777" w:rsidR="002411B7" w:rsidRPr="001E6E9D" w:rsidRDefault="002411B7"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DABCE"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4C612"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F57E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2EC686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5705BD1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294A3A" w14:textId="77777777" w:rsidR="002411B7" w:rsidRPr="001E6E9D" w:rsidRDefault="002411B7"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15828"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FBC25"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1811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9129BFD"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5940CC0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335F80" w14:textId="77777777" w:rsidR="002411B7" w:rsidRPr="001E6E9D" w:rsidRDefault="002411B7"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37A41"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5F7C5"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EE043"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E3E3DCE"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2A6611A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FEE25D" w14:textId="77777777" w:rsidR="002411B7" w:rsidRPr="001E6E9D" w:rsidRDefault="002411B7"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EBF23"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761C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EF4BE"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3F01AFA"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60AD26B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F7C891" w14:textId="77777777" w:rsidR="002411B7" w:rsidRPr="001E6E9D" w:rsidRDefault="002411B7"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6218A"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1942F"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E9C07"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392480ED"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r>
      <w:tr w:rsidR="002411B7" w:rsidRPr="001E6E9D" w14:paraId="50BFE1F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A5754B" w14:textId="77777777" w:rsidR="002411B7" w:rsidRPr="001E6E9D" w:rsidRDefault="002411B7"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1A845"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139CF"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36C6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4A279B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7CED4CC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B33488" w14:textId="77777777" w:rsidR="002411B7" w:rsidRPr="001E6E9D" w:rsidRDefault="002411B7"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326A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F18C1"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58B84"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4C613E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20D639E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C00638" w14:textId="77777777" w:rsidR="002411B7" w:rsidRPr="001E6E9D" w:rsidRDefault="002411B7"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Baseada em ações (incluindo opções)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B5482"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5C19E"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17B54"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9E51072"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2DF6CA4E"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090A14" w14:textId="77777777" w:rsidR="002411B7" w:rsidRPr="001E6E9D" w:rsidRDefault="002411B7"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49808"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91A90"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 xml:space="preserve"> Conforme disposto no item 10.2.8.2 do OFÍCIO-CIRCULAR/ANUAL-2024-CVM/SEP, o número de membros da Diretoria foi apurado de acordo com a média anual do número de membros de tal órgão apurado mensalmente, com duas casas decimais.</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CCDDE"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46" w:type="pct"/>
            <w:tcBorders>
              <w:top w:val="single" w:sz="4" w:space="0" w:color="000000"/>
              <w:left w:val="single" w:sz="4" w:space="0" w:color="000000"/>
              <w:bottom w:val="single" w:sz="4" w:space="0" w:color="000000"/>
              <w:right w:val="single" w:sz="4" w:space="0" w:color="000000"/>
            </w:tcBorders>
            <w:vAlign w:val="center"/>
          </w:tcPr>
          <w:p w14:paraId="1DD2A96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bl>
    <w:p w14:paraId="7FFE01A8" w14:textId="77777777" w:rsidR="002411B7" w:rsidRPr="001E6E9D" w:rsidRDefault="002411B7" w:rsidP="00DC7081">
      <w:pPr>
        <w:pStyle w:val="Texto-Corpo"/>
        <w:spacing w:before="200" w:after="200" w:line="240" w:lineRule="auto"/>
        <w:rPr>
          <w:rFonts w:asciiTheme="minorHAnsi" w:hAnsiTheme="minorHAnsi" w:cstheme="minorHAnsi"/>
          <w:szCs w:val="20"/>
        </w:rPr>
      </w:pPr>
    </w:p>
    <w:p w14:paraId="4F16A83D" w14:textId="564A20E9" w:rsidR="002411B7" w:rsidRPr="001E6E9D" w:rsidRDefault="00DC7081" w:rsidP="0034415F">
      <w:pPr>
        <w:keepNext/>
        <w:ind w:left="360" w:hanging="360"/>
        <w:rPr>
          <w:rFonts w:asciiTheme="minorHAnsi" w:hAnsiTheme="minorHAnsi" w:cstheme="minorHAnsi"/>
          <w:lang w:val="de-DE" w:eastAsia="en-GB"/>
        </w:rPr>
      </w:pPr>
      <w:r w:rsidRPr="001E6E9D">
        <w:rPr>
          <w:rFonts w:asciiTheme="minorHAnsi" w:hAnsiTheme="minorHAnsi" w:cstheme="minorHAnsi"/>
          <w:lang w:val="de-DE" w:eastAsia="en-GB"/>
        </w:rPr>
        <w:t>(f)</w:t>
      </w:r>
      <w:r w:rsidRPr="001E6E9D">
        <w:rPr>
          <w:rFonts w:asciiTheme="minorHAnsi" w:hAnsiTheme="minorHAnsi" w:cstheme="minorHAnsi"/>
          <w:lang w:val="de-DE" w:eastAsia="en-GB"/>
        </w:rPr>
        <w:tab/>
      </w:r>
      <w:r w:rsidR="002411B7" w:rsidRPr="00A31D92">
        <w:rPr>
          <w:rFonts w:asciiTheme="minorHAnsi" w:hAnsiTheme="minorHAnsi" w:cstheme="minorHAnsi"/>
          <w:lang w:val="de-DE"/>
        </w:rPr>
        <w:t>SPE</w:t>
      </w:r>
      <w:r w:rsidR="002411B7" w:rsidRPr="001E6E9D">
        <w:rPr>
          <w:rFonts w:asciiTheme="minorHAnsi" w:hAnsiTheme="minorHAnsi" w:cstheme="minorHAnsi"/>
          <w:lang w:val="de-DE" w:eastAsia="en-GB"/>
        </w:rPr>
        <w:t xml:space="preserve"> </w:t>
      </w:r>
      <w:r w:rsidR="006571D3" w:rsidRPr="001E6E9D">
        <w:rPr>
          <w:rFonts w:asciiTheme="minorHAnsi" w:hAnsiTheme="minorHAnsi" w:cstheme="minorHAnsi"/>
          <w:lang w:val="de-DE" w:eastAsia="en-GB"/>
        </w:rPr>
        <w:t>5,</w:t>
      </w:r>
      <w:r w:rsidR="002411B7" w:rsidRPr="001E6E9D">
        <w:rPr>
          <w:rFonts w:asciiTheme="minorHAnsi" w:hAnsiTheme="minorHAnsi" w:cstheme="minorHAnsi"/>
          <w:lang w:val="de-DE" w:eastAsia="en-GB"/>
        </w:rPr>
        <w:t xml:space="preserve"> SPE </w:t>
      </w:r>
      <w:r w:rsidR="006571D3" w:rsidRPr="001E6E9D">
        <w:rPr>
          <w:rFonts w:asciiTheme="minorHAnsi" w:hAnsiTheme="minorHAnsi" w:cstheme="minorHAnsi"/>
          <w:lang w:val="de-DE" w:eastAsia="en-GB"/>
        </w:rPr>
        <w:t>8</w:t>
      </w:r>
      <w:r w:rsidR="002411B7" w:rsidRPr="001E6E9D">
        <w:rPr>
          <w:rFonts w:asciiTheme="minorHAnsi" w:hAnsiTheme="minorHAnsi" w:cstheme="minorHAnsi"/>
          <w:lang w:val="de-DE" w:eastAsia="en-GB"/>
        </w:rPr>
        <w:t>,</w:t>
      </w:r>
      <w:r w:rsidR="006571D3" w:rsidRPr="001E6E9D">
        <w:rPr>
          <w:rFonts w:asciiTheme="minorHAnsi" w:hAnsiTheme="minorHAnsi" w:cstheme="minorHAnsi"/>
          <w:lang w:val="de-DE" w:eastAsia="en-GB"/>
        </w:rPr>
        <w:t xml:space="preserve"> SPE 10 e SPE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4"/>
        <w:gridCol w:w="1731"/>
        <w:gridCol w:w="1738"/>
        <w:gridCol w:w="1734"/>
        <w:gridCol w:w="1714"/>
      </w:tblGrid>
      <w:tr w:rsidR="002411B7" w:rsidRPr="001E6E9D" w14:paraId="62648A97"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3411237" w14:textId="77777777" w:rsidR="002411B7" w:rsidRPr="001E6E9D" w:rsidRDefault="002411B7"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do Exercício Social em 31/12/2023 - Valores Anuais</w:t>
            </w:r>
          </w:p>
        </w:tc>
      </w:tr>
      <w:tr w:rsidR="002411B7" w:rsidRPr="001E6E9D" w14:paraId="6A1AC5DF" w14:textId="77777777" w:rsidTr="004F0F84">
        <w:trPr>
          <w:tblHeader/>
        </w:trPr>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25AF0D"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p>
        </w:tc>
        <w:tc>
          <w:tcPr>
            <w:tcW w:w="9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B96AA7"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3D55D9"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131CC1"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42F76B" w14:textId="77777777" w:rsidR="002411B7" w:rsidRPr="001E6E9D" w:rsidRDefault="002411B7"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Total</w:t>
            </w:r>
          </w:p>
        </w:tc>
      </w:tr>
      <w:tr w:rsidR="002411B7" w:rsidRPr="001E6E9D" w14:paraId="1BF6E4CB"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25DB8C"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45409"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8D6BB" w14:textId="610961A8" w:rsidR="002411B7" w:rsidRPr="001E6E9D" w:rsidRDefault="006571D3"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3</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28844"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8428BB8" w14:textId="188EC4B7" w:rsidR="002411B7" w:rsidRPr="001E6E9D" w:rsidRDefault="006571D3"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3</w:t>
            </w:r>
          </w:p>
        </w:tc>
      </w:tr>
      <w:tr w:rsidR="002411B7" w:rsidRPr="001E6E9D" w14:paraId="30E42E20"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B3F624"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6BE56"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0BB5E"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0BBA0"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13A9EA0" w14:textId="77777777" w:rsidR="002411B7" w:rsidRPr="001E6E9D" w:rsidRDefault="002411B7"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5BB9C8F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CA5ED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51015" w14:textId="67F6BD4C" w:rsidR="002411B7" w:rsidRPr="001E6E9D" w:rsidRDefault="002411B7"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 xml:space="preserve">Na data </w:t>
            </w:r>
            <w:r w:rsidR="0024668F" w:rsidRPr="001E6E9D">
              <w:rPr>
                <w:rFonts w:asciiTheme="minorHAnsi" w:hAnsiTheme="minorHAnsi" w:cstheme="minorHAnsi"/>
                <w:sz w:val="16"/>
                <w:szCs w:val="20"/>
              </w:rPr>
              <w:t>deste Prospecto</w:t>
            </w:r>
            <w:r w:rsidRPr="001E6E9D">
              <w:rPr>
                <w:rFonts w:asciiTheme="minorHAnsi" w:hAnsiTheme="minorHAnsi" w:cstheme="minorHAnsi"/>
                <w:sz w:val="16"/>
                <w:szCs w:val="20"/>
              </w:rPr>
              <w:t>, nenhuma das garantidoras SPEs possuía 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6D563"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5160D" w14:textId="7FC8FA3A" w:rsidR="002411B7" w:rsidRPr="001E6E9D" w:rsidRDefault="002411B7"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 xml:space="preserve">Na data </w:t>
            </w:r>
            <w:r w:rsidR="0024668F" w:rsidRPr="001E6E9D">
              <w:rPr>
                <w:rFonts w:asciiTheme="minorHAnsi" w:hAnsiTheme="minorHAnsi" w:cstheme="minorHAnsi"/>
                <w:sz w:val="16"/>
                <w:szCs w:val="20"/>
              </w:rPr>
              <w:t>deste Prospecto</w:t>
            </w:r>
            <w:r w:rsidRPr="001E6E9D">
              <w:rPr>
                <w:rFonts w:asciiTheme="minorHAnsi" w:hAnsiTheme="minorHAnsi" w:cstheme="minorHAnsi"/>
                <w:sz w:val="16"/>
                <w:szCs w:val="20"/>
              </w:rPr>
              <w:t>, nenhuma das garantidoras SPEs possuía Conselho Fiscal.</w:t>
            </w:r>
          </w:p>
        </w:tc>
        <w:tc>
          <w:tcPr>
            <w:tcW w:w="946" w:type="pct"/>
            <w:tcBorders>
              <w:top w:val="single" w:sz="4" w:space="0" w:color="000000"/>
              <w:left w:val="single" w:sz="4" w:space="0" w:color="000000"/>
              <w:bottom w:val="single" w:sz="4" w:space="0" w:color="000000"/>
              <w:right w:val="single" w:sz="4" w:space="0" w:color="000000"/>
            </w:tcBorders>
            <w:vAlign w:val="center"/>
          </w:tcPr>
          <w:p w14:paraId="28FBB775"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r>
      <w:tr w:rsidR="002411B7" w:rsidRPr="001E6E9D" w14:paraId="4504CCB5"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5F6DD2" w14:textId="77777777" w:rsidR="002411B7" w:rsidRPr="001E6E9D" w:rsidRDefault="002411B7"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2411B7" w:rsidRPr="001E6E9D" w14:paraId="1FB5C738"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2E172A"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BA2A3"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B3523"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2451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771B191"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23F1D800"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A86405"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1E1E5"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3CC03"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63CF2"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1DCF00C"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22EB66EF"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F8311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04F4B"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EC77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6E432"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0CCFBFA"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460B952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D8B2BF"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E0DA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E5EFC"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EE6E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D2D185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5F597633"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65C106" w14:textId="77777777" w:rsidR="002411B7" w:rsidRPr="001E6E9D" w:rsidRDefault="002411B7" w:rsidP="00917AAB">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AE46F"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A6DB0"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EBA0D"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1AD458A5"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r>
      <w:tr w:rsidR="002411B7" w:rsidRPr="001E6E9D" w14:paraId="7256D464"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186E94" w14:textId="77777777" w:rsidR="002411B7" w:rsidRPr="001E6E9D" w:rsidRDefault="002411B7" w:rsidP="00917AAB">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2411B7" w:rsidRPr="001E6E9D" w14:paraId="5B51E76E"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1EFC1D" w14:textId="77777777" w:rsidR="002411B7" w:rsidRPr="001E6E9D" w:rsidRDefault="002411B7" w:rsidP="00917AAB">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Bônus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A9AB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DF81B"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4024B"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8C8D2F5"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33C3519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284C69" w14:textId="77777777" w:rsidR="002411B7" w:rsidRPr="001E6E9D" w:rsidRDefault="002411B7" w:rsidP="00917AAB">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8561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BE3F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516E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D0C812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43B020C9"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1CFB72" w14:textId="77777777" w:rsidR="002411B7" w:rsidRPr="001E6E9D" w:rsidRDefault="002411B7" w:rsidP="00917AAB">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7211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DB060"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402C1"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43A8293"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015D9CBC"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E6A1A0" w14:textId="77777777" w:rsidR="002411B7" w:rsidRPr="001E6E9D" w:rsidRDefault="002411B7" w:rsidP="00917AAB">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3527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F62D2"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EBF9E"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B1A0C7C"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240978B3"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5287CC" w14:textId="77777777" w:rsidR="002411B7" w:rsidRPr="001E6E9D" w:rsidRDefault="002411B7" w:rsidP="00917AAB">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0A37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B98BF"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F97AD"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A0A9BD8"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6DEE10D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682C98" w14:textId="77777777" w:rsidR="002411B7" w:rsidRPr="001E6E9D" w:rsidRDefault="002411B7" w:rsidP="00917AAB">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37439"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E809B"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8823D"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1A594663" w14:textId="77777777" w:rsidR="002411B7" w:rsidRPr="001E6E9D" w:rsidRDefault="002411B7" w:rsidP="00DC7081">
            <w:pPr>
              <w:pStyle w:val="Texto-Corpo"/>
              <w:spacing w:before="40" w:after="40" w:line="240" w:lineRule="auto"/>
              <w:rPr>
                <w:rFonts w:asciiTheme="minorHAnsi" w:hAnsiTheme="minorHAnsi" w:cstheme="minorHAnsi"/>
                <w:sz w:val="16"/>
                <w:szCs w:val="20"/>
              </w:rPr>
            </w:pPr>
          </w:p>
        </w:tc>
      </w:tr>
      <w:tr w:rsidR="002411B7" w:rsidRPr="001E6E9D" w14:paraId="5DEC5983"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08EFE1" w14:textId="77777777" w:rsidR="002411B7" w:rsidRPr="001E6E9D" w:rsidRDefault="002411B7" w:rsidP="00917AAB">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77A9C"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76D6B"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D64EF"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6E5EE1B"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7EC37542"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32D4A9" w14:textId="77777777" w:rsidR="002411B7" w:rsidRPr="001E6E9D" w:rsidRDefault="002411B7" w:rsidP="00917AAB">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54649"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65822"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FBC56"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448FAA0"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6AF6DCC0"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765A77" w14:textId="77777777" w:rsidR="002411B7" w:rsidRPr="001E6E9D" w:rsidRDefault="002411B7" w:rsidP="00917AAB">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Baseada em ações (incluindo opções)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959E0"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9CDA1"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258A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79FDD3B"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2411B7" w:rsidRPr="001E6E9D" w14:paraId="29B89C3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7F940F" w14:textId="77777777" w:rsidR="002411B7" w:rsidRPr="001E6E9D" w:rsidRDefault="002411B7"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FC2EB"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55F13" w14:textId="3D553D03" w:rsidR="002411B7" w:rsidRPr="001E6E9D" w:rsidRDefault="00C3745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Foram considerados para o cálculo do número de membros da Diretoria os meses de janeiro ou mês de constituição a dezembro de 2023 conforme disposto no item 10.2.8.2 do OFÍCIO-CIRCULAR/ANUAL-2024-CVM/SEP, o número de membros da Diretoria foi apurado de acordo com a média anual do número de membros de tal órgão apurado mensalmente, com duas casas decimais.</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D5477"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46" w:type="pct"/>
            <w:tcBorders>
              <w:top w:val="single" w:sz="4" w:space="0" w:color="000000"/>
              <w:left w:val="single" w:sz="4" w:space="0" w:color="000000"/>
              <w:bottom w:val="single" w:sz="4" w:space="0" w:color="000000"/>
              <w:right w:val="single" w:sz="4" w:space="0" w:color="000000"/>
            </w:tcBorders>
            <w:vAlign w:val="center"/>
          </w:tcPr>
          <w:p w14:paraId="37FE16AC" w14:textId="77777777" w:rsidR="002411B7" w:rsidRPr="001E6E9D" w:rsidRDefault="002411B7"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bl>
    <w:p w14:paraId="74D41B6E" w14:textId="3FBCEA1B" w:rsidR="0035572A" w:rsidRPr="001E6E9D" w:rsidRDefault="0035572A" w:rsidP="00917AAB">
      <w:pPr>
        <w:pStyle w:val="Head"/>
        <w:keepLines/>
        <w:spacing w:before="200" w:after="200" w:line="240" w:lineRule="auto"/>
        <w:rPr>
          <w:rFonts w:asciiTheme="minorHAnsi" w:hAnsiTheme="minorHAnsi" w:cstheme="minorHAnsi"/>
          <w:kern w:val="0"/>
          <w:sz w:val="20"/>
          <w:szCs w:val="20"/>
        </w:rPr>
      </w:pPr>
      <w:r w:rsidRPr="001E6E9D">
        <w:rPr>
          <w:rFonts w:asciiTheme="minorHAnsi" w:hAnsiTheme="minorHAnsi" w:cstheme="minorHAnsi"/>
          <w:kern w:val="0"/>
          <w:sz w:val="20"/>
          <w:szCs w:val="20"/>
        </w:rPr>
        <w:t>2022:</w:t>
      </w:r>
    </w:p>
    <w:p w14:paraId="082D2F38" w14:textId="02848D70" w:rsidR="0035572A" w:rsidRPr="001E6E9D" w:rsidRDefault="00DC7081" w:rsidP="00917AAB">
      <w:pPr>
        <w:keepNext/>
        <w:keepLines/>
        <w:ind w:left="360" w:hanging="360"/>
        <w:rPr>
          <w:rFonts w:asciiTheme="minorHAnsi" w:hAnsiTheme="minorHAnsi" w:cstheme="minorHAnsi"/>
          <w:lang w:eastAsia="en-GB"/>
        </w:rPr>
      </w:pPr>
      <w:r w:rsidRPr="001E6E9D">
        <w:rPr>
          <w:rFonts w:asciiTheme="minorHAnsi" w:hAnsiTheme="minorHAnsi" w:cstheme="minorHAnsi"/>
          <w:lang w:eastAsia="en-GB"/>
        </w:rPr>
        <w:t>(a)</w:t>
      </w:r>
      <w:r w:rsidRPr="001E6E9D">
        <w:rPr>
          <w:rFonts w:asciiTheme="minorHAnsi" w:hAnsiTheme="minorHAnsi" w:cstheme="minorHAnsi"/>
          <w:lang w:eastAsia="en-GB"/>
        </w:rPr>
        <w:tab/>
      </w:r>
      <w:r w:rsidR="0035572A" w:rsidRPr="001E6E9D">
        <w:rPr>
          <w:rFonts w:asciiTheme="minorHAnsi" w:hAnsiTheme="minorHAnsi" w:cstheme="minorHAnsi"/>
        </w:rPr>
        <w:t>As garantidoras SPE 5, SPE 6, SPE 8, SPE 10, SPE 12, SPE 13, SPE 14 e SPE 16 não haviam sido constituídas até 31 de dezembro de 2022;</w:t>
      </w:r>
    </w:p>
    <w:p w14:paraId="6BA6095F" w14:textId="69103C71" w:rsidR="0035572A" w:rsidRPr="001E6E9D" w:rsidRDefault="00917AAB" w:rsidP="00917AAB">
      <w:pPr>
        <w:keepNext/>
        <w:keepLines/>
        <w:ind w:left="360" w:hanging="360"/>
        <w:rPr>
          <w:rFonts w:asciiTheme="minorHAnsi" w:hAnsiTheme="minorHAnsi" w:cstheme="minorHAnsi"/>
          <w:lang w:eastAsia="en-GB"/>
        </w:rPr>
      </w:pPr>
      <w:r w:rsidRPr="001E6E9D">
        <w:rPr>
          <w:rFonts w:asciiTheme="minorHAnsi" w:hAnsiTheme="minorHAnsi" w:cstheme="minorHAnsi"/>
          <w:lang w:eastAsia="en-GB"/>
        </w:rPr>
        <w:t xml:space="preserve"> </w:t>
      </w:r>
      <w:r w:rsidR="00DC7081" w:rsidRPr="001E6E9D">
        <w:rPr>
          <w:rFonts w:asciiTheme="minorHAnsi" w:hAnsiTheme="minorHAnsi" w:cstheme="minorHAnsi"/>
          <w:lang w:eastAsia="en-GB"/>
        </w:rPr>
        <w:t>(b)</w:t>
      </w:r>
      <w:r w:rsidR="00DC7081" w:rsidRPr="001E6E9D">
        <w:rPr>
          <w:rFonts w:asciiTheme="minorHAnsi" w:hAnsiTheme="minorHAnsi" w:cstheme="minorHAnsi"/>
          <w:lang w:eastAsia="en-GB"/>
        </w:rPr>
        <w:tab/>
      </w:r>
      <w:r w:rsidR="0035572A" w:rsidRPr="001E6E9D">
        <w:rPr>
          <w:rFonts w:asciiTheme="minorHAnsi" w:hAnsiTheme="minorHAnsi" w:cstheme="minorHAnsi"/>
          <w:lang w:eastAsia="en-GB"/>
        </w:rPr>
        <w:t>FED: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4"/>
        <w:gridCol w:w="1731"/>
        <w:gridCol w:w="1738"/>
        <w:gridCol w:w="1734"/>
        <w:gridCol w:w="1714"/>
      </w:tblGrid>
      <w:tr w:rsidR="0035572A" w:rsidRPr="001E6E9D" w14:paraId="4F0B65D5"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BC27B92" w14:textId="77777777" w:rsidR="0035572A" w:rsidRPr="001E6E9D" w:rsidRDefault="0035572A" w:rsidP="00DC7081">
            <w:pPr>
              <w:pStyle w:val="Texto-Corpo"/>
              <w:spacing w:before="30" w:after="3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do Exercício Social em 31/12/2022- Valores Anuais</w:t>
            </w:r>
          </w:p>
        </w:tc>
      </w:tr>
      <w:tr w:rsidR="0035572A" w:rsidRPr="001E6E9D" w14:paraId="2E330D34" w14:textId="77777777" w:rsidTr="004F0F84">
        <w:trPr>
          <w:tblHeader/>
        </w:trPr>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4E7566" w14:textId="77777777" w:rsidR="0035572A" w:rsidRPr="001E6E9D" w:rsidRDefault="0035572A" w:rsidP="00DC7081">
            <w:pPr>
              <w:pStyle w:val="Texto-Corpo"/>
              <w:spacing w:before="30" w:after="30" w:line="240" w:lineRule="auto"/>
              <w:rPr>
                <w:rFonts w:asciiTheme="minorHAnsi" w:hAnsiTheme="minorHAnsi" w:cstheme="minorHAnsi"/>
                <w:b/>
                <w:sz w:val="16"/>
                <w:szCs w:val="20"/>
              </w:rPr>
            </w:pPr>
          </w:p>
        </w:tc>
        <w:tc>
          <w:tcPr>
            <w:tcW w:w="9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FA756F" w14:textId="77777777" w:rsidR="0035572A" w:rsidRPr="001E6E9D" w:rsidRDefault="0035572A" w:rsidP="00DC7081">
            <w:pPr>
              <w:pStyle w:val="Texto-Corpo"/>
              <w:spacing w:before="30" w:after="3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782A0C" w14:textId="77777777" w:rsidR="0035572A" w:rsidRPr="001E6E9D" w:rsidRDefault="0035572A" w:rsidP="00DC7081">
            <w:pPr>
              <w:pStyle w:val="Texto-Corpo"/>
              <w:spacing w:before="30" w:after="3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F1EF8B" w14:textId="77777777" w:rsidR="0035572A" w:rsidRPr="001E6E9D" w:rsidRDefault="0035572A" w:rsidP="00DC7081">
            <w:pPr>
              <w:pStyle w:val="Texto-Corpo"/>
              <w:spacing w:before="30" w:after="3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7F7187" w14:textId="77777777" w:rsidR="0035572A" w:rsidRPr="001E6E9D" w:rsidRDefault="0035572A" w:rsidP="00DC7081">
            <w:pPr>
              <w:pStyle w:val="Texto-Corpo"/>
              <w:spacing w:before="30" w:after="3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Total</w:t>
            </w:r>
          </w:p>
        </w:tc>
      </w:tr>
      <w:tr w:rsidR="0035572A" w:rsidRPr="001E6E9D" w14:paraId="3DB01CE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8E5077"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1D77F"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4FD21"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1,08</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F943C"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793692F1"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1,08</w:t>
            </w:r>
          </w:p>
        </w:tc>
      </w:tr>
      <w:tr w:rsidR="0035572A" w:rsidRPr="001E6E9D" w14:paraId="1FA46983"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511BB0"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00601"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330BF"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20E2B"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682647FB"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56D358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708DB3"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8CDF7" w14:textId="77777777" w:rsidR="0035572A" w:rsidRPr="001E6E9D" w:rsidRDefault="0035572A" w:rsidP="0034415F">
            <w:pPr>
              <w:pStyle w:val="Texto-Corpo"/>
              <w:spacing w:before="20" w:after="2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a FED não possuía Conselho de Administração.deste Prospecto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25094" w14:textId="77777777" w:rsidR="0035572A" w:rsidRPr="001E6E9D" w:rsidRDefault="0035572A" w:rsidP="0034415F">
            <w:pPr>
              <w:pStyle w:val="Texto-Corpo"/>
              <w:spacing w:before="20" w:after="2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A0686" w14:textId="77777777" w:rsidR="0035572A" w:rsidRPr="001E6E9D" w:rsidRDefault="0035572A" w:rsidP="0034415F">
            <w:pPr>
              <w:pStyle w:val="Texto-Corpo"/>
              <w:spacing w:before="20" w:after="2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a FED não possuía Conselho Fiscal.deste Prospecto</w:t>
            </w:r>
          </w:p>
        </w:tc>
        <w:tc>
          <w:tcPr>
            <w:tcW w:w="947" w:type="pct"/>
            <w:tcBorders>
              <w:top w:val="single" w:sz="4" w:space="0" w:color="000000"/>
              <w:left w:val="single" w:sz="4" w:space="0" w:color="000000"/>
              <w:bottom w:val="single" w:sz="4" w:space="0" w:color="000000"/>
              <w:right w:val="single" w:sz="4" w:space="0" w:color="000000"/>
            </w:tcBorders>
            <w:vAlign w:val="center"/>
          </w:tcPr>
          <w:p w14:paraId="3B390478" w14:textId="77777777" w:rsidR="0035572A" w:rsidRPr="001E6E9D" w:rsidRDefault="0035572A" w:rsidP="0034415F">
            <w:pPr>
              <w:pStyle w:val="Texto-Corpo"/>
              <w:spacing w:before="20" w:after="20" w:line="240" w:lineRule="auto"/>
              <w:rPr>
                <w:rFonts w:asciiTheme="minorHAnsi" w:hAnsiTheme="minorHAnsi" w:cstheme="minorHAnsi"/>
                <w:sz w:val="16"/>
                <w:szCs w:val="20"/>
              </w:rPr>
            </w:pPr>
          </w:p>
        </w:tc>
      </w:tr>
      <w:tr w:rsidR="0035572A" w:rsidRPr="001E6E9D" w14:paraId="3781211C"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AA5B66" w14:textId="77777777" w:rsidR="0035572A" w:rsidRPr="001E6E9D" w:rsidRDefault="0035572A" w:rsidP="0034415F">
            <w:pPr>
              <w:pStyle w:val="Texto-Corpo"/>
              <w:spacing w:before="20" w:after="2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35572A" w:rsidRPr="001E6E9D" w14:paraId="4ACFF16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E00CD4"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9232C"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6EFBA"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79ADF"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440D3C52"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16B42A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6DC20F"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A7CA9"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D369D"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4E8FE"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5DDB4ECF"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155F25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E9BAC4"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EDBD5"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419B2"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ABF04"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380EF83C"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285E4E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3E8D3B"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CEEEA"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68916"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5D10E"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1811EB8B"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202D107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AA33BF"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02671"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F97CA"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EF8F4"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12715095"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p>
        </w:tc>
      </w:tr>
      <w:tr w:rsidR="0035572A" w:rsidRPr="001E6E9D" w14:paraId="1B2D38F6"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DE5343" w14:textId="77777777" w:rsidR="0035572A" w:rsidRPr="001E6E9D" w:rsidRDefault="0035572A" w:rsidP="0034415F">
            <w:pPr>
              <w:pStyle w:val="Texto-Corpo"/>
              <w:spacing w:before="20" w:after="2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35572A" w:rsidRPr="001E6E9D" w14:paraId="3687A3E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EF0684"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Bônus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9C4ED"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4A32C"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4981E"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3ADC752A"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7BA9CC3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A88282"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36CAD"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CEC36"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E9269"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015381DE"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2EFEC2F"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0BEDB0"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A55A0"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3A90E"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92DF7"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65853931"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7D959B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44A9AF"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E538D"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80BCF"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9D7E5"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57DC41E9"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4403D4B"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52B12C"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39E9C"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86DF0"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E4A8F"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09EF1689"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9442B8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7C3094"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0586E"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D7CC7"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8D235"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14451505"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p>
        </w:tc>
      </w:tr>
      <w:tr w:rsidR="0035572A" w:rsidRPr="001E6E9D" w14:paraId="6E0DA37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466AD5" w14:textId="77777777" w:rsidR="0035572A" w:rsidRPr="001E6E9D" w:rsidRDefault="0035572A" w:rsidP="0034415F">
            <w:pPr>
              <w:pStyle w:val="Texto-Corpo"/>
              <w:spacing w:before="20" w:after="2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D14DE"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657EC"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7D952"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6218D76F"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2959187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4479BA" w14:textId="77777777" w:rsidR="0035572A" w:rsidRPr="001E6E9D" w:rsidRDefault="0035572A" w:rsidP="0034415F">
            <w:pPr>
              <w:pStyle w:val="Texto-Corpo"/>
              <w:spacing w:before="20" w:after="2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E8D4B"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F3CFB"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32EA4"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7B313206"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2E6957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0CC361" w14:textId="77777777" w:rsidR="0035572A" w:rsidRPr="001E6E9D" w:rsidRDefault="0035572A" w:rsidP="0034415F">
            <w:pPr>
              <w:pStyle w:val="Texto-Corpo"/>
              <w:spacing w:before="20" w:after="2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Baseada em ações (incluindo opções)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04FE2"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55D4E"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948C2"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233928FF"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45F05FB"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01572A" w14:textId="77777777" w:rsidR="0035572A" w:rsidRPr="001E6E9D" w:rsidRDefault="0035572A" w:rsidP="0034415F">
            <w:pPr>
              <w:pStyle w:val="Texto-Corpo"/>
              <w:spacing w:before="20" w:after="2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9CB0A"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EFDDF" w14:textId="77777777" w:rsidR="0035572A" w:rsidRPr="001E6E9D" w:rsidRDefault="0035572A" w:rsidP="0034415F">
            <w:pPr>
              <w:pStyle w:val="Texto-Corpo"/>
              <w:spacing w:before="20" w:after="20" w:line="240" w:lineRule="auto"/>
              <w:jc w:val="center"/>
              <w:rPr>
                <w:rFonts w:asciiTheme="minorHAnsi" w:hAnsiTheme="minorHAnsi" w:cstheme="minorHAnsi"/>
                <w:sz w:val="16"/>
                <w:szCs w:val="20"/>
              </w:rPr>
            </w:pPr>
            <w:r w:rsidRPr="001E6E9D">
              <w:rPr>
                <w:rFonts w:asciiTheme="minorHAnsi" w:hAnsiTheme="minorHAnsi" w:cstheme="minorHAnsi"/>
                <w:sz w:val="16"/>
                <w:szCs w:val="20"/>
              </w:rPr>
              <w:t>Conforme disposto no item 10.2.8.2 do OFÍCIO-CIRCULAR/ANUAL-2024-CVM/SEP, o número de membros da Diretoria foi apurado de acordo com a média anual do número de membros de tal órgão apurado mensalmente, com duas casas decimais.</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E398A"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w:t>
            </w:r>
          </w:p>
        </w:tc>
        <w:tc>
          <w:tcPr>
            <w:tcW w:w="947" w:type="pct"/>
            <w:tcBorders>
              <w:top w:val="single" w:sz="4" w:space="0" w:color="000000"/>
              <w:left w:val="single" w:sz="4" w:space="0" w:color="000000"/>
              <w:bottom w:val="single" w:sz="4" w:space="0" w:color="000000"/>
              <w:right w:val="single" w:sz="4" w:space="0" w:color="000000"/>
            </w:tcBorders>
            <w:vAlign w:val="center"/>
          </w:tcPr>
          <w:p w14:paraId="11C241B2" w14:textId="77777777" w:rsidR="0035572A" w:rsidRPr="001E6E9D" w:rsidRDefault="0035572A" w:rsidP="0034415F">
            <w:pPr>
              <w:pStyle w:val="Texto-Corpo"/>
              <w:spacing w:before="20" w:after="20" w:line="240" w:lineRule="auto"/>
              <w:jc w:val="left"/>
              <w:rPr>
                <w:rFonts w:asciiTheme="minorHAnsi" w:hAnsiTheme="minorHAnsi" w:cstheme="minorHAnsi"/>
                <w:sz w:val="16"/>
                <w:szCs w:val="20"/>
              </w:rPr>
            </w:pPr>
            <w:r w:rsidRPr="001E6E9D">
              <w:rPr>
                <w:rFonts w:asciiTheme="minorHAnsi" w:hAnsiTheme="minorHAnsi" w:cstheme="minorHAnsi"/>
                <w:sz w:val="16"/>
                <w:szCs w:val="20"/>
              </w:rPr>
              <w:t>-</w:t>
            </w:r>
          </w:p>
        </w:tc>
      </w:tr>
      <w:tr w:rsidR="0035572A" w:rsidRPr="001E6E9D" w14:paraId="160B92F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75507E" w14:textId="77777777" w:rsidR="0035572A" w:rsidRPr="001E6E9D" w:rsidRDefault="0035572A" w:rsidP="0034415F">
            <w:pPr>
              <w:pStyle w:val="Texto-Corpo"/>
              <w:spacing w:before="20" w:after="2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Total da remuneração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DB13D" w14:textId="77777777" w:rsidR="0035572A" w:rsidRPr="001E6E9D" w:rsidRDefault="0035572A" w:rsidP="0034415F">
            <w:pPr>
              <w:pStyle w:val="Texto-Corpo"/>
              <w:spacing w:before="20" w:after="2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5453A" w14:textId="77777777" w:rsidR="0035572A" w:rsidRPr="001E6E9D" w:rsidRDefault="0035572A" w:rsidP="0034415F">
            <w:pPr>
              <w:pStyle w:val="Texto-Corpo"/>
              <w:spacing w:before="20" w:after="2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DBAA1" w14:textId="77777777" w:rsidR="0035572A" w:rsidRPr="001E6E9D" w:rsidRDefault="0035572A" w:rsidP="0034415F">
            <w:pPr>
              <w:pStyle w:val="Texto-Corpo"/>
              <w:spacing w:before="20" w:after="2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1CCD964C" w14:textId="77777777" w:rsidR="0035572A" w:rsidRPr="001E6E9D" w:rsidRDefault="0035572A" w:rsidP="0034415F">
            <w:pPr>
              <w:pStyle w:val="Texto-Corpo"/>
              <w:spacing w:before="20" w:after="20" w:line="240" w:lineRule="auto"/>
              <w:jc w:val="left"/>
              <w:rPr>
                <w:rFonts w:asciiTheme="minorHAnsi" w:hAnsiTheme="minorHAnsi" w:cstheme="minorHAnsi"/>
                <w:b/>
                <w:bCs/>
                <w:sz w:val="16"/>
                <w:szCs w:val="20"/>
              </w:rPr>
            </w:pPr>
            <w:r w:rsidRPr="001E6E9D">
              <w:rPr>
                <w:rFonts w:asciiTheme="minorHAnsi" w:hAnsiTheme="minorHAnsi" w:cstheme="minorHAnsi"/>
                <w:b/>
                <w:bCs/>
                <w:sz w:val="16"/>
                <w:szCs w:val="20"/>
              </w:rPr>
              <w:t>0</w:t>
            </w:r>
          </w:p>
        </w:tc>
      </w:tr>
    </w:tbl>
    <w:p w14:paraId="5DA98F5A" w14:textId="742F696A" w:rsidR="0035572A" w:rsidRPr="001E6E9D" w:rsidRDefault="0034415F" w:rsidP="0034415F">
      <w:pPr>
        <w:pStyle w:val="Texto-Corpo"/>
        <w:keepNext/>
        <w:spacing w:before="200" w:after="200" w:line="240" w:lineRule="auto"/>
        <w:ind w:left="357" w:hanging="357"/>
        <w:rPr>
          <w:rFonts w:asciiTheme="minorHAnsi" w:hAnsiTheme="minorHAnsi" w:cstheme="minorHAnsi"/>
          <w:szCs w:val="20"/>
          <w:lang w:val="en-US"/>
        </w:rPr>
      </w:pPr>
      <w:r w:rsidRPr="001E6E9D">
        <w:rPr>
          <w:rFonts w:asciiTheme="minorHAnsi" w:hAnsiTheme="minorHAnsi" w:cstheme="minorHAnsi"/>
          <w:szCs w:val="20"/>
          <w:lang w:val="en-US"/>
        </w:rPr>
        <w:t xml:space="preserve"> </w:t>
      </w:r>
      <w:r w:rsidR="00DC7081" w:rsidRPr="001E6E9D">
        <w:rPr>
          <w:rFonts w:asciiTheme="minorHAnsi" w:hAnsiTheme="minorHAnsi" w:cstheme="minorHAnsi"/>
          <w:szCs w:val="20"/>
          <w:lang w:val="en-US"/>
        </w:rPr>
        <w:t>(c)</w:t>
      </w:r>
      <w:r w:rsidR="00DC7081" w:rsidRPr="001E6E9D">
        <w:rPr>
          <w:rFonts w:asciiTheme="minorHAnsi" w:hAnsiTheme="minorHAnsi" w:cstheme="minorHAnsi"/>
          <w:szCs w:val="20"/>
          <w:lang w:val="en-US"/>
        </w:rPr>
        <w:tab/>
      </w:r>
      <w:r w:rsidR="0035572A" w:rsidRPr="001E6E9D">
        <w:rPr>
          <w:rFonts w:asciiTheme="minorHAnsi" w:hAnsiTheme="minorHAnsi" w:cstheme="minorHAnsi"/>
          <w:szCs w:val="20"/>
          <w:lang w:val="en-US"/>
        </w:rPr>
        <w:t>SPE 1, SPE 2, SPE 3, SPE 4, SPE 7, SPE 9, SPE 11 e SPE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4"/>
        <w:gridCol w:w="1731"/>
        <w:gridCol w:w="1738"/>
        <w:gridCol w:w="1734"/>
        <w:gridCol w:w="1714"/>
      </w:tblGrid>
      <w:tr w:rsidR="0035572A" w:rsidRPr="001E6E9D" w14:paraId="4755D0FE"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CED5154" w14:textId="77777777" w:rsidR="0035572A" w:rsidRPr="001E6E9D" w:rsidRDefault="0035572A" w:rsidP="00DC7081">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do Exercício Social em 31/12/2022 - Valores Anuais</w:t>
            </w:r>
          </w:p>
        </w:tc>
      </w:tr>
      <w:tr w:rsidR="0035572A" w:rsidRPr="001E6E9D" w14:paraId="16F6BCA6" w14:textId="77777777" w:rsidTr="004F0F84">
        <w:trPr>
          <w:tblHeader/>
        </w:trPr>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3F7312" w14:textId="77777777" w:rsidR="0035572A" w:rsidRPr="001E6E9D" w:rsidRDefault="0035572A" w:rsidP="00DC7081">
            <w:pPr>
              <w:pStyle w:val="Texto-Corpo"/>
              <w:keepNext/>
              <w:spacing w:before="40" w:after="40" w:line="240" w:lineRule="auto"/>
              <w:rPr>
                <w:rFonts w:asciiTheme="minorHAnsi" w:hAnsiTheme="minorHAnsi" w:cstheme="minorHAnsi"/>
                <w:b/>
                <w:sz w:val="16"/>
                <w:szCs w:val="20"/>
              </w:rPr>
            </w:pPr>
          </w:p>
        </w:tc>
        <w:tc>
          <w:tcPr>
            <w:tcW w:w="9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2E485E" w14:textId="77777777" w:rsidR="0035572A" w:rsidRPr="001E6E9D" w:rsidRDefault="0035572A" w:rsidP="0034415F">
            <w:pPr>
              <w:pStyle w:val="Texto-Corpo"/>
              <w:keepNext/>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9AF4EB" w14:textId="77777777" w:rsidR="0035572A" w:rsidRPr="001E6E9D" w:rsidRDefault="0035572A"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B2D31C" w14:textId="77777777" w:rsidR="0035572A" w:rsidRPr="001E6E9D" w:rsidRDefault="0035572A"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5996B0" w14:textId="77777777" w:rsidR="0035572A" w:rsidRPr="001E6E9D" w:rsidRDefault="0035572A" w:rsidP="00DC7081">
            <w:pPr>
              <w:pStyle w:val="Texto-Corpo"/>
              <w:keepNext/>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Total</w:t>
            </w:r>
          </w:p>
        </w:tc>
      </w:tr>
      <w:tr w:rsidR="0035572A" w:rsidRPr="001E6E9D" w14:paraId="2DE474B8"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AFF690" w14:textId="77777777" w:rsidR="0035572A" w:rsidRPr="001E6E9D" w:rsidRDefault="0035572A"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2A604" w14:textId="77777777" w:rsidR="0035572A" w:rsidRPr="001E6E9D" w:rsidRDefault="0035572A"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F7A7AB" w14:textId="77777777" w:rsidR="0035572A" w:rsidRPr="001E6E9D" w:rsidRDefault="0035572A"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1</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81825" w14:textId="77777777" w:rsidR="0035572A" w:rsidRPr="001E6E9D" w:rsidRDefault="0035572A"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0F33928" w14:textId="77777777" w:rsidR="0035572A" w:rsidRPr="001E6E9D" w:rsidRDefault="0035572A" w:rsidP="00DC7081">
            <w:pPr>
              <w:pStyle w:val="Texto-Corpo"/>
              <w:keepNext/>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1</w:t>
            </w:r>
          </w:p>
        </w:tc>
      </w:tr>
      <w:tr w:rsidR="0035572A" w:rsidRPr="001E6E9D" w14:paraId="52B213B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5E91B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9997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023C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829D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BEA9DB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EED05D8"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AADB8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381AE" w14:textId="77777777" w:rsidR="0035572A" w:rsidRPr="001E6E9D" w:rsidRDefault="0035572A"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nenhuma das garantidoras SPEs possuía 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82FBA6"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D10DC" w14:textId="77777777" w:rsidR="0035572A" w:rsidRPr="001E6E9D" w:rsidRDefault="0035572A"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nenhuma das garantidoras SPEs possuía Conselho Fiscal.</w:t>
            </w:r>
          </w:p>
        </w:tc>
        <w:tc>
          <w:tcPr>
            <w:tcW w:w="946" w:type="pct"/>
            <w:tcBorders>
              <w:top w:val="single" w:sz="4" w:space="0" w:color="000000"/>
              <w:left w:val="single" w:sz="4" w:space="0" w:color="000000"/>
              <w:bottom w:val="single" w:sz="4" w:space="0" w:color="000000"/>
              <w:right w:val="single" w:sz="4" w:space="0" w:color="000000"/>
            </w:tcBorders>
            <w:vAlign w:val="center"/>
          </w:tcPr>
          <w:p w14:paraId="1C7C7DA6"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r>
      <w:tr w:rsidR="0035572A" w:rsidRPr="001E6E9D" w14:paraId="0506BAC1"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0626AF"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35572A" w:rsidRPr="001E6E9D" w14:paraId="42302C2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3733E9"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F5B8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6CA1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4C1B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2780A4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5CCE8A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1B8C0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7753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8407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E7A6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7FBE6A9"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215A9E8"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05B02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4649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4088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8708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CE0AB3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F57404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24215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EF9D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2953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3A4C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7D5C79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A02F379"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49BBC2"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4E4C1"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8B3CE"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6AAB1"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485F45BB"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r>
      <w:tr w:rsidR="0035572A" w:rsidRPr="001E6E9D" w14:paraId="6186AA66"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4328F2"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35572A" w:rsidRPr="001E6E9D" w14:paraId="2D7E657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43E6C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Bônus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F8D3A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BACF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6714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BB5189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5A9093F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06D6E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E310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AE73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488B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65DC96C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45E363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89C63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546F9"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0C45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9A15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82E542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1DD32E8"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5235E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B47B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B456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20EB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8CBEA0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C4CA6A1"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F6C29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3688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CF44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52D3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233E7B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2698BBC3"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A137D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82CA5"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55B09"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2185F"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29EDE5E1"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r>
      <w:tr w:rsidR="0035572A" w:rsidRPr="001E6E9D" w14:paraId="5559FAA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67E535"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0F30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8260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826F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FEAFF8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A58332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F1578A"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853E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787A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CF1F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DFC1256"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E8C603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AF24B3"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Baseada em ações (incluindo opções)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FD672"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2B11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001B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04DAA56"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B5041A8"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53CF95"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F6A69"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20B78" w14:textId="77777777" w:rsidR="0035572A" w:rsidRPr="001E6E9D" w:rsidRDefault="0035572A"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Conforme disposto no item 10.2.8.2 do OFÍCIO-CIRCULAR/ANUAL-2024-CVM/SEP, o número de membros da Diretoria foi apurado de acordo com a média anual do número de membros de tal órgão apurado mensalmente, com duas casas decimais.</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EE5D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46" w:type="pct"/>
            <w:tcBorders>
              <w:top w:val="single" w:sz="4" w:space="0" w:color="000000"/>
              <w:left w:val="single" w:sz="4" w:space="0" w:color="000000"/>
              <w:bottom w:val="single" w:sz="4" w:space="0" w:color="000000"/>
              <w:right w:val="single" w:sz="4" w:space="0" w:color="000000"/>
            </w:tcBorders>
            <w:vAlign w:val="center"/>
          </w:tcPr>
          <w:p w14:paraId="337359F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35572A" w:rsidRPr="001E6E9D" w14:paraId="3800155A"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F3C8D0"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Total da remuneração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B93EE" w14:textId="77777777" w:rsidR="0035572A" w:rsidRPr="001E6E9D" w:rsidRDefault="0035572A"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6C60F" w14:textId="77777777" w:rsidR="0035572A" w:rsidRPr="001E6E9D" w:rsidRDefault="0035572A"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9266D" w14:textId="77777777" w:rsidR="0035572A" w:rsidRPr="001E6E9D" w:rsidRDefault="0035572A"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703CDF0" w14:textId="77777777" w:rsidR="0035572A" w:rsidRPr="001E6E9D" w:rsidRDefault="0035572A"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r>
    </w:tbl>
    <w:p w14:paraId="7138E757" w14:textId="203A0F4D" w:rsidR="0035572A" w:rsidRPr="001E6E9D" w:rsidRDefault="00917AAB" w:rsidP="00917AAB">
      <w:pPr>
        <w:pStyle w:val="Texto-Corpo"/>
        <w:keepNext/>
        <w:spacing w:before="200" w:after="200" w:line="240" w:lineRule="auto"/>
        <w:ind w:left="357" w:hanging="357"/>
        <w:rPr>
          <w:rFonts w:asciiTheme="minorHAnsi" w:hAnsiTheme="minorHAnsi" w:cstheme="minorHAnsi"/>
          <w:szCs w:val="20"/>
        </w:rPr>
      </w:pPr>
      <w:r w:rsidRPr="001E6E9D">
        <w:rPr>
          <w:rFonts w:asciiTheme="minorHAnsi" w:hAnsiTheme="minorHAnsi" w:cstheme="minorHAnsi"/>
          <w:szCs w:val="20"/>
        </w:rPr>
        <w:t xml:space="preserve"> </w:t>
      </w:r>
      <w:r w:rsidR="00DC7081" w:rsidRPr="001E6E9D">
        <w:rPr>
          <w:rFonts w:asciiTheme="minorHAnsi" w:hAnsiTheme="minorHAnsi" w:cstheme="minorHAnsi"/>
          <w:szCs w:val="20"/>
        </w:rPr>
        <w:t>(d)</w:t>
      </w:r>
      <w:r w:rsidR="00DC7081" w:rsidRPr="001E6E9D">
        <w:rPr>
          <w:rFonts w:asciiTheme="minorHAnsi" w:hAnsiTheme="minorHAnsi" w:cstheme="minorHAnsi"/>
          <w:szCs w:val="20"/>
        </w:rPr>
        <w:tab/>
      </w:r>
      <w:r w:rsidR="0035572A" w:rsidRPr="001E6E9D">
        <w:rPr>
          <w:rFonts w:asciiTheme="minorHAnsi" w:hAnsiTheme="minorHAnsi" w:cstheme="minorHAnsi"/>
          <w:szCs w:val="20"/>
        </w:rPr>
        <w:t>FERP: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0"/>
        <w:gridCol w:w="1738"/>
        <w:gridCol w:w="1738"/>
        <w:gridCol w:w="1732"/>
        <w:gridCol w:w="1713"/>
      </w:tblGrid>
      <w:tr w:rsidR="0035572A" w:rsidRPr="001E6E9D" w14:paraId="0F7ABA31"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F0FE2C0" w14:textId="77777777" w:rsidR="0035572A" w:rsidRPr="001E6E9D" w:rsidRDefault="0035572A" w:rsidP="00DC7081">
            <w:pPr>
              <w:pStyle w:val="Texto-Corpo"/>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do Exercício Social em 31/12/2022 - Valores Anuais</w:t>
            </w:r>
          </w:p>
        </w:tc>
      </w:tr>
      <w:tr w:rsidR="0035572A" w:rsidRPr="001E6E9D" w14:paraId="6F459351"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45A67D"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110E8E" w14:textId="77777777" w:rsidR="0035572A" w:rsidRPr="001E6E9D" w:rsidRDefault="0035572A" w:rsidP="0034415F">
            <w:pPr>
              <w:pStyle w:val="Texto-Corpo"/>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685540"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9B2EDF"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620ACF"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Total</w:t>
            </w:r>
          </w:p>
        </w:tc>
      </w:tr>
      <w:tr w:rsidR="0035572A" w:rsidRPr="001E6E9D" w14:paraId="23750230"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318ED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10CF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1,3</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C4C0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1,44</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DADFD"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35A8B002"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2,74</w:t>
            </w:r>
          </w:p>
        </w:tc>
      </w:tr>
      <w:tr w:rsidR="0035572A" w:rsidRPr="001E6E9D" w14:paraId="43E0E265"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E1AD86"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ACF7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5BD4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B3DB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683B3EB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E6D3A0A"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5A0B3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D249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2302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 xml:space="preserve">- </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E9DA3" w14:textId="77777777" w:rsidR="0035572A" w:rsidRPr="001E6E9D" w:rsidRDefault="0035572A"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a FERP não possuía Conselho Fiscal.</w:t>
            </w:r>
          </w:p>
        </w:tc>
        <w:tc>
          <w:tcPr>
            <w:tcW w:w="946" w:type="pct"/>
            <w:tcBorders>
              <w:top w:val="single" w:sz="4" w:space="0" w:color="000000"/>
              <w:left w:val="single" w:sz="4" w:space="0" w:color="000000"/>
              <w:bottom w:val="single" w:sz="4" w:space="0" w:color="000000"/>
              <w:right w:val="single" w:sz="4" w:space="0" w:color="000000"/>
            </w:tcBorders>
            <w:vAlign w:val="center"/>
          </w:tcPr>
          <w:p w14:paraId="4A126303"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r>
      <w:tr w:rsidR="0035572A" w:rsidRPr="001E6E9D" w14:paraId="7D08FF2C"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586433"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35572A" w:rsidRPr="001E6E9D" w14:paraId="10F1EA38"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32248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1593D"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96A7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5B03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BB52FA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5CA5CF0"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B323F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66D8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3B3F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D1812"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2F0173F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78B026D7"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5C4259"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A1E09"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F009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7232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A2BAD9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5DF2229"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CEF8F9"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22D7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7133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9B8F2"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6DB8CEB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CF23B48"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2E7D73"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F7699"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5B2E9"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D5AA0"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2D3A9EFE"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r>
      <w:tr w:rsidR="0035572A" w:rsidRPr="001E6E9D" w14:paraId="2B66DF0A"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D91E29"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35572A" w:rsidRPr="001E6E9D" w14:paraId="1E3DF2BD"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875BCD"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Bônus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980C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EC3D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CC02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103EA3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6882CE8"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960890"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3563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FC7B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D666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60DB29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7EBD4899"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2F9E05"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DE235"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BF486"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0C0D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63423A2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54CA455D"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970766"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3AA99"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4818D"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AF37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3BBC03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56CB6DD9"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D3E7E2"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3C6E8"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28B39"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3D47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7FBB7D86"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5F71952B"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41F486"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E9896"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09F84"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44972"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14:paraId="1AF260A0" w14:textId="77777777" w:rsidR="0035572A" w:rsidRPr="001E6E9D" w:rsidRDefault="0035572A" w:rsidP="00DC7081">
            <w:pPr>
              <w:pStyle w:val="Texto-Corpo"/>
              <w:spacing w:before="40" w:after="40" w:line="240" w:lineRule="auto"/>
              <w:rPr>
                <w:rFonts w:asciiTheme="minorHAnsi" w:hAnsiTheme="minorHAnsi" w:cstheme="minorHAnsi"/>
                <w:sz w:val="16"/>
                <w:szCs w:val="20"/>
              </w:rPr>
            </w:pPr>
          </w:p>
        </w:tc>
      </w:tr>
      <w:tr w:rsidR="0035572A" w:rsidRPr="001E6E9D" w14:paraId="1928CBE3"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74718F"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533B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F41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6D7B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067D8A2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5803BCC"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228A46"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6BD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994E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1AA9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140B6DC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0801F21"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82D148"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Baseada em ações (incluindo opções)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39EA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980D9"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0D02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4B5D973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97DC9D1"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372DA0"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E178A" w14:textId="77777777" w:rsidR="0035572A" w:rsidRPr="001E6E9D" w:rsidRDefault="0035572A"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A Companhia foi constituída em 5 de abril de 2022 e, portanto, foram considerados para o cálculo do número de membros da Diretoria os meses de abril a dezembro de 2022 conforme disposto no item 10.2.8.2 do OFÍCIO-CIRCULAR/ANUAL-2024-CVM/SEP, o número de membros da Diretoria foi apurado de acordo com a média anual do número de membros de tal órgão apurado mensalmente, com duas casas decimais.</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9B665" w14:textId="77777777" w:rsidR="0035572A" w:rsidRPr="001E6E9D" w:rsidRDefault="0035572A"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A Companhia foi constituída em 5 de abril de 2022 e, portanto, foram considerados para o cálculo do número de membros da Diretoria os meses de abril a dezembro de 2022 conforme disposto no item 10.2.8.2 do OFÍCIO-CIRCULAR/ANUAL-2024-CVM/SEP, o número de membros da Diretoria foi apurado de acordo com a média anual do número de membros de tal órgão apurado mensalmente, com duas casas decimais.</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6E91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46" w:type="pct"/>
            <w:tcBorders>
              <w:top w:val="single" w:sz="4" w:space="0" w:color="000000"/>
              <w:left w:val="single" w:sz="4" w:space="0" w:color="000000"/>
              <w:bottom w:val="single" w:sz="4" w:space="0" w:color="000000"/>
              <w:right w:val="single" w:sz="4" w:space="0" w:color="000000"/>
            </w:tcBorders>
            <w:vAlign w:val="center"/>
          </w:tcPr>
          <w:p w14:paraId="4AF87A6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35572A" w:rsidRPr="001E6E9D" w14:paraId="352F39C3" w14:textId="77777777" w:rsidTr="004F0F84">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B43A6F"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Total da remuneração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27032" w14:textId="77777777" w:rsidR="0035572A" w:rsidRPr="001E6E9D" w:rsidRDefault="0035572A"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6E6A8" w14:textId="77777777" w:rsidR="0035572A" w:rsidRPr="001E6E9D" w:rsidRDefault="0035572A"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BB996" w14:textId="77777777" w:rsidR="0035572A" w:rsidRPr="001E6E9D" w:rsidRDefault="0035572A"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c>
          <w:tcPr>
            <w:tcW w:w="946" w:type="pct"/>
            <w:tcBorders>
              <w:top w:val="single" w:sz="4" w:space="0" w:color="000000"/>
              <w:left w:val="single" w:sz="4" w:space="0" w:color="000000"/>
              <w:bottom w:val="single" w:sz="4" w:space="0" w:color="000000"/>
              <w:right w:val="single" w:sz="4" w:space="0" w:color="000000"/>
            </w:tcBorders>
            <w:vAlign w:val="center"/>
          </w:tcPr>
          <w:p w14:paraId="5D9B9851" w14:textId="77777777" w:rsidR="0035572A" w:rsidRPr="001E6E9D" w:rsidRDefault="0035572A" w:rsidP="00DC7081">
            <w:pPr>
              <w:pStyle w:val="Texto-Corpo"/>
              <w:spacing w:before="40" w:after="40" w:line="240" w:lineRule="auto"/>
              <w:rPr>
                <w:rFonts w:asciiTheme="minorHAnsi" w:hAnsiTheme="minorHAnsi" w:cstheme="minorHAnsi"/>
                <w:b/>
                <w:bCs/>
                <w:sz w:val="16"/>
                <w:szCs w:val="20"/>
              </w:rPr>
            </w:pPr>
            <w:r w:rsidRPr="001E6E9D">
              <w:rPr>
                <w:rFonts w:asciiTheme="minorHAnsi" w:hAnsiTheme="minorHAnsi" w:cstheme="minorHAnsi"/>
                <w:b/>
                <w:bCs/>
                <w:sz w:val="16"/>
                <w:szCs w:val="20"/>
              </w:rPr>
              <w:t>0</w:t>
            </w:r>
          </w:p>
        </w:tc>
      </w:tr>
    </w:tbl>
    <w:p w14:paraId="4DF563F3" w14:textId="5E0D1FBA" w:rsidR="0035572A" w:rsidRPr="001E6E9D" w:rsidRDefault="0035572A" w:rsidP="0034415F">
      <w:pPr>
        <w:pStyle w:val="Head"/>
        <w:keepNext w:val="0"/>
        <w:spacing w:before="200" w:after="200" w:line="240" w:lineRule="auto"/>
        <w:rPr>
          <w:rFonts w:asciiTheme="minorHAnsi" w:hAnsiTheme="minorHAnsi" w:cstheme="minorHAnsi"/>
          <w:kern w:val="0"/>
          <w:sz w:val="20"/>
          <w:szCs w:val="20"/>
        </w:rPr>
      </w:pPr>
      <w:r w:rsidRPr="001E6E9D">
        <w:rPr>
          <w:rFonts w:asciiTheme="minorHAnsi" w:hAnsiTheme="minorHAnsi" w:cstheme="minorHAnsi"/>
          <w:kern w:val="0"/>
          <w:sz w:val="20"/>
          <w:szCs w:val="20"/>
        </w:rPr>
        <w:t>2021:</w:t>
      </w:r>
    </w:p>
    <w:p w14:paraId="5A084EBF" w14:textId="500D8438" w:rsidR="0035572A" w:rsidRPr="001E6E9D" w:rsidRDefault="00DC7081" w:rsidP="0034415F">
      <w:pPr>
        <w:ind w:left="567" w:hanging="567"/>
        <w:rPr>
          <w:rFonts w:asciiTheme="minorHAnsi" w:hAnsiTheme="minorHAnsi" w:cstheme="minorHAnsi"/>
        </w:rPr>
      </w:pPr>
      <w:r w:rsidRPr="001E6E9D">
        <w:rPr>
          <w:rFonts w:asciiTheme="minorHAnsi" w:hAnsiTheme="minorHAnsi" w:cstheme="minorHAnsi"/>
        </w:rPr>
        <w:t>(a)</w:t>
      </w:r>
      <w:r w:rsidRPr="001E6E9D">
        <w:rPr>
          <w:rFonts w:asciiTheme="minorHAnsi" w:hAnsiTheme="minorHAnsi" w:cstheme="minorHAnsi"/>
        </w:rPr>
        <w:tab/>
      </w:r>
      <w:r w:rsidR="0035572A" w:rsidRPr="001E6E9D">
        <w:rPr>
          <w:rFonts w:asciiTheme="minorHAnsi" w:hAnsiTheme="minorHAnsi" w:cstheme="minorHAnsi"/>
        </w:rPr>
        <w:t>As garantidoras FERP, SPE 5, SPE 6, SPE 7, SPE 8, SPE 9, SPE 10, SPE 11, SPE 12, SPE 13, SPE 14, SPE 15 e SPE 16 não haviam sido constituídas até 31 de dezembro de 2021;</w:t>
      </w:r>
    </w:p>
    <w:p w14:paraId="27627CC9" w14:textId="20E7FC05" w:rsidR="0035572A" w:rsidRPr="001E6E9D" w:rsidRDefault="00DC7081" w:rsidP="0034415F">
      <w:pPr>
        <w:ind w:left="567" w:hanging="567"/>
        <w:rPr>
          <w:rFonts w:asciiTheme="minorHAnsi" w:hAnsiTheme="minorHAnsi" w:cstheme="minorHAnsi"/>
          <w:lang w:val="en-US"/>
        </w:rPr>
      </w:pPr>
      <w:r w:rsidRPr="001E6E9D">
        <w:rPr>
          <w:rFonts w:asciiTheme="minorHAnsi" w:hAnsiTheme="minorHAnsi" w:cstheme="minorHAnsi"/>
          <w:lang w:val="en-US"/>
        </w:rPr>
        <w:t>(b)</w:t>
      </w:r>
      <w:r w:rsidRPr="001E6E9D">
        <w:rPr>
          <w:rFonts w:asciiTheme="minorHAnsi" w:hAnsiTheme="minorHAnsi" w:cstheme="minorHAnsi"/>
          <w:lang w:val="en-US"/>
        </w:rPr>
        <w:tab/>
      </w:r>
      <w:r w:rsidR="0035572A" w:rsidRPr="001E6E9D">
        <w:rPr>
          <w:rFonts w:asciiTheme="minorHAnsi" w:hAnsiTheme="minorHAnsi" w:cstheme="minorHAnsi"/>
          <w:lang w:val="en-US" w:eastAsia="en-GB"/>
        </w:rPr>
        <w:t>FED, SPE 1, SPE 2, SPE 3 e SPE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68" w:type="dxa"/>
          <w:bottom w:w="40" w:type="dxa"/>
          <w:right w:w="68" w:type="dxa"/>
        </w:tblCellMar>
        <w:tblLook w:val="04A0" w:firstRow="1" w:lastRow="0" w:firstColumn="1" w:lastColumn="0" w:noHBand="0" w:noVBand="1"/>
      </w:tblPr>
      <w:tblGrid>
        <w:gridCol w:w="2144"/>
        <w:gridCol w:w="1731"/>
        <w:gridCol w:w="1738"/>
        <w:gridCol w:w="1734"/>
        <w:gridCol w:w="1714"/>
      </w:tblGrid>
      <w:tr w:rsidR="0035572A" w:rsidRPr="001E6E9D" w14:paraId="7C320EDD" w14:textId="77777777" w:rsidTr="004F0F84">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859E851" w14:textId="77777777" w:rsidR="0035572A" w:rsidRPr="001E6E9D" w:rsidRDefault="0035572A" w:rsidP="00DC7081">
            <w:pPr>
              <w:pStyle w:val="Texto-Corpo"/>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Remuneração total do Exercício Social finalizado em 31/12/2021 – Valores Anuais</w:t>
            </w:r>
          </w:p>
        </w:tc>
      </w:tr>
      <w:tr w:rsidR="0035572A" w:rsidRPr="001E6E9D" w14:paraId="4480FB9F" w14:textId="77777777" w:rsidTr="004F0F84">
        <w:trPr>
          <w:tblHeader/>
        </w:trPr>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713144" w14:textId="77777777" w:rsidR="0035572A" w:rsidRPr="001E6E9D" w:rsidRDefault="0035572A" w:rsidP="00DC7081">
            <w:pPr>
              <w:pStyle w:val="Texto-Corpo"/>
              <w:spacing w:before="40" w:after="40" w:line="240" w:lineRule="auto"/>
              <w:rPr>
                <w:rFonts w:asciiTheme="minorHAnsi" w:hAnsiTheme="minorHAnsi" w:cstheme="minorHAnsi"/>
                <w:b/>
                <w:sz w:val="16"/>
                <w:szCs w:val="20"/>
              </w:rPr>
            </w:pPr>
          </w:p>
        </w:tc>
        <w:tc>
          <w:tcPr>
            <w:tcW w:w="9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7BD6A5" w14:textId="77777777" w:rsidR="0035572A" w:rsidRPr="001E6E9D" w:rsidRDefault="0035572A" w:rsidP="00DC7081">
            <w:pPr>
              <w:pStyle w:val="Texto-Corpo"/>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E642B8" w14:textId="77777777" w:rsidR="0035572A" w:rsidRPr="001E6E9D" w:rsidRDefault="0035572A" w:rsidP="00DC7081">
            <w:pPr>
              <w:pStyle w:val="Texto-Corpo"/>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Diretoria Estatutária</w:t>
            </w:r>
          </w:p>
        </w:tc>
        <w:tc>
          <w:tcPr>
            <w:tcW w:w="9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9A7153" w14:textId="77777777" w:rsidR="0035572A" w:rsidRPr="001E6E9D" w:rsidRDefault="0035572A" w:rsidP="00DC7081">
            <w:pPr>
              <w:pStyle w:val="Texto-Corpo"/>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Conselho Fiscal</w:t>
            </w:r>
          </w:p>
        </w:tc>
        <w:tc>
          <w:tcPr>
            <w:tcW w:w="94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FA46F5" w14:textId="77777777" w:rsidR="0035572A" w:rsidRPr="001E6E9D" w:rsidRDefault="0035572A" w:rsidP="00DC7081">
            <w:pPr>
              <w:pStyle w:val="Texto-Corpo"/>
              <w:spacing w:before="40" w:after="40" w:line="240" w:lineRule="auto"/>
              <w:jc w:val="center"/>
              <w:rPr>
                <w:rFonts w:asciiTheme="minorHAnsi" w:hAnsiTheme="minorHAnsi" w:cstheme="minorHAnsi"/>
                <w:b/>
                <w:sz w:val="16"/>
                <w:szCs w:val="20"/>
              </w:rPr>
            </w:pPr>
            <w:r w:rsidRPr="001E6E9D">
              <w:rPr>
                <w:rFonts w:asciiTheme="minorHAnsi" w:hAnsiTheme="minorHAnsi" w:cstheme="minorHAnsi"/>
                <w:b/>
                <w:sz w:val="16"/>
                <w:szCs w:val="20"/>
              </w:rPr>
              <w:t>Total</w:t>
            </w:r>
          </w:p>
        </w:tc>
      </w:tr>
      <w:tr w:rsidR="0035572A" w:rsidRPr="001E6E9D" w14:paraId="053724B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41DBB4"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total de membros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6532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17D1A"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1</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9182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699145F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1</w:t>
            </w:r>
          </w:p>
        </w:tc>
      </w:tr>
      <w:tr w:rsidR="0035572A" w:rsidRPr="001E6E9D" w14:paraId="4246B3C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87B16F"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Nº de membros remunerados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EB0F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7ABB3"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2E62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1214C7EE"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96D5E1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6C9E1C"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Esclarecimento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A5B75" w14:textId="77777777" w:rsidR="0035572A" w:rsidRPr="001E6E9D" w:rsidRDefault="0035572A"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nenhuma das garantidoras FED e SPEs não possuía Conselho de Administração.</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375B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6C725" w14:textId="77777777" w:rsidR="0035572A" w:rsidRPr="001E6E9D" w:rsidRDefault="0035572A" w:rsidP="0034415F">
            <w:pPr>
              <w:pStyle w:val="Texto-Corpo"/>
              <w:spacing w:before="40" w:after="40" w:line="240" w:lineRule="auto"/>
              <w:jc w:val="center"/>
              <w:rPr>
                <w:rFonts w:asciiTheme="minorHAnsi" w:hAnsiTheme="minorHAnsi" w:cstheme="minorHAnsi"/>
                <w:sz w:val="16"/>
                <w:szCs w:val="20"/>
              </w:rPr>
            </w:pPr>
            <w:r w:rsidRPr="001E6E9D">
              <w:rPr>
                <w:rFonts w:asciiTheme="minorHAnsi" w:hAnsiTheme="minorHAnsi" w:cstheme="minorHAnsi"/>
                <w:sz w:val="16"/>
                <w:szCs w:val="20"/>
              </w:rPr>
              <w:t>Na data deste Prospecto, nenhuma das garantidoras FED e SPEs possuía Conselho Fiscal.</w:t>
            </w:r>
          </w:p>
        </w:tc>
        <w:tc>
          <w:tcPr>
            <w:tcW w:w="947" w:type="pct"/>
            <w:tcBorders>
              <w:top w:val="single" w:sz="4" w:space="0" w:color="000000"/>
              <w:left w:val="single" w:sz="4" w:space="0" w:color="000000"/>
              <w:bottom w:val="single" w:sz="4" w:space="0" w:color="000000"/>
              <w:right w:val="single" w:sz="4" w:space="0" w:color="000000"/>
            </w:tcBorders>
            <w:vAlign w:val="center"/>
          </w:tcPr>
          <w:p w14:paraId="61E280A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35572A" w:rsidRPr="001E6E9D" w14:paraId="54CB7842"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BF1669" w14:textId="77777777" w:rsidR="0035572A" w:rsidRPr="001E6E9D" w:rsidRDefault="0035572A" w:rsidP="0034415F">
            <w:pPr>
              <w:pStyle w:val="Texto-Corpo"/>
              <w:spacing w:before="40" w:after="4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fixa anual</w:t>
            </w:r>
          </w:p>
        </w:tc>
      </w:tr>
      <w:tr w:rsidR="0035572A" w:rsidRPr="001E6E9D" w14:paraId="29DF82B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D16C12" w14:textId="77777777" w:rsidR="0035572A" w:rsidRPr="001E6E9D" w:rsidRDefault="0035572A" w:rsidP="0034415F">
            <w:pPr>
              <w:pStyle w:val="Texto-Corpo"/>
              <w:spacing w:before="40" w:after="40" w:line="240" w:lineRule="auto"/>
              <w:jc w:val="left"/>
              <w:rPr>
                <w:rFonts w:asciiTheme="minorHAnsi" w:hAnsiTheme="minorHAnsi" w:cstheme="minorHAnsi"/>
                <w:sz w:val="16"/>
                <w:szCs w:val="20"/>
              </w:rPr>
            </w:pPr>
            <w:r w:rsidRPr="001E6E9D">
              <w:rPr>
                <w:rFonts w:asciiTheme="minorHAnsi" w:hAnsiTheme="minorHAnsi" w:cstheme="minorHAnsi"/>
                <w:sz w:val="16"/>
                <w:szCs w:val="20"/>
              </w:rPr>
              <w:t>Salário ou pró-labore</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BBE31"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C1480"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B3CE7"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4BFC51EB" w14:textId="77777777" w:rsidR="0035572A" w:rsidRPr="001E6E9D" w:rsidRDefault="0035572A" w:rsidP="00DC7081">
            <w:pPr>
              <w:pStyle w:val="Texto-Corpo"/>
              <w:spacing w:before="40" w:after="4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4F6994F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A62787"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Benefícios direto e indireto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754B6"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9AEE6"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76CCB"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26E58D47"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C4E78B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859098"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Participações em comitês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8D329"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9B1B9"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3DA47"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4D19A7FD"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582D58B0"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79DC39"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24527"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3F031"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24791"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62404F41"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C682AE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B03D3D"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fixas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A3D2E" w14:textId="77777777" w:rsidR="0035572A" w:rsidRPr="001E6E9D" w:rsidRDefault="0035572A" w:rsidP="0034415F">
            <w:pPr>
              <w:pStyle w:val="Texto-Corpo"/>
              <w:spacing w:before="30" w:after="3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9D665" w14:textId="77777777" w:rsidR="0035572A" w:rsidRPr="001E6E9D" w:rsidRDefault="0035572A" w:rsidP="0034415F">
            <w:pPr>
              <w:pStyle w:val="Texto-Corpo"/>
              <w:spacing w:before="30" w:after="3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29B83" w14:textId="77777777" w:rsidR="0035572A" w:rsidRPr="001E6E9D" w:rsidRDefault="0035572A" w:rsidP="0034415F">
            <w:pPr>
              <w:pStyle w:val="Texto-Corpo"/>
              <w:spacing w:before="30" w:after="30" w:line="240" w:lineRule="auto"/>
              <w:rPr>
                <w:rFonts w:asciiTheme="minorHAnsi" w:hAnsiTheme="minorHAnsi" w:cstheme="minorHAnsi"/>
                <w:sz w:val="16"/>
                <w:szCs w:val="20"/>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0CB4BA9F" w14:textId="77777777" w:rsidR="0035572A" w:rsidRPr="001E6E9D" w:rsidRDefault="0035572A" w:rsidP="0034415F">
            <w:pPr>
              <w:pStyle w:val="Texto-Corpo"/>
              <w:spacing w:before="30" w:after="30" w:line="240" w:lineRule="auto"/>
              <w:rPr>
                <w:rFonts w:asciiTheme="minorHAnsi" w:hAnsiTheme="minorHAnsi" w:cstheme="minorHAnsi"/>
                <w:sz w:val="16"/>
                <w:szCs w:val="20"/>
              </w:rPr>
            </w:pPr>
          </w:p>
        </w:tc>
      </w:tr>
      <w:tr w:rsidR="0035572A" w:rsidRPr="001E6E9D" w14:paraId="1C9F04F8" w14:textId="77777777" w:rsidTr="004F0F8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436C50" w14:textId="77777777" w:rsidR="0035572A" w:rsidRPr="001E6E9D" w:rsidRDefault="0035572A" w:rsidP="0034415F">
            <w:pPr>
              <w:pStyle w:val="Texto-Corpo"/>
              <w:spacing w:before="30" w:after="3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Remuneração variável</w:t>
            </w:r>
          </w:p>
        </w:tc>
      </w:tr>
      <w:tr w:rsidR="0035572A" w:rsidRPr="001E6E9D" w14:paraId="2FA6F414"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8E51A6"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Bônus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EFF95"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FCC66"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133A8"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14377C44"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6665C4B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EE5FA9"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de resultados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8994D"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E270A"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CA570"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3553AECD"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C3090A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387CF1"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Participação em reuniões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E08EF"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99B6F"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CA64D"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4BE49B8F"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25EF2917"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29DFAA"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Comissões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62870"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A4CEC"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5B381"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3BA4376D"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57668A46"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081EAF"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Outros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E1CC7"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2EC23"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9DF7E"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4FDFCA73"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3A49FD23"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D379DF" w14:textId="77777777" w:rsidR="0035572A" w:rsidRPr="001E6E9D" w:rsidRDefault="0035572A" w:rsidP="0034415F">
            <w:pPr>
              <w:pStyle w:val="Texto-Corpo"/>
              <w:spacing w:before="30" w:after="30" w:line="240" w:lineRule="auto"/>
              <w:jc w:val="left"/>
              <w:rPr>
                <w:rFonts w:asciiTheme="minorHAnsi" w:hAnsiTheme="minorHAnsi" w:cstheme="minorHAnsi"/>
                <w:sz w:val="16"/>
                <w:szCs w:val="20"/>
              </w:rPr>
            </w:pPr>
            <w:r w:rsidRPr="001E6E9D">
              <w:rPr>
                <w:rFonts w:asciiTheme="minorHAnsi" w:hAnsiTheme="minorHAnsi" w:cstheme="minorHAnsi"/>
                <w:sz w:val="16"/>
                <w:szCs w:val="20"/>
              </w:rPr>
              <w:t>Descrição de outras remunerações variáveis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71CB4" w14:textId="77777777" w:rsidR="0035572A" w:rsidRPr="001E6E9D" w:rsidRDefault="0035572A" w:rsidP="0034415F">
            <w:pPr>
              <w:pStyle w:val="Texto-Corpo"/>
              <w:spacing w:before="30" w:after="30" w:line="240" w:lineRule="auto"/>
              <w:rPr>
                <w:rFonts w:asciiTheme="minorHAnsi" w:hAnsiTheme="minorHAnsi" w:cstheme="minorHAnsi"/>
                <w:sz w:val="16"/>
                <w:szCs w:val="20"/>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5042D" w14:textId="77777777" w:rsidR="0035572A" w:rsidRPr="001E6E9D" w:rsidRDefault="0035572A" w:rsidP="0034415F">
            <w:pPr>
              <w:pStyle w:val="Texto-Corpo"/>
              <w:spacing w:before="30" w:after="30" w:line="240" w:lineRule="auto"/>
              <w:rPr>
                <w:rFonts w:asciiTheme="minorHAnsi" w:hAnsiTheme="minorHAnsi" w:cstheme="minorHAnsi"/>
                <w:sz w:val="16"/>
                <w:szCs w:val="20"/>
              </w:rPr>
            </w:pP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E0392" w14:textId="77777777" w:rsidR="0035572A" w:rsidRPr="001E6E9D" w:rsidRDefault="0035572A" w:rsidP="0034415F">
            <w:pPr>
              <w:pStyle w:val="Texto-Corpo"/>
              <w:spacing w:before="30" w:after="30" w:line="240" w:lineRule="auto"/>
              <w:rPr>
                <w:rFonts w:asciiTheme="minorHAnsi" w:hAnsiTheme="minorHAnsi" w:cstheme="minorHAnsi"/>
                <w:sz w:val="16"/>
                <w:szCs w:val="20"/>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5DEBCDFB" w14:textId="77777777" w:rsidR="0035572A" w:rsidRPr="001E6E9D" w:rsidRDefault="0035572A" w:rsidP="0034415F">
            <w:pPr>
              <w:pStyle w:val="Texto-Corpo"/>
              <w:spacing w:before="30" w:after="30" w:line="240" w:lineRule="auto"/>
              <w:rPr>
                <w:rFonts w:asciiTheme="minorHAnsi" w:hAnsiTheme="minorHAnsi" w:cstheme="minorHAnsi"/>
                <w:sz w:val="16"/>
                <w:szCs w:val="20"/>
              </w:rPr>
            </w:pPr>
          </w:p>
        </w:tc>
      </w:tr>
      <w:tr w:rsidR="0035572A" w:rsidRPr="001E6E9D" w14:paraId="0E5DB3DD"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80F138" w14:textId="77777777" w:rsidR="0035572A" w:rsidRPr="001E6E9D" w:rsidRDefault="0035572A" w:rsidP="0034415F">
            <w:pPr>
              <w:pStyle w:val="Texto-Corpo"/>
              <w:spacing w:before="30" w:after="3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Pós-emprego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2D273"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06F34"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6E72C"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480F4F30"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5832F7B5"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C9ED71" w14:textId="77777777" w:rsidR="0035572A" w:rsidRPr="001E6E9D" w:rsidRDefault="0035572A" w:rsidP="0034415F">
            <w:pPr>
              <w:pStyle w:val="Texto-Corpo"/>
              <w:spacing w:before="30" w:after="3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Cessação do cargo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6DED1"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EDECE"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64760"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0D9CECBE"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09A81C1B"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55CDEB" w14:textId="77777777" w:rsidR="0035572A" w:rsidRPr="001E6E9D" w:rsidRDefault="0035572A" w:rsidP="0034415F">
            <w:pPr>
              <w:pStyle w:val="Texto-Corpo"/>
              <w:spacing w:before="30" w:after="3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Baseada em ações (incluindo opções)</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9912E"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35F44"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A671B"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57524183"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0</w:t>
            </w:r>
          </w:p>
        </w:tc>
      </w:tr>
      <w:tr w:rsidR="0035572A" w:rsidRPr="001E6E9D" w14:paraId="1B5D79CE"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4ADF4D" w14:textId="77777777" w:rsidR="0035572A" w:rsidRPr="001E6E9D" w:rsidRDefault="0035572A" w:rsidP="0034415F">
            <w:pPr>
              <w:pStyle w:val="Texto-Corpo"/>
              <w:spacing w:before="30" w:after="3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Observação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535E3"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0FFAF" w14:textId="77777777" w:rsidR="0035572A" w:rsidRPr="001E6E9D" w:rsidRDefault="0035572A" w:rsidP="0034415F">
            <w:pPr>
              <w:pStyle w:val="Texto-Corpo"/>
              <w:spacing w:before="30" w:after="30" w:line="240" w:lineRule="auto"/>
              <w:jc w:val="center"/>
              <w:rPr>
                <w:rFonts w:asciiTheme="minorHAnsi" w:hAnsiTheme="minorHAnsi" w:cstheme="minorHAnsi"/>
                <w:sz w:val="16"/>
                <w:szCs w:val="20"/>
              </w:rPr>
            </w:pPr>
            <w:r w:rsidRPr="001E6E9D">
              <w:rPr>
                <w:rFonts w:asciiTheme="minorHAnsi" w:hAnsiTheme="minorHAnsi" w:cstheme="minorHAnsi"/>
                <w:sz w:val="16"/>
                <w:szCs w:val="20"/>
              </w:rPr>
              <w:t>Foram considerados para o cálculo do número de membros da Diretoria os meses de janeiro ou mês de constituição a dezembro de 2021 conforme disposto no item 10.2.8.2 do OFÍCIO-CIRCULAR/ANUAL-2024-CVM/SEP, o número de membros da Diretoria foi apurado de acordo com a média anual do número de membros de tal órgão apurado mensalmente, com duas casas decimais.</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DBB95"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w:t>
            </w:r>
          </w:p>
        </w:tc>
        <w:tc>
          <w:tcPr>
            <w:tcW w:w="947" w:type="pct"/>
            <w:tcBorders>
              <w:top w:val="single" w:sz="4" w:space="0" w:color="000000"/>
              <w:left w:val="single" w:sz="4" w:space="0" w:color="000000"/>
              <w:bottom w:val="single" w:sz="4" w:space="0" w:color="000000"/>
              <w:right w:val="single" w:sz="4" w:space="0" w:color="000000"/>
            </w:tcBorders>
            <w:vAlign w:val="center"/>
          </w:tcPr>
          <w:p w14:paraId="244237A5"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sz w:val="16"/>
                <w:szCs w:val="20"/>
              </w:rPr>
              <w:t>-</w:t>
            </w:r>
          </w:p>
        </w:tc>
      </w:tr>
      <w:tr w:rsidR="0035572A" w:rsidRPr="001E6E9D" w14:paraId="4E7A9EBB" w14:textId="77777777" w:rsidTr="004F0F84">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168489" w14:textId="77777777" w:rsidR="0035572A" w:rsidRPr="001E6E9D" w:rsidRDefault="0035572A" w:rsidP="0034415F">
            <w:pPr>
              <w:pStyle w:val="Texto-Corpo"/>
              <w:spacing w:before="30" w:after="30" w:line="240" w:lineRule="auto"/>
              <w:jc w:val="left"/>
              <w:rPr>
                <w:rFonts w:asciiTheme="minorHAnsi" w:hAnsiTheme="minorHAnsi" w:cstheme="minorHAnsi"/>
                <w:b/>
                <w:sz w:val="16"/>
                <w:szCs w:val="20"/>
              </w:rPr>
            </w:pPr>
            <w:r w:rsidRPr="001E6E9D">
              <w:rPr>
                <w:rFonts w:asciiTheme="minorHAnsi" w:hAnsiTheme="minorHAnsi" w:cstheme="minorHAnsi"/>
                <w:b/>
                <w:sz w:val="16"/>
                <w:szCs w:val="20"/>
              </w:rPr>
              <w:t>Total da remuneração</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77E85"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D8CCE"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FA888"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c>
          <w:tcPr>
            <w:tcW w:w="947" w:type="pct"/>
            <w:tcBorders>
              <w:top w:val="single" w:sz="4" w:space="0" w:color="000000"/>
              <w:left w:val="single" w:sz="4" w:space="0" w:color="000000"/>
              <w:bottom w:val="single" w:sz="4" w:space="0" w:color="000000"/>
              <w:right w:val="single" w:sz="4" w:space="0" w:color="000000"/>
            </w:tcBorders>
            <w:vAlign w:val="center"/>
          </w:tcPr>
          <w:p w14:paraId="7A31403F" w14:textId="77777777" w:rsidR="0035572A" w:rsidRPr="001E6E9D" w:rsidRDefault="0035572A" w:rsidP="0034415F">
            <w:pPr>
              <w:pStyle w:val="Texto-Corpo"/>
              <w:spacing w:before="30" w:after="30" w:line="240" w:lineRule="auto"/>
              <w:rPr>
                <w:rFonts w:asciiTheme="minorHAnsi" w:hAnsiTheme="minorHAnsi" w:cstheme="minorHAnsi"/>
                <w:sz w:val="16"/>
                <w:szCs w:val="20"/>
              </w:rPr>
            </w:pPr>
            <w:r w:rsidRPr="001E6E9D">
              <w:rPr>
                <w:rFonts w:asciiTheme="minorHAnsi" w:hAnsiTheme="minorHAnsi" w:cstheme="minorHAnsi"/>
                <w:b/>
                <w:bCs/>
                <w:sz w:val="16"/>
                <w:szCs w:val="20"/>
              </w:rPr>
              <w:t>0</w:t>
            </w:r>
          </w:p>
        </w:tc>
      </w:tr>
    </w:tbl>
    <w:p w14:paraId="21309C43" w14:textId="6B0BEF32" w:rsidR="00C879FE" w:rsidRPr="001E6E9D" w:rsidRDefault="00C879FE" w:rsidP="00DC7081">
      <w:pPr>
        <w:spacing w:before="200"/>
        <w:rPr>
          <w:rFonts w:asciiTheme="minorHAnsi" w:hAnsiTheme="minorHAnsi" w:cstheme="minorHAnsi"/>
          <w:b/>
          <w:bCs/>
          <w:szCs w:val="20"/>
          <w:lang w:eastAsia="pt-BR"/>
        </w:rPr>
      </w:pPr>
      <w:r w:rsidRPr="001E6E9D">
        <w:rPr>
          <w:rFonts w:asciiTheme="minorHAnsi" w:hAnsiTheme="minorHAnsi" w:cstheme="minorHAnsi"/>
          <w:b/>
          <w:bCs/>
          <w:szCs w:val="20"/>
        </w:rPr>
        <w:t>10.2.8. Transações com partes relacionadas que, segundo as normas contábeis, devam ser divulgadas nas demonstrações financeiras individuais ou consolidadas da</w:t>
      </w:r>
      <w:r w:rsidRPr="001E6E9D">
        <w:rPr>
          <w:rFonts w:asciiTheme="minorHAnsi" w:hAnsiTheme="minorHAnsi" w:cstheme="minorHAnsi"/>
          <w:b/>
          <w:bCs/>
          <w:i/>
          <w:szCs w:val="20"/>
        </w:rPr>
        <w:t xml:space="preserve">s Garantidoras </w:t>
      </w:r>
      <w:r w:rsidRPr="001E6E9D">
        <w:rPr>
          <w:rFonts w:asciiTheme="minorHAnsi" w:hAnsiTheme="minorHAnsi" w:cstheme="minorHAnsi"/>
          <w:b/>
          <w:bCs/>
          <w:szCs w:val="20"/>
        </w:rPr>
        <w:t>e que tenham sido celebradas no último exercício social ou estejam em vigor no exercício social corrente</w:t>
      </w:r>
      <w:r w:rsidRPr="001E6E9D" w:rsidDel="00743E6A">
        <w:rPr>
          <w:rFonts w:asciiTheme="minorHAnsi" w:hAnsiTheme="minorHAnsi" w:cstheme="minorHAnsi"/>
          <w:b/>
          <w:bCs/>
          <w:i/>
          <w:szCs w:val="20"/>
        </w:rPr>
        <w:t xml:space="preserve"> </w:t>
      </w:r>
    </w:p>
    <w:p w14:paraId="789750CD" w14:textId="77777777" w:rsidR="00065DBC" w:rsidRPr="001E6E9D" w:rsidRDefault="00C879FE" w:rsidP="00DC7081">
      <w:pPr>
        <w:pStyle w:val="2Nvel"/>
        <w:spacing w:after="200"/>
        <w:rPr>
          <w:rFonts w:asciiTheme="minorHAnsi" w:hAnsiTheme="minorHAnsi" w:cstheme="minorHAnsi"/>
        </w:rPr>
      </w:pPr>
      <w:r w:rsidRPr="001E6E9D">
        <w:rPr>
          <w:rFonts w:asciiTheme="minorHAnsi" w:hAnsiTheme="minorHAnsi" w:cstheme="minorHAnsi"/>
          <w:b w:val="0"/>
          <w:bCs w:val="0"/>
        </w:rPr>
        <w:t>Não existem transações com Partes Relacionadas adicionais a serem informadas, além daquelas divulgadas no item 11.2 do Formulário de Referência da Emissora.</w:t>
      </w:r>
      <w:r w:rsidRPr="001E6E9D" w:rsidDel="00C608F5">
        <w:rPr>
          <w:rFonts w:asciiTheme="minorHAnsi" w:hAnsiTheme="minorHAnsi" w:cstheme="minorHAnsi"/>
          <w:b w:val="0"/>
          <w:bCs w:val="0"/>
        </w:rPr>
        <w:t xml:space="preserve"> </w:t>
      </w:r>
    </w:p>
    <w:p w14:paraId="794C554B" w14:textId="3C1123CD" w:rsidR="00C879FE" w:rsidRPr="001E6E9D" w:rsidRDefault="00C879FE" w:rsidP="0034415F">
      <w:pPr>
        <w:pStyle w:val="Ttulo4"/>
        <w:keepNext/>
        <w:keepLines/>
        <w:rPr>
          <w:rFonts w:asciiTheme="minorHAnsi" w:hAnsiTheme="minorHAnsi"/>
          <w:i w:val="0"/>
        </w:rPr>
      </w:pPr>
      <w:r w:rsidRPr="001E6E9D">
        <w:rPr>
          <w:rFonts w:asciiTheme="minorHAnsi" w:hAnsiTheme="minorHAnsi"/>
          <w:i w:val="0"/>
        </w:rPr>
        <w:t>10.2.9. Estrutura do capital social das Garantidoras.</w:t>
      </w:r>
    </w:p>
    <w:p w14:paraId="00711323" w14:textId="77777777" w:rsidR="00C879FE" w:rsidRPr="001E6E9D" w:rsidRDefault="00C879FE" w:rsidP="0034415F">
      <w:pPr>
        <w:keepNext/>
        <w:keepLines/>
        <w:rPr>
          <w:rFonts w:asciiTheme="minorHAnsi" w:hAnsiTheme="minorHAnsi" w:cstheme="minorHAnsi"/>
          <w:b/>
          <w:bCs/>
          <w:szCs w:val="20"/>
          <w:u w:val="single"/>
        </w:rPr>
      </w:pPr>
      <w:r w:rsidRPr="001E6E9D">
        <w:rPr>
          <w:rFonts w:asciiTheme="minorHAnsi" w:hAnsiTheme="minorHAnsi" w:cstheme="minorHAnsi"/>
          <w:b/>
          <w:bCs/>
          <w:szCs w:val="20"/>
          <w:u w:val="single"/>
        </w:rPr>
        <w:t>FED:</w:t>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1479"/>
        <w:gridCol w:w="1745"/>
        <w:gridCol w:w="1294"/>
        <w:gridCol w:w="1484"/>
        <w:gridCol w:w="1673"/>
        <w:gridCol w:w="1386"/>
      </w:tblGrid>
      <w:tr w:rsidR="00B2445F" w:rsidRPr="001E6E9D" w14:paraId="5C841B49" w14:textId="77777777" w:rsidTr="008E3A6A">
        <w:tc>
          <w:tcPr>
            <w:tcW w:w="816" w:type="pct"/>
            <w:shd w:val="clear" w:color="auto" w:fill="DCDCDC"/>
            <w:vAlign w:val="center"/>
          </w:tcPr>
          <w:p w14:paraId="0CF7E6FB" w14:textId="77777777" w:rsidR="00C879FE" w:rsidRPr="001E6E9D" w:rsidRDefault="00C879FE" w:rsidP="0034415F">
            <w:pPr>
              <w:keepNext/>
              <w:keepLines/>
              <w:spacing w:before="60" w:after="60"/>
              <w:jc w:val="left"/>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Data da autorização ou aprovação</w:t>
            </w:r>
          </w:p>
        </w:tc>
        <w:tc>
          <w:tcPr>
            <w:tcW w:w="963" w:type="pct"/>
            <w:shd w:val="clear" w:color="auto" w:fill="DCDCDC"/>
            <w:vAlign w:val="center"/>
          </w:tcPr>
          <w:p w14:paraId="1D64E6AE"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Valor do capital Unidade</w:t>
            </w:r>
          </w:p>
        </w:tc>
        <w:tc>
          <w:tcPr>
            <w:tcW w:w="714" w:type="pct"/>
            <w:shd w:val="clear" w:color="auto" w:fill="DCDCDC"/>
            <w:vAlign w:val="center"/>
          </w:tcPr>
          <w:p w14:paraId="42F268BB"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Prazo de integralização</w:t>
            </w:r>
          </w:p>
        </w:tc>
        <w:tc>
          <w:tcPr>
            <w:tcW w:w="819" w:type="pct"/>
            <w:shd w:val="clear" w:color="auto" w:fill="DCDCDC"/>
            <w:vAlign w:val="center"/>
          </w:tcPr>
          <w:p w14:paraId="2882A0C7" w14:textId="0E6B8A0A"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r w:rsidR="0034415F" w:rsidRPr="001E6E9D">
              <w:rPr>
                <w:rFonts w:asciiTheme="minorHAnsi" w:hAnsiTheme="minorHAnsi" w:cstheme="minorHAnsi"/>
                <w:kern w:val="0"/>
                <w:sz w:val="16"/>
                <w:szCs w:val="20"/>
              </w:rPr>
              <w:t xml:space="preserve"> </w:t>
            </w:r>
            <w:r w:rsidRPr="001E6E9D">
              <w:rPr>
                <w:rFonts w:asciiTheme="minorHAnsi" w:eastAsia="Arial" w:hAnsiTheme="minorHAnsi" w:cstheme="minorHAnsi"/>
                <w:b/>
                <w:kern w:val="0"/>
                <w:sz w:val="16"/>
                <w:szCs w:val="20"/>
              </w:rPr>
              <w:t>ordinárias</w:t>
            </w:r>
          </w:p>
          <w:p w14:paraId="365EC158"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923" w:type="pct"/>
            <w:shd w:val="clear" w:color="auto" w:fill="DCDCDC"/>
            <w:vAlign w:val="center"/>
          </w:tcPr>
          <w:p w14:paraId="6C2C18A5"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72BA5D50"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preferenciais</w:t>
            </w:r>
          </w:p>
          <w:p w14:paraId="729AAB23"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765" w:type="pct"/>
            <w:shd w:val="clear" w:color="auto" w:fill="DCDCDC"/>
            <w:vAlign w:val="center"/>
          </w:tcPr>
          <w:p w14:paraId="32A45F44"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total de ações</w:t>
            </w:r>
          </w:p>
          <w:p w14:paraId="66E78FCA"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r>
      <w:tr w:rsidR="00B2445F" w:rsidRPr="001E6E9D" w14:paraId="6A4DFEC6" w14:textId="77777777" w:rsidTr="008E3A6A">
        <w:tc>
          <w:tcPr>
            <w:tcW w:w="816" w:type="pct"/>
            <w:shd w:val="clear" w:color="auto" w:fill="F5F5F5"/>
            <w:vAlign w:val="center"/>
          </w:tcPr>
          <w:p w14:paraId="5317B6BB"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Tipo de capital </w:t>
            </w:r>
          </w:p>
        </w:tc>
        <w:tc>
          <w:tcPr>
            <w:tcW w:w="963" w:type="pct"/>
            <w:shd w:val="clear" w:color="auto" w:fill="F5F5F5"/>
            <w:vAlign w:val="center"/>
          </w:tcPr>
          <w:p w14:paraId="4FC9FD66"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Capital Emitido </w:t>
            </w:r>
          </w:p>
        </w:tc>
        <w:tc>
          <w:tcPr>
            <w:tcW w:w="714" w:type="pct"/>
            <w:shd w:val="clear" w:color="auto" w:fill="F5F5F5"/>
            <w:vAlign w:val="center"/>
          </w:tcPr>
          <w:p w14:paraId="130B0740"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shd w:val="clear" w:color="auto" w:fill="F5F5F5"/>
            <w:vAlign w:val="center"/>
          </w:tcPr>
          <w:p w14:paraId="2921E9E2" w14:textId="77777777" w:rsidR="00C879FE" w:rsidRPr="001E6E9D" w:rsidRDefault="00C879FE" w:rsidP="00DC7081">
            <w:pPr>
              <w:spacing w:before="60" w:after="60"/>
              <w:rPr>
                <w:rFonts w:asciiTheme="minorHAnsi" w:hAnsiTheme="minorHAnsi" w:cstheme="minorHAnsi"/>
                <w:kern w:val="0"/>
                <w:sz w:val="16"/>
                <w:szCs w:val="20"/>
              </w:rPr>
            </w:pPr>
          </w:p>
        </w:tc>
        <w:tc>
          <w:tcPr>
            <w:tcW w:w="923" w:type="pct"/>
            <w:shd w:val="clear" w:color="auto" w:fill="F5F5F5"/>
            <w:vAlign w:val="center"/>
          </w:tcPr>
          <w:p w14:paraId="15164F75" w14:textId="77777777" w:rsidR="00C879FE" w:rsidRPr="001E6E9D" w:rsidRDefault="00C879FE" w:rsidP="00DC7081">
            <w:pPr>
              <w:spacing w:before="60" w:after="60"/>
              <w:rPr>
                <w:rFonts w:asciiTheme="minorHAnsi" w:hAnsiTheme="minorHAnsi" w:cstheme="minorHAnsi"/>
                <w:kern w:val="0"/>
                <w:sz w:val="16"/>
                <w:szCs w:val="20"/>
              </w:rPr>
            </w:pPr>
          </w:p>
        </w:tc>
        <w:tc>
          <w:tcPr>
            <w:tcW w:w="765" w:type="pct"/>
            <w:shd w:val="clear" w:color="auto" w:fill="F5F5F5"/>
            <w:vAlign w:val="center"/>
          </w:tcPr>
          <w:p w14:paraId="13F2F281" w14:textId="77777777" w:rsidR="00C879FE" w:rsidRPr="001E6E9D" w:rsidRDefault="00C879FE" w:rsidP="00DC7081">
            <w:pPr>
              <w:spacing w:before="60" w:after="60"/>
              <w:rPr>
                <w:rFonts w:asciiTheme="minorHAnsi" w:hAnsiTheme="minorHAnsi" w:cstheme="minorHAnsi"/>
                <w:kern w:val="0"/>
                <w:sz w:val="16"/>
                <w:szCs w:val="20"/>
              </w:rPr>
            </w:pPr>
          </w:p>
        </w:tc>
      </w:tr>
      <w:tr w:rsidR="00C879FE" w:rsidRPr="001E6E9D" w14:paraId="66C808C7" w14:textId="77777777" w:rsidTr="008E3A6A">
        <w:tc>
          <w:tcPr>
            <w:tcW w:w="816" w:type="pct"/>
            <w:vAlign w:val="center"/>
          </w:tcPr>
          <w:p w14:paraId="4D33EFCF"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 xml:space="preserve">Moeda </w:t>
            </w:r>
            <w:r w:rsidRPr="001E6E9D">
              <w:rPr>
                <w:rFonts w:asciiTheme="minorHAnsi" w:eastAsia="Arial" w:hAnsiTheme="minorHAnsi" w:cstheme="minorHAnsi"/>
                <w:kern w:val="0"/>
                <w:sz w:val="16"/>
                <w:szCs w:val="20"/>
              </w:rPr>
              <w:tab/>
              <w:t>corrente nacional</w:t>
            </w:r>
          </w:p>
        </w:tc>
        <w:tc>
          <w:tcPr>
            <w:tcW w:w="963" w:type="pct"/>
            <w:vAlign w:val="center"/>
          </w:tcPr>
          <w:p w14:paraId="5C83B808"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69.801.045</w:t>
            </w:r>
          </w:p>
        </w:tc>
        <w:tc>
          <w:tcPr>
            <w:tcW w:w="714" w:type="pct"/>
            <w:vAlign w:val="center"/>
          </w:tcPr>
          <w:p w14:paraId="4437F0F5"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vAlign w:val="center"/>
          </w:tcPr>
          <w:p w14:paraId="3123CFFB"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69.801.045</w:t>
            </w:r>
          </w:p>
        </w:tc>
        <w:tc>
          <w:tcPr>
            <w:tcW w:w="923" w:type="pct"/>
            <w:vAlign w:val="center"/>
          </w:tcPr>
          <w:p w14:paraId="45EE9604"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w:t>
            </w:r>
          </w:p>
        </w:tc>
        <w:tc>
          <w:tcPr>
            <w:tcW w:w="765" w:type="pct"/>
            <w:vAlign w:val="center"/>
          </w:tcPr>
          <w:p w14:paraId="6CFDFC61"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69.801.045</w:t>
            </w:r>
          </w:p>
        </w:tc>
      </w:tr>
    </w:tbl>
    <w:p w14:paraId="289AA7D1" w14:textId="77777777" w:rsidR="00C879FE" w:rsidRPr="001E6E9D" w:rsidRDefault="00C879FE" w:rsidP="00DC7081">
      <w:pPr>
        <w:spacing w:before="200"/>
        <w:rPr>
          <w:rFonts w:asciiTheme="minorHAnsi" w:hAnsiTheme="minorHAnsi" w:cstheme="minorHAnsi"/>
          <w:b/>
          <w:bCs/>
          <w:szCs w:val="20"/>
          <w:u w:val="single"/>
        </w:rPr>
      </w:pPr>
      <w:r w:rsidRPr="001E6E9D">
        <w:rPr>
          <w:rFonts w:asciiTheme="minorHAnsi" w:hAnsiTheme="minorHAnsi" w:cstheme="minorHAnsi"/>
          <w:b/>
          <w:bCs/>
          <w:szCs w:val="20"/>
          <w:u w:val="single"/>
        </w:rPr>
        <w:t xml:space="preserve">FERP: </w:t>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1479"/>
        <w:gridCol w:w="1745"/>
        <w:gridCol w:w="1294"/>
        <w:gridCol w:w="1484"/>
        <w:gridCol w:w="1673"/>
        <w:gridCol w:w="1386"/>
      </w:tblGrid>
      <w:tr w:rsidR="00B2445F" w:rsidRPr="001E6E9D" w14:paraId="534AB23D" w14:textId="77777777" w:rsidTr="008E3A6A">
        <w:tc>
          <w:tcPr>
            <w:tcW w:w="816" w:type="pct"/>
            <w:shd w:val="clear" w:color="auto" w:fill="DCDCDC"/>
            <w:vAlign w:val="center"/>
          </w:tcPr>
          <w:p w14:paraId="5024D052"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Data da autorização ou aprovação</w:t>
            </w:r>
          </w:p>
        </w:tc>
        <w:tc>
          <w:tcPr>
            <w:tcW w:w="963" w:type="pct"/>
            <w:shd w:val="clear" w:color="auto" w:fill="DCDCDC"/>
            <w:vAlign w:val="center"/>
          </w:tcPr>
          <w:p w14:paraId="2F58BA00"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Valor do capital Unidade</w:t>
            </w:r>
          </w:p>
        </w:tc>
        <w:tc>
          <w:tcPr>
            <w:tcW w:w="714" w:type="pct"/>
            <w:shd w:val="clear" w:color="auto" w:fill="DCDCDC"/>
            <w:vAlign w:val="center"/>
          </w:tcPr>
          <w:p w14:paraId="79E44E2A"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Prazo de integralização</w:t>
            </w:r>
          </w:p>
        </w:tc>
        <w:tc>
          <w:tcPr>
            <w:tcW w:w="819" w:type="pct"/>
            <w:shd w:val="clear" w:color="auto" w:fill="DCDCDC"/>
            <w:vAlign w:val="center"/>
          </w:tcPr>
          <w:p w14:paraId="46979BFE"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41482721"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ordinárias</w:t>
            </w:r>
          </w:p>
          <w:p w14:paraId="0811FE40"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923" w:type="pct"/>
            <w:shd w:val="clear" w:color="auto" w:fill="DCDCDC"/>
            <w:vAlign w:val="center"/>
          </w:tcPr>
          <w:p w14:paraId="355387E3"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6090D080"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preferenciais</w:t>
            </w:r>
          </w:p>
          <w:p w14:paraId="2E9BB1D1"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765" w:type="pct"/>
            <w:shd w:val="clear" w:color="auto" w:fill="DCDCDC"/>
            <w:vAlign w:val="center"/>
          </w:tcPr>
          <w:p w14:paraId="2601674F"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total de ações</w:t>
            </w:r>
          </w:p>
          <w:p w14:paraId="1EE50703"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r>
      <w:tr w:rsidR="00B2445F" w:rsidRPr="001E6E9D" w14:paraId="6E2E2037" w14:textId="77777777" w:rsidTr="008E3A6A">
        <w:tc>
          <w:tcPr>
            <w:tcW w:w="816" w:type="pct"/>
            <w:shd w:val="clear" w:color="auto" w:fill="F5F5F5"/>
            <w:vAlign w:val="center"/>
          </w:tcPr>
          <w:p w14:paraId="73A4B82E"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Tipo de capital </w:t>
            </w:r>
          </w:p>
        </w:tc>
        <w:tc>
          <w:tcPr>
            <w:tcW w:w="963" w:type="pct"/>
            <w:shd w:val="clear" w:color="auto" w:fill="F5F5F5"/>
            <w:vAlign w:val="center"/>
          </w:tcPr>
          <w:p w14:paraId="113ABDBE"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Capital Emitido </w:t>
            </w:r>
          </w:p>
        </w:tc>
        <w:tc>
          <w:tcPr>
            <w:tcW w:w="714" w:type="pct"/>
            <w:shd w:val="clear" w:color="auto" w:fill="F5F5F5"/>
            <w:vAlign w:val="center"/>
          </w:tcPr>
          <w:p w14:paraId="158DCD69"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shd w:val="clear" w:color="auto" w:fill="F5F5F5"/>
            <w:vAlign w:val="center"/>
          </w:tcPr>
          <w:p w14:paraId="7C0DEF23" w14:textId="77777777" w:rsidR="00C879FE" w:rsidRPr="001E6E9D" w:rsidRDefault="00C879FE" w:rsidP="00DC7081">
            <w:pPr>
              <w:spacing w:before="60" w:after="60"/>
              <w:rPr>
                <w:rFonts w:asciiTheme="minorHAnsi" w:hAnsiTheme="minorHAnsi" w:cstheme="minorHAnsi"/>
                <w:kern w:val="0"/>
                <w:sz w:val="16"/>
                <w:szCs w:val="20"/>
              </w:rPr>
            </w:pPr>
          </w:p>
        </w:tc>
        <w:tc>
          <w:tcPr>
            <w:tcW w:w="923" w:type="pct"/>
            <w:shd w:val="clear" w:color="auto" w:fill="F5F5F5"/>
            <w:vAlign w:val="center"/>
          </w:tcPr>
          <w:p w14:paraId="3D9C022F" w14:textId="77777777" w:rsidR="00C879FE" w:rsidRPr="001E6E9D" w:rsidRDefault="00C879FE" w:rsidP="00DC7081">
            <w:pPr>
              <w:spacing w:before="60" w:after="60"/>
              <w:rPr>
                <w:rFonts w:asciiTheme="minorHAnsi" w:hAnsiTheme="minorHAnsi" w:cstheme="minorHAnsi"/>
                <w:kern w:val="0"/>
                <w:sz w:val="16"/>
                <w:szCs w:val="20"/>
              </w:rPr>
            </w:pPr>
          </w:p>
        </w:tc>
        <w:tc>
          <w:tcPr>
            <w:tcW w:w="765" w:type="pct"/>
            <w:shd w:val="clear" w:color="auto" w:fill="F5F5F5"/>
            <w:vAlign w:val="center"/>
          </w:tcPr>
          <w:p w14:paraId="250C9147" w14:textId="77777777" w:rsidR="00C879FE" w:rsidRPr="001E6E9D" w:rsidRDefault="00C879FE" w:rsidP="00DC7081">
            <w:pPr>
              <w:spacing w:before="60" w:after="60"/>
              <w:rPr>
                <w:rFonts w:asciiTheme="minorHAnsi" w:hAnsiTheme="minorHAnsi" w:cstheme="minorHAnsi"/>
                <w:kern w:val="0"/>
                <w:sz w:val="16"/>
                <w:szCs w:val="20"/>
              </w:rPr>
            </w:pPr>
          </w:p>
        </w:tc>
      </w:tr>
      <w:tr w:rsidR="00C879FE" w:rsidRPr="001E6E9D" w14:paraId="4FF2B471" w14:textId="77777777" w:rsidTr="008E3A6A">
        <w:tc>
          <w:tcPr>
            <w:tcW w:w="816" w:type="pct"/>
            <w:vAlign w:val="center"/>
          </w:tcPr>
          <w:p w14:paraId="7A96CC7F"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 xml:space="preserve">Moeda </w:t>
            </w:r>
            <w:r w:rsidRPr="001E6E9D">
              <w:rPr>
                <w:rFonts w:asciiTheme="minorHAnsi" w:eastAsia="Arial" w:hAnsiTheme="minorHAnsi" w:cstheme="minorHAnsi"/>
                <w:kern w:val="0"/>
                <w:sz w:val="16"/>
                <w:szCs w:val="20"/>
              </w:rPr>
              <w:tab/>
              <w:t>corrente nacional</w:t>
            </w:r>
          </w:p>
        </w:tc>
        <w:tc>
          <w:tcPr>
            <w:tcW w:w="963" w:type="pct"/>
            <w:vAlign w:val="center"/>
          </w:tcPr>
          <w:p w14:paraId="06302159"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593.484.662,00</w:t>
            </w:r>
          </w:p>
        </w:tc>
        <w:tc>
          <w:tcPr>
            <w:tcW w:w="714" w:type="pct"/>
            <w:vAlign w:val="center"/>
          </w:tcPr>
          <w:p w14:paraId="7F7BF486"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vAlign w:val="center"/>
          </w:tcPr>
          <w:p w14:paraId="5160A46D"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2.176.471</w:t>
            </w:r>
          </w:p>
        </w:tc>
        <w:tc>
          <w:tcPr>
            <w:tcW w:w="923" w:type="pct"/>
            <w:vAlign w:val="center"/>
          </w:tcPr>
          <w:p w14:paraId="0390CB3C"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w:t>
            </w:r>
          </w:p>
        </w:tc>
        <w:tc>
          <w:tcPr>
            <w:tcW w:w="765" w:type="pct"/>
            <w:vAlign w:val="center"/>
          </w:tcPr>
          <w:p w14:paraId="64D163E8"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2.176.471</w:t>
            </w:r>
          </w:p>
        </w:tc>
      </w:tr>
    </w:tbl>
    <w:p w14:paraId="2D0121E0" w14:textId="77777777" w:rsidR="00C879FE" w:rsidRPr="001E6E9D" w:rsidRDefault="00C879FE" w:rsidP="00DC7081">
      <w:pPr>
        <w:contextualSpacing/>
        <w:rPr>
          <w:rFonts w:asciiTheme="minorHAnsi" w:hAnsiTheme="minorHAnsi" w:cstheme="minorHAnsi"/>
          <w:b/>
          <w:bCs/>
          <w:szCs w:val="20"/>
          <w:u w:val="single"/>
        </w:rPr>
      </w:pP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1479"/>
        <w:gridCol w:w="1745"/>
        <w:gridCol w:w="1294"/>
        <w:gridCol w:w="1484"/>
        <w:gridCol w:w="1673"/>
        <w:gridCol w:w="1386"/>
      </w:tblGrid>
      <w:tr w:rsidR="00B2445F" w:rsidRPr="001E6E9D" w14:paraId="563B426A" w14:textId="77777777" w:rsidTr="008E3A6A">
        <w:tc>
          <w:tcPr>
            <w:tcW w:w="816" w:type="pct"/>
            <w:shd w:val="clear" w:color="auto" w:fill="DCDCDC"/>
            <w:vAlign w:val="center"/>
          </w:tcPr>
          <w:p w14:paraId="1F7D6B83"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Data da autorização ou aprovação</w:t>
            </w:r>
          </w:p>
        </w:tc>
        <w:tc>
          <w:tcPr>
            <w:tcW w:w="963" w:type="pct"/>
            <w:shd w:val="clear" w:color="auto" w:fill="DCDCDC"/>
            <w:vAlign w:val="center"/>
          </w:tcPr>
          <w:p w14:paraId="299251F7"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Valor do capital Unidade</w:t>
            </w:r>
          </w:p>
        </w:tc>
        <w:tc>
          <w:tcPr>
            <w:tcW w:w="714" w:type="pct"/>
            <w:shd w:val="clear" w:color="auto" w:fill="DCDCDC"/>
            <w:vAlign w:val="center"/>
          </w:tcPr>
          <w:p w14:paraId="6D5F2E3F"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Prazo de integralização</w:t>
            </w:r>
          </w:p>
        </w:tc>
        <w:tc>
          <w:tcPr>
            <w:tcW w:w="819" w:type="pct"/>
            <w:shd w:val="clear" w:color="auto" w:fill="DCDCDC"/>
            <w:vAlign w:val="center"/>
          </w:tcPr>
          <w:p w14:paraId="777E0598"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38A988D6"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ordinárias</w:t>
            </w:r>
          </w:p>
          <w:p w14:paraId="5AF353E1"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923" w:type="pct"/>
            <w:shd w:val="clear" w:color="auto" w:fill="DCDCDC"/>
            <w:vAlign w:val="center"/>
          </w:tcPr>
          <w:p w14:paraId="43E5CC49"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61DAD56C"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preferenciais</w:t>
            </w:r>
          </w:p>
          <w:p w14:paraId="233A8653"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765" w:type="pct"/>
            <w:shd w:val="clear" w:color="auto" w:fill="DCDCDC"/>
            <w:vAlign w:val="center"/>
          </w:tcPr>
          <w:p w14:paraId="173FDBD2"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total de ações</w:t>
            </w:r>
          </w:p>
          <w:p w14:paraId="07E0CD93"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r>
      <w:tr w:rsidR="00B2445F" w:rsidRPr="001E6E9D" w14:paraId="13C7896E" w14:textId="77777777" w:rsidTr="008E3A6A">
        <w:tc>
          <w:tcPr>
            <w:tcW w:w="816" w:type="pct"/>
            <w:shd w:val="clear" w:color="auto" w:fill="F5F5F5"/>
            <w:vAlign w:val="center"/>
          </w:tcPr>
          <w:p w14:paraId="3A6FB752"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Tipo de capital </w:t>
            </w:r>
          </w:p>
        </w:tc>
        <w:tc>
          <w:tcPr>
            <w:tcW w:w="963" w:type="pct"/>
            <w:shd w:val="clear" w:color="auto" w:fill="F5F5F5"/>
            <w:vAlign w:val="center"/>
          </w:tcPr>
          <w:p w14:paraId="6AD8A452"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Capital Autorizado</w:t>
            </w:r>
          </w:p>
        </w:tc>
        <w:tc>
          <w:tcPr>
            <w:tcW w:w="714" w:type="pct"/>
            <w:shd w:val="clear" w:color="auto" w:fill="F5F5F5"/>
            <w:vAlign w:val="center"/>
          </w:tcPr>
          <w:p w14:paraId="1424CE56"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shd w:val="clear" w:color="auto" w:fill="F5F5F5"/>
            <w:vAlign w:val="center"/>
          </w:tcPr>
          <w:p w14:paraId="630C661F" w14:textId="77777777" w:rsidR="00C879FE" w:rsidRPr="001E6E9D" w:rsidRDefault="00C879FE" w:rsidP="00DC7081">
            <w:pPr>
              <w:spacing w:before="60" w:after="60"/>
              <w:rPr>
                <w:rFonts w:asciiTheme="minorHAnsi" w:hAnsiTheme="minorHAnsi" w:cstheme="minorHAnsi"/>
                <w:kern w:val="0"/>
                <w:sz w:val="16"/>
                <w:szCs w:val="20"/>
              </w:rPr>
            </w:pPr>
          </w:p>
        </w:tc>
        <w:tc>
          <w:tcPr>
            <w:tcW w:w="923" w:type="pct"/>
            <w:shd w:val="clear" w:color="auto" w:fill="F5F5F5"/>
            <w:vAlign w:val="center"/>
          </w:tcPr>
          <w:p w14:paraId="6DB6ABE5" w14:textId="77777777" w:rsidR="00C879FE" w:rsidRPr="001E6E9D" w:rsidRDefault="00C879FE" w:rsidP="00DC7081">
            <w:pPr>
              <w:spacing w:before="60" w:after="60"/>
              <w:rPr>
                <w:rFonts w:asciiTheme="minorHAnsi" w:hAnsiTheme="minorHAnsi" w:cstheme="minorHAnsi"/>
                <w:kern w:val="0"/>
                <w:sz w:val="16"/>
                <w:szCs w:val="20"/>
              </w:rPr>
            </w:pPr>
          </w:p>
        </w:tc>
        <w:tc>
          <w:tcPr>
            <w:tcW w:w="765" w:type="pct"/>
            <w:shd w:val="clear" w:color="auto" w:fill="F5F5F5"/>
            <w:vAlign w:val="center"/>
          </w:tcPr>
          <w:p w14:paraId="13ED5AF8" w14:textId="77777777" w:rsidR="00C879FE" w:rsidRPr="001E6E9D" w:rsidRDefault="00C879FE" w:rsidP="00DC7081">
            <w:pPr>
              <w:spacing w:before="60" w:after="60"/>
              <w:rPr>
                <w:rFonts w:asciiTheme="minorHAnsi" w:hAnsiTheme="minorHAnsi" w:cstheme="minorHAnsi"/>
                <w:kern w:val="0"/>
                <w:sz w:val="16"/>
                <w:szCs w:val="20"/>
              </w:rPr>
            </w:pPr>
          </w:p>
        </w:tc>
      </w:tr>
      <w:tr w:rsidR="00C879FE" w:rsidRPr="001E6E9D" w14:paraId="2E979EB0" w14:textId="77777777" w:rsidTr="008E3A6A">
        <w:tc>
          <w:tcPr>
            <w:tcW w:w="816" w:type="pct"/>
            <w:vAlign w:val="center"/>
          </w:tcPr>
          <w:p w14:paraId="68EFF050"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 xml:space="preserve">Moeda </w:t>
            </w:r>
            <w:r w:rsidRPr="001E6E9D">
              <w:rPr>
                <w:rFonts w:asciiTheme="minorHAnsi" w:eastAsia="Arial" w:hAnsiTheme="minorHAnsi" w:cstheme="minorHAnsi"/>
                <w:kern w:val="0"/>
                <w:sz w:val="16"/>
                <w:szCs w:val="20"/>
              </w:rPr>
              <w:tab/>
              <w:t>corrente nacional</w:t>
            </w:r>
          </w:p>
        </w:tc>
        <w:tc>
          <w:tcPr>
            <w:tcW w:w="963" w:type="pct"/>
            <w:vAlign w:val="center"/>
          </w:tcPr>
          <w:p w14:paraId="57E32579"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w:t>
            </w:r>
          </w:p>
        </w:tc>
        <w:tc>
          <w:tcPr>
            <w:tcW w:w="714" w:type="pct"/>
            <w:vAlign w:val="center"/>
          </w:tcPr>
          <w:p w14:paraId="402168D3"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vAlign w:val="center"/>
          </w:tcPr>
          <w:p w14:paraId="5CBF46A2"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176.471</w:t>
            </w:r>
          </w:p>
        </w:tc>
        <w:tc>
          <w:tcPr>
            <w:tcW w:w="923" w:type="pct"/>
            <w:vAlign w:val="center"/>
          </w:tcPr>
          <w:p w14:paraId="3105A8D7"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w:t>
            </w:r>
          </w:p>
        </w:tc>
        <w:tc>
          <w:tcPr>
            <w:tcW w:w="765" w:type="pct"/>
            <w:vAlign w:val="center"/>
          </w:tcPr>
          <w:p w14:paraId="412B20D7"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176.471</w:t>
            </w:r>
          </w:p>
        </w:tc>
      </w:tr>
    </w:tbl>
    <w:p w14:paraId="322C9FFB" w14:textId="77777777" w:rsidR="00C879FE" w:rsidRPr="001E6E9D" w:rsidRDefault="00C879FE" w:rsidP="00DC7081">
      <w:pPr>
        <w:spacing w:before="200"/>
        <w:rPr>
          <w:rFonts w:asciiTheme="minorHAnsi" w:hAnsiTheme="minorHAnsi" w:cstheme="minorHAnsi"/>
          <w:b/>
          <w:bCs/>
          <w:szCs w:val="20"/>
          <w:u w:val="single"/>
        </w:rPr>
      </w:pPr>
      <w:r w:rsidRPr="001E6E9D">
        <w:rPr>
          <w:rFonts w:asciiTheme="minorHAnsi" w:hAnsiTheme="minorHAnsi" w:cstheme="minorHAnsi"/>
          <w:b/>
          <w:bCs/>
          <w:szCs w:val="20"/>
          <w:u w:val="single"/>
        </w:rPr>
        <w:t>SPE Capitania, SPE Colares, SP Conchas, SPE Ilha do Dragão, SPE Itaúna, SPE Mangue Seco, SPE Marambaia, SPE São Roque, SPE Taipu, SPE Titan, SPE Trindade, SPE Ubatuba</w:t>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1479"/>
        <w:gridCol w:w="1745"/>
        <w:gridCol w:w="1294"/>
        <w:gridCol w:w="1484"/>
        <w:gridCol w:w="1673"/>
        <w:gridCol w:w="1386"/>
      </w:tblGrid>
      <w:tr w:rsidR="00B2445F" w:rsidRPr="001E6E9D" w14:paraId="5ED2456C" w14:textId="77777777" w:rsidTr="008E3A6A">
        <w:tc>
          <w:tcPr>
            <w:tcW w:w="816" w:type="pct"/>
            <w:shd w:val="clear" w:color="auto" w:fill="DCDCDC"/>
            <w:vAlign w:val="center"/>
          </w:tcPr>
          <w:p w14:paraId="75024136"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Data da autorização ou aprovação</w:t>
            </w:r>
          </w:p>
        </w:tc>
        <w:tc>
          <w:tcPr>
            <w:tcW w:w="963" w:type="pct"/>
            <w:shd w:val="clear" w:color="auto" w:fill="DCDCDC"/>
            <w:vAlign w:val="center"/>
          </w:tcPr>
          <w:p w14:paraId="728CBD6F"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Valor do capital Unidade</w:t>
            </w:r>
          </w:p>
        </w:tc>
        <w:tc>
          <w:tcPr>
            <w:tcW w:w="714" w:type="pct"/>
            <w:shd w:val="clear" w:color="auto" w:fill="DCDCDC"/>
            <w:vAlign w:val="center"/>
          </w:tcPr>
          <w:p w14:paraId="1C4C3F3E"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Prazo de integralização</w:t>
            </w:r>
          </w:p>
        </w:tc>
        <w:tc>
          <w:tcPr>
            <w:tcW w:w="819" w:type="pct"/>
            <w:shd w:val="clear" w:color="auto" w:fill="DCDCDC"/>
            <w:vAlign w:val="center"/>
          </w:tcPr>
          <w:p w14:paraId="3422E100"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391E8EAC"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ordinárias</w:t>
            </w:r>
          </w:p>
          <w:p w14:paraId="645435DF"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923" w:type="pct"/>
            <w:shd w:val="clear" w:color="auto" w:fill="DCDCDC"/>
            <w:vAlign w:val="center"/>
          </w:tcPr>
          <w:p w14:paraId="0DA3A09B"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5954FFB2"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preferenciais</w:t>
            </w:r>
          </w:p>
          <w:p w14:paraId="2CE24202"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765" w:type="pct"/>
            <w:shd w:val="clear" w:color="auto" w:fill="DCDCDC"/>
            <w:vAlign w:val="center"/>
          </w:tcPr>
          <w:p w14:paraId="7F0B013E"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total de ações</w:t>
            </w:r>
          </w:p>
          <w:p w14:paraId="643BA267"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r>
      <w:tr w:rsidR="00B2445F" w:rsidRPr="001E6E9D" w14:paraId="60FA74C1" w14:textId="77777777" w:rsidTr="008E3A6A">
        <w:tc>
          <w:tcPr>
            <w:tcW w:w="816" w:type="pct"/>
            <w:shd w:val="clear" w:color="auto" w:fill="F5F5F5"/>
            <w:vAlign w:val="center"/>
          </w:tcPr>
          <w:p w14:paraId="43BE31AD"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Tipo de capital </w:t>
            </w:r>
          </w:p>
        </w:tc>
        <w:tc>
          <w:tcPr>
            <w:tcW w:w="963" w:type="pct"/>
            <w:shd w:val="clear" w:color="auto" w:fill="F5F5F5"/>
            <w:vAlign w:val="center"/>
          </w:tcPr>
          <w:p w14:paraId="728493D5"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Capital Emitido </w:t>
            </w:r>
          </w:p>
        </w:tc>
        <w:tc>
          <w:tcPr>
            <w:tcW w:w="714" w:type="pct"/>
            <w:shd w:val="clear" w:color="auto" w:fill="F5F5F5"/>
            <w:vAlign w:val="center"/>
          </w:tcPr>
          <w:p w14:paraId="63285859"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shd w:val="clear" w:color="auto" w:fill="F5F5F5"/>
            <w:vAlign w:val="center"/>
          </w:tcPr>
          <w:p w14:paraId="1DD245D8" w14:textId="77777777" w:rsidR="00C879FE" w:rsidRPr="001E6E9D" w:rsidRDefault="00C879FE" w:rsidP="00DC7081">
            <w:pPr>
              <w:spacing w:before="60" w:after="60"/>
              <w:rPr>
                <w:rFonts w:asciiTheme="minorHAnsi" w:hAnsiTheme="minorHAnsi" w:cstheme="minorHAnsi"/>
                <w:kern w:val="0"/>
                <w:sz w:val="16"/>
                <w:szCs w:val="20"/>
              </w:rPr>
            </w:pPr>
          </w:p>
        </w:tc>
        <w:tc>
          <w:tcPr>
            <w:tcW w:w="923" w:type="pct"/>
            <w:shd w:val="clear" w:color="auto" w:fill="F5F5F5"/>
            <w:vAlign w:val="center"/>
          </w:tcPr>
          <w:p w14:paraId="26CE3E72" w14:textId="77777777" w:rsidR="00C879FE" w:rsidRPr="001E6E9D" w:rsidRDefault="00C879FE" w:rsidP="00DC7081">
            <w:pPr>
              <w:spacing w:before="60" w:after="60"/>
              <w:rPr>
                <w:rFonts w:asciiTheme="minorHAnsi" w:hAnsiTheme="minorHAnsi" w:cstheme="minorHAnsi"/>
                <w:kern w:val="0"/>
                <w:sz w:val="16"/>
                <w:szCs w:val="20"/>
              </w:rPr>
            </w:pPr>
          </w:p>
        </w:tc>
        <w:tc>
          <w:tcPr>
            <w:tcW w:w="765" w:type="pct"/>
            <w:shd w:val="clear" w:color="auto" w:fill="F5F5F5"/>
            <w:vAlign w:val="center"/>
          </w:tcPr>
          <w:p w14:paraId="513E601F" w14:textId="77777777" w:rsidR="00C879FE" w:rsidRPr="001E6E9D" w:rsidRDefault="00C879FE" w:rsidP="00DC7081">
            <w:pPr>
              <w:spacing w:before="60" w:after="60"/>
              <w:rPr>
                <w:rFonts w:asciiTheme="minorHAnsi" w:hAnsiTheme="minorHAnsi" w:cstheme="minorHAnsi"/>
                <w:kern w:val="0"/>
                <w:sz w:val="16"/>
                <w:szCs w:val="20"/>
              </w:rPr>
            </w:pPr>
          </w:p>
        </w:tc>
      </w:tr>
      <w:tr w:rsidR="00C879FE" w:rsidRPr="001E6E9D" w14:paraId="05853778" w14:textId="77777777" w:rsidTr="008E3A6A">
        <w:tc>
          <w:tcPr>
            <w:tcW w:w="816" w:type="pct"/>
            <w:vAlign w:val="center"/>
          </w:tcPr>
          <w:p w14:paraId="035DF4BF"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 xml:space="preserve">Moeda </w:t>
            </w:r>
            <w:r w:rsidRPr="001E6E9D">
              <w:rPr>
                <w:rFonts w:asciiTheme="minorHAnsi" w:eastAsia="Arial" w:hAnsiTheme="minorHAnsi" w:cstheme="minorHAnsi"/>
                <w:kern w:val="0"/>
                <w:sz w:val="16"/>
                <w:szCs w:val="20"/>
              </w:rPr>
              <w:tab/>
              <w:t>corrente nacional</w:t>
            </w:r>
          </w:p>
        </w:tc>
        <w:tc>
          <w:tcPr>
            <w:tcW w:w="963" w:type="pct"/>
            <w:vAlign w:val="center"/>
          </w:tcPr>
          <w:p w14:paraId="4682F4B1"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1.000</w:t>
            </w:r>
          </w:p>
        </w:tc>
        <w:tc>
          <w:tcPr>
            <w:tcW w:w="714" w:type="pct"/>
            <w:vAlign w:val="center"/>
          </w:tcPr>
          <w:p w14:paraId="28F1F1B6"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vAlign w:val="center"/>
          </w:tcPr>
          <w:p w14:paraId="64D28A90"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1.000</w:t>
            </w:r>
          </w:p>
        </w:tc>
        <w:tc>
          <w:tcPr>
            <w:tcW w:w="923" w:type="pct"/>
            <w:vAlign w:val="center"/>
          </w:tcPr>
          <w:p w14:paraId="7C1AA008"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w:t>
            </w:r>
          </w:p>
        </w:tc>
        <w:tc>
          <w:tcPr>
            <w:tcW w:w="765" w:type="pct"/>
            <w:vAlign w:val="center"/>
          </w:tcPr>
          <w:p w14:paraId="247A5E6D"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1.000</w:t>
            </w:r>
          </w:p>
        </w:tc>
      </w:tr>
    </w:tbl>
    <w:p w14:paraId="3C22DD8C" w14:textId="77777777" w:rsidR="00C879FE" w:rsidRPr="001E6E9D" w:rsidRDefault="00C879FE" w:rsidP="00DC7081">
      <w:pPr>
        <w:spacing w:before="200"/>
        <w:rPr>
          <w:rFonts w:asciiTheme="minorHAnsi" w:hAnsiTheme="minorHAnsi" w:cstheme="minorHAnsi"/>
          <w:b/>
          <w:bCs/>
          <w:szCs w:val="20"/>
          <w:u w:val="single"/>
        </w:rPr>
      </w:pPr>
      <w:r w:rsidRPr="001E6E9D">
        <w:rPr>
          <w:rFonts w:asciiTheme="minorHAnsi" w:hAnsiTheme="minorHAnsi" w:cstheme="minorHAnsi"/>
          <w:b/>
          <w:bCs/>
          <w:szCs w:val="20"/>
          <w:u w:val="single"/>
        </w:rPr>
        <w:t>SPE Olinda</w:t>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1479"/>
        <w:gridCol w:w="1745"/>
        <w:gridCol w:w="1294"/>
        <w:gridCol w:w="1484"/>
        <w:gridCol w:w="1673"/>
        <w:gridCol w:w="1386"/>
      </w:tblGrid>
      <w:tr w:rsidR="00B2445F" w:rsidRPr="001E6E9D" w14:paraId="2BF47A47" w14:textId="77777777" w:rsidTr="008E3A6A">
        <w:tc>
          <w:tcPr>
            <w:tcW w:w="816" w:type="pct"/>
            <w:shd w:val="clear" w:color="auto" w:fill="DCDCDC"/>
            <w:vAlign w:val="center"/>
          </w:tcPr>
          <w:p w14:paraId="209A15AF"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Data da autorização ou aprovação</w:t>
            </w:r>
          </w:p>
        </w:tc>
        <w:tc>
          <w:tcPr>
            <w:tcW w:w="963" w:type="pct"/>
            <w:shd w:val="clear" w:color="auto" w:fill="DCDCDC"/>
            <w:vAlign w:val="center"/>
          </w:tcPr>
          <w:p w14:paraId="523E9B89"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Valor do capital Unidade</w:t>
            </w:r>
          </w:p>
        </w:tc>
        <w:tc>
          <w:tcPr>
            <w:tcW w:w="714" w:type="pct"/>
            <w:shd w:val="clear" w:color="auto" w:fill="DCDCDC"/>
            <w:vAlign w:val="center"/>
          </w:tcPr>
          <w:p w14:paraId="46E1C31E"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Prazo de integralização</w:t>
            </w:r>
          </w:p>
        </w:tc>
        <w:tc>
          <w:tcPr>
            <w:tcW w:w="819" w:type="pct"/>
            <w:shd w:val="clear" w:color="auto" w:fill="DCDCDC"/>
            <w:vAlign w:val="center"/>
          </w:tcPr>
          <w:p w14:paraId="5E072266"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52BF8E5A"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ordinárias</w:t>
            </w:r>
          </w:p>
          <w:p w14:paraId="19C4F0BC"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923" w:type="pct"/>
            <w:shd w:val="clear" w:color="auto" w:fill="DCDCDC"/>
            <w:vAlign w:val="center"/>
          </w:tcPr>
          <w:p w14:paraId="33540E33"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3AB19351"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preferenciais</w:t>
            </w:r>
          </w:p>
          <w:p w14:paraId="496D6DA1"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765" w:type="pct"/>
            <w:shd w:val="clear" w:color="auto" w:fill="DCDCDC"/>
            <w:vAlign w:val="center"/>
          </w:tcPr>
          <w:p w14:paraId="0613A637"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total de ações</w:t>
            </w:r>
          </w:p>
          <w:p w14:paraId="3ADC2E99"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r>
      <w:tr w:rsidR="00B2445F" w:rsidRPr="001E6E9D" w14:paraId="1FB90CE7" w14:textId="77777777" w:rsidTr="008E3A6A">
        <w:tc>
          <w:tcPr>
            <w:tcW w:w="816" w:type="pct"/>
            <w:shd w:val="clear" w:color="auto" w:fill="F5F5F5"/>
            <w:vAlign w:val="center"/>
          </w:tcPr>
          <w:p w14:paraId="5D03AF56"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Tipo de capital </w:t>
            </w:r>
          </w:p>
        </w:tc>
        <w:tc>
          <w:tcPr>
            <w:tcW w:w="963" w:type="pct"/>
            <w:shd w:val="clear" w:color="auto" w:fill="F5F5F5"/>
            <w:vAlign w:val="center"/>
          </w:tcPr>
          <w:p w14:paraId="716A6343"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Capital Emitido </w:t>
            </w:r>
          </w:p>
        </w:tc>
        <w:tc>
          <w:tcPr>
            <w:tcW w:w="714" w:type="pct"/>
            <w:shd w:val="clear" w:color="auto" w:fill="F5F5F5"/>
            <w:vAlign w:val="center"/>
          </w:tcPr>
          <w:p w14:paraId="196EE632"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shd w:val="clear" w:color="auto" w:fill="F5F5F5"/>
            <w:vAlign w:val="center"/>
          </w:tcPr>
          <w:p w14:paraId="4E81D285" w14:textId="77777777" w:rsidR="00C879FE" w:rsidRPr="001E6E9D" w:rsidRDefault="00C879FE" w:rsidP="00DC7081">
            <w:pPr>
              <w:spacing w:before="60" w:after="60"/>
              <w:rPr>
                <w:rFonts w:asciiTheme="minorHAnsi" w:hAnsiTheme="minorHAnsi" w:cstheme="minorHAnsi"/>
                <w:kern w:val="0"/>
                <w:sz w:val="16"/>
                <w:szCs w:val="20"/>
              </w:rPr>
            </w:pPr>
          </w:p>
        </w:tc>
        <w:tc>
          <w:tcPr>
            <w:tcW w:w="923" w:type="pct"/>
            <w:shd w:val="clear" w:color="auto" w:fill="F5F5F5"/>
            <w:vAlign w:val="center"/>
          </w:tcPr>
          <w:p w14:paraId="657627A8" w14:textId="77777777" w:rsidR="00C879FE" w:rsidRPr="001E6E9D" w:rsidRDefault="00C879FE" w:rsidP="00DC7081">
            <w:pPr>
              <w:spacing w:before="60" w:after="60"/>
              <w:rPr>
                <w:rFonts w:asciiTheme="minorHAnsi" w:hAnsiTheme="minorHAnsi" w:cstheme="minorHAnsi"/>
                <w:kern w:val="0"/>
                <w:sz w:val="16"/>
                <w:szCs w:val="20"/>
              </w:rPr>
            </w:pPr>
          </w:p>
        </w:tc>
        <w:tc>
          <w:tcPr>
            <w:tcW w:w="765" w:type="pct"/>
            <w:shd w:val="clear" w:color="auto" w:fill="F5F5F5"/>
            <w:vAlign w:val="center"/>
          </w:tcPr>
          <w:p w14:paraId="00DC5517" w14:textId="77777777" w:rsidR="00C879FE" w:rsidRPr="001E6E9D" w:rsidRDefault="00C879FE" w:rsidP="00DC7081">
            <w:pPr>
              <w:spacing w:before="60" w:after="60"/>
              <w:rPr>
                <w:rFonts w:asciiTheme="minorHAnsi" w:hAnsiTheme="minorHAnsi" w:cstheme="minorHAnsi"/>
                <w:kern w:val="0"/>
                <w:sz w:val="16"/>
                <w:szCs w:val="20"/>
              </w:rPr>
            </w:pPr>
          </w:p>
        </w:tc>
      </w:tr>
      <w:tr w:rsidR="00C879FE" w:rsidRPr="001E6E9D" w14:paraId="02F884EA" w14:textId="77777777" w:rsidTr="008E3A6A">
        <w:tc>
          <w:tcPr>
            <w:tcW w:w="816" w:type="pct"/>
            <w:vAlign w:val="center"/>
          </w:tcPr>
          <w:p w14:paraId="1930C094" w14:textId="77777777" w:rsidR="00C879FE" w:rsidRPr="001E6E9D" w:rsidRDefault="00C879FE" w:rsidP="0034415F">
            <w:pPr>
              <w:spacing w:before="60" w:after="60"/>
              <w:jc w:val="left"/>
              <w:rPr>
                <w:rFonts w:asciiTheme="minorHAnsi" w:hAnsiTheme="minorHAnsi" w:cstheme="minorHAnsi"/>
                <w:kern w:val="0"/>
                <w:sz w:val="16"/>
                <w:szCs w:val="20"/>
              </w:rPr>
            </w:pPr>
            <w:r w:rsidRPr="001E6E9D">
              <w:rPr>
                <w:rFonts w:asciiTheme="minorHAnsi" w:eastAsia="Arial" w:hAnsiTheme="minorHAnsi" w:cstheme="minorHAnsi"/>
                <w:kern w:val="0"/>
                <w:sz w:val="16"/>
                <w:szCs w:val="20"/>
              </w:rPr>
              <w:t xml:space="preserve">Moeda </w:t>
            </w:r>
            <w:r w:rsidRPr="001E6E9D">
              <w:rPr>
                <w:rFonts w:asciiTheme="minorHAnsi" w:eastAsia="Arial" w:hAnsiTheme="minorHAnsi" w:cstheme="minorHAnsi"/>
                <w:kern w:val="0"/>
                <w:sz w:val="16"/>
                <w:szCs w:val="20"/>
              </w:rPr>
              <w:tab/>
              <w:t>corrente nacional</w:t>
            </w:r>
          </w:p>
        </w:tc>
        <w:tc>
          <w:tcPr>
            <w:tcW w:w="963" w:type="pct"/>
            <w:vAlign w:val="center"/>
          </w:tcPr>
          <w:p w14:paraId="7E58B7C1"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3.069.243</w:t>
            </w:r>
          </w:p>
        </w:tc>
        <w:tc>
          <w:tcPr>
            <w:tcW w:w="714" w:type="pct"/>
            <w:vAlign w:val="center"/>
          </w:tcPr>
          <w:p w14:paraId="2C8E6256"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vAlign w:val="center"/>
          </w:tcPr>
          <w:p w14:paraId="6D5F38CF"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3.069.243</w:t>
            </w:r>
          </w:p>
        </w:tc>
        <w:tc>
          <w:tcPr>
            <w:tcW w:w="923" w:type="pct"/>
            <w:vAlign w:val="center"/>
          </w:tcPr>
          <w:p w14:paraId="7913468C"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w:t>
            </w:r>
          </w:p>
        </w:tc>
        <w:tc>
          <w:tcPr>
            <w:tcW w:w="765" w:type="pct"/>
            <w:vAlign w:val="center"/>
          </w:tcPr>
          <w:p w14:paraId="738651AE"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3.069.243</w:t>
            </w:r>
          </w:p>
        </w:tc>
      </w:tr>
    </w:tbl>
    <w:p w14:paraId="130FAC80" w14:textId="77777777" w:rsidR="00C879FE" w:rsidRPr="001E6E9D" w:rsidRDefault="00C879FE" w:rsidP="00DC7081">
      <w:pPr>
        <w:spacing w:before="200"/>
        <w:rPr>
          <w:rFonts w:asciiTheme="minorHAnsi" w:hAnsiTheme="minorHAnsi" w:cstheme="minorHAnsi"/>
          <w:b/>
          <w:bCs/>
          <w:szCs w:val="20"/>
          <w:u w:val="single"/>
        </w:rPr>
      </w:pPr>
      <w:r w:rsidRPr="001E6E9D">
        <w:rPr>
          <w:rFonts w:asciiTheme="minorHAnsi" w:hAnsiTheme="minorHAnsi" w:cstheme="minorHAnsi"/>
          <w:b/>
          <w:bCs/>
          <w:szCs w:val="20"/>
          <w:u w:val="single"/>
        </w:rPr>
        <w:t>SPE Praia do Futuro</w:t>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1479"/>
        <w:gridCol w:w="1745"/>
        <w:gridCol w:w="1294"/>
        <w:gridCol w:w="1484"/>
        <w:gridCol w:w="1673"/>
        <w:gridCol w:w="1386"/>
      </w:tblGrid>
      <w:tr w:rsidR="00B2445F" w:rsidRPr="001E6E9D" w14:paraId="167EE102" w14:textId="77777777" w:rsidTr="008E3A6A">
        <w:tc>
          <w:tcPr>
            <w:tcW w:w="816" w:type="pct"/>
            <w:shd w:val="clear" w:color="auto" w:fill="DCDCDC"/>
            <w:vAlign w:val="center"/>
          </w:tcPr>
          <w:p w14:paraId="5B595369" w14:textId="77777777" w:rsidR="00C879FE" w:rsidRPr="001E6E9D" w:rsidRDefault="00C879FE" w:rsidP="00917AAB">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Data da autorização ou aprovação</w:t>
            </w:r>
          </w:p>
        </w:tc>
        <w:tc>
          <w:tcPr>
            <w:tcW w:w="963" w:type="pct"/>
            <w:shd w:val="clear" w:color="auto" w:fill="DCDCDC"/>
            <w:vAlign w:val="center"/>
          </w:tcPr>
          <w:p w14:paraId="0CE1DABC" w14:textId="77777777" w:rsidR="00C879FE" w:rsidRPr="001E6E9D" w:rsidRDefault="00C879FE" w:rsidP="00917AAB">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Valor do capital Unidade</w:t>
            </w:r>
          </w:p>
        </w:tc>
        <w:tc>
          <w:tcPr>
            <w:tcW w:w="714" w:type="pct"/>
            <w:shd w:val="clear" w:color="auto" w:fill="DCDCDC"/>
            <w:vAlign w:val="center"/>
          </w:tcPr>
          <w:p w14:paraId="4F910DE0" w14:textId="77777777" w:rsidR="00C879FE" w:rsidRPr="001E6E9D" w:rsidRDefault="00C879FE" w:rsidP="00917AAB">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Prazo de integralização</w:t>
            </w:r>
          </w:p>
        </w:tc>
        <w:tc>
          <w:tcPr>
            <w:tcW w:w="819" w:type="pct"/>
            <w:shd w:val="clear" w:color="auto" w:fill="DCDCDC"/>
            <w:vAlign w:val="center"/>
          </w:tcPr>
          <w:p w14:paraId="0ACE3154" w14:textId="77777777" w:rsidR="00C879FE" w:rsidRPr="001E6E9D" w:rsidRDefault="00C879FE" w:rsidP="00917AAB">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23472D06" w14:textId="77777777" w:rsidR="00C879FE" w:rsidRPr="001E6E9D" w:rsidRDefault="00C879FE" w:rsidP="00917AAB">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ordinárias</w:t>
            </w:r>
          </w:p>
          <w:p w14:paraId="7C96F9EC" w14:textId="77777777" w:rsidR="00C879FE" w:rsidRPr="001E6E9D" w:rsidRDefault="00C879FE" w:rsidP="00917AAB">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923" w:type="pct"/>
            <w:shd w:val="clear" w:color="auto" w:fill="DCDCDC"/>
            <w:vAlign w:val="center"/>
          </w:tcPr>
          <w:p w14:paraId="46FEBC29"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35853A40"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preferenciais</w:t>
            </w:r>
          </w:p>
          <w:p w14:paraId="53187C6B"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765" w:type="pct"/>
            <w:shd w:val="clear" w:color="auto" w:fill="DCDCDC"/>
            <w:vAlign w:val="center"/>
          </w:tcPr>
          <w:p w14:paraId="6D6A0689"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total de ações</w:t>
            </w:r>
          </w:p>
          <w:p w14:paraId="1789A4AB" w14:textId="77777777" w:rsidR="00C879FE" w:rsidRPr="001E6E9D" w:rsidRDefault="00C879FE" w:rsidP="0034415F">
            <w:pPr>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r>
      <w:tr w:rsidR="00B2445F" w:rsidRPr="001E6E9D" w14:paraId="5BEDF2B9" w14:textId="77777777" w:rsidTr="008E3A6A">
        <w:tc>
          <w:tcPr>
            <w:tcW w:w="816" w:type="pct"/>
            <w:shd w:val="clear" w:color="auto" w:fill="F5F5F5"/>
            <w:vAlign w:val="center"/>
          </w:tcPr>
          <w:p w14:paraId="1C8AB5A3"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Tipo de capital </w:t>
            </w:r>
          </w:p>
        </w:tc>
        <w:tc>
          <w:tcPr>
            <w:tcW w:w="963" w:type="pct"/>
            <w:shd w:val="clear" w:color="auto" w:fill="F5F5F5"/>
            <w:vAlign w:val="center"/>
          </w:tcPr>
          <w:p w14:paraId="1066F2A1"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Capital Emitido </w:t>
            </w:r>
          </w:p>
        </w:tc>
        <w:tc>
          <w:tcPr>
            <w:tcW w:w="714" w:type="pct"/>
            <w:shd w:val="clear" w:color="auto" w:fill="F5F5F5"/>
            <w:vAlign w:val="center"/>
          </w:tcPr>
          <w:p w14:paraId="5876B7BE"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shd w:val="clear" w:color="auto" w:fill="F5F5F5"/>
            <w:vAlign w:val="center"/>
          </w:tcPr>
          <w:p w14:paraId="5D73E923" w14:textId="77777777" w:rsidR="00C879FE" w:rsidRPr="001E6E9D" w:rsidRDefault="00C879FE" w:rsidP="00DC7081">
            <w:pPr>
              <w:spacing w:before="60" w:after="60"/>
              <w:rPr>
                <w:rFonts w:asciiTheme="minorHAnsi" w:hAnsiTheme="minorHAnsi" w:cstheme="minorHAnsi"/>
                <w:kern w:val="0"/>
                <w:sz w:val="16"/>
                <w:szCs w:val="20"/>
              </w:rPr>
            </w:pPr>
          </w:p>
        </w:tc>
        <w:tc>
          <w:tcPr>
            <w:tcW w:w="923" w:type="pct"/>
            <w:shd w:val="clear" w:color="auto" w:fill="F5F5F5"/>
            <w:vAlign w:val="center"/>
          </w:tcPr>
          <w:p w14:paraId="42C3B9E2" w14:textId="77777777" w:rsidR="00C879FE" w:rsidRPr="001E6E9D" w:rsidRDefault="00C879FE" w:rsidP="00DC7081">
            <w:pPr>
              <w:spacing w:before="60" w:after="60"/>
              <w:rPr>
                <w:rFonts w:asciiTheme="minorHAnsi" w:hAnsiTheme="minorHAnsi" w:cstheme="minorHAnsi"/>
                <w:kern w:val="0"/>
                <w:sz w:val="16"/>
                <w:szCs w:val="20"/>
              </w:rPr>
            </w:pPr>
          </w:p>
        </w:tc>
        <w:tc>
          <w:tcPr>
            <w:tcW w:w="765" w:type="pct"/>
            <w:shd w:val="clear" w:color="auto" w:fill="F5F5F5"/>
            <w:vAlign w:val="center"/>
          </w:tcPr>
          <w:p w14:paraId="69BEE898" w14:textId="77777777" w:rsidR="00C879FE" w:rsidRPr="001E6E9D" w:rsidRDefault="00C879FE" w:rsidP="00DC7081">
            <w:pPr>
              <w:spacing w:before="60" w:after="60"/>
              <w:rPr>
                <w:rFonts w:asciiTheme="minorHAnsi" w:hAnsiTheme="minorHAnsi" w:cstheme="minorHAnsi"/>
                <w:kern w:val="0"/>
                <w:sz w:val="16"/>
                <w:szCs w:val="20"/>
              </w:rPr>
            </w:pPr>
          </w:p>
        </w:tc>
      </w:tr>
      <w:tr w:rsidR="00C879FE" w:rsidRPr="001E6E9D" w14:paraId="10C60FB8" w14:textId="77777777" w:rsidTr="008E3A6A">
        <w:tc>
          <w:tcPr>
            <w:tcW w:w="816" w:type="pct"/>
            <w:vAlign w:val="center"/>
          </w:tcPr>
          <w:p w14:paraId="52858570" w14:textId="77777777" w:rsidR="00C879FE" w:rsidRPr="001E6E9D" w:rsidRDefault="00C879FE" w:rsidP="0034415F">
            <w:pPr>
              <w:spacing w:before="60" w:after="60"/>
              <w:jc w:val="left"/>
              <w:rPr>
                <w:rFonts w:asciiTheme="minorHAnsi" w:hAnsiTheme="minorHAnsi" w:cstheme="minorHAnsi"/>
                <w:kern w:val="0"/>
                <w:sz w:val="16"/>
                <w:szCs w:val="20"/>
              </w:rPr>
            </w:pPr>
            <w:r w:rsidRPr="001E6E9D">
              <w:rPr>
                <w:rFonts w:asciiTheme="minorHAnsi" w:eastAsia="Arial" w:hAnsiTheme="minorHAnsi" w:cstheme="minorHAnsi"/>
                <w:kern w:val="0"/>
                <w:sz w:val="16"/>
                <w:szCs w:val="20"/>
              </w:rPr>
              <w:t xml:space="preserve">Moeda </w:t>
            </w:r>
            <w:r w:rsidRPr="001E6E9D">
              <w:rPr>
                <w:rFonts w:asciiTheme="minorHAnsi" w:eastAsia="Arial" w:hAnsiTheme="minorHAnsi" w:cstheme="minorHAnsi"/>
                <w:kern w:val="0"/>
                <w:sz w:val="16"/>
                <w:szCs w:val="20"/>
              </w:rPr>
              <w:tab/>
              <w:t>corrente nacional</w:t>
            </w:r>
          </w:p>
        </w:tc>
        <w:tc>
          <w:tcPr>
            <w:tcW w:w="963" w:type="pct"/>
            <w:vAlign w:val="center"/>
          </w:tcPr>
          <w:p w14:paraId="675CF88B"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eastAsia="Arial" w:hAnsiTheme="minorHAnsi" w:cstheme="minorHAnsi"/>
                <w:kern w:val="0"/>
                <w:sz w:val="16"/>
                <w:szCs w:val="20"/>
              </w:rPr>
              <w:t>2.282.326</w:t>
            </w:r>
          </w:p>
        </w:tc>
        <w:tc>
          <w:tcPr>
            <w:tcW w:w="714" w:type="pct"/>
            <w:vAlign w:val="center"/>
          </w:tcPr>
          <w:p w14:paraId="74B7EB0C" w14:textId="77777777" w:rsidR="00C879FE" w:rsidRPr="001E6E9D" w:rsidRDefault="00C879FE" w:rsidP="00DC7081">
            <w:pPr>
              <w:spacing w:before="60" w:after="60"/>
              <w:rPr>
                <w:rFonts w:asciiTheme="minorHAnsi" w:hAnsiTheme="minorHAnsi" w:cstheme="minorHAnsi"/>
                <w:kern w:val="0"/>
                <w:sz w:val="16"/>
                <w:szCs w:val="20"/>
              </w:rPr>
            </w:pPr>
          </w:p>
        </w:tc>
        <w:tc>
          <w:tcPr>
            <w:tcW w:w="819" w:type="pct"/>
            <w:vAlign w:val="center"/>
          </w:tcPr>
          <w:p w14:paraId="4EC1238B"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2.282.326</w:t>
            </w:r>
          </w:p>
        </w:tc>
        <w:tc>
          <w:tcPr>
            <w:tcW w:w="923" w:type="pct"/>
            <w:vAlign w:val="center"/>
          </w:tcPr>
          <w:p w14:paraId="627D72D2"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w:t>
            </w:r>
          </w:p>
        </w:tc>
        <w:tc>
          <w:tcPr>
            <w:tcW w:w="765" w:type="pct"/>
            <w:vAlign w:val="center"/>
          </w:tcPr>
          <w:p w14:paraId="01AACEA4" w14:textId="77777777" w:rsidR="00C879FE" w:rsidRPr="001E6E9D" w:rsidRDefault="00C879FE" w:rsidP="00DC7081">
            <w:pPr>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2.282.326</w:t>
            </w:r>
          </w:p>
        </w:tc>
      </w:tr>
    </w:tbl>
    <w:p w14:paraId="0B512956" w14:textId="06B4EC3F" w:rsidR="00C879FE" w:rsidRPr="001E6E9D" w:rsidRDefault="00F5624A" w:rsidP="0034415F">
      <w:pPr>
        <w:keepNext/>
        <w:keepLines/>
        <w:spacing w:before="200"/>
        <w:rPr>
          <w:rFonts w:asciiTheme="minorHAnsi" w:hAnsiTheme="minorHAnsi" w:cstheme="minorHAnsi"/>
          <w:b/>
          <w:bCs/>
          <w:szCs w:val="20"/>
          <w:u w:val="single"/>
        </w:rPr>
      </w:pPr>
      <w:r w:rsidRPr="00E46B3D">
        <w:rPr>
          <w:rFonts w:asciiTheme="minorHAnsi" w:hAnsiTheme="minorHAnsi" w:cstheme="minorHAnsi"/>
          <w:b/>
          <w:bCs/>
          <w:szCs w:val="20"/>
          <w:u w:val="single"/>
        </w:rPr>
        <w:t>SPE MG 2</w:t>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1490"/>
        <w:gridCol w:w="1742"/>
        <w:gridCol w:w="1294"/>
        <w:gridCol w:w="1481"/>
        <w:gridCol w:w="1669"/>
        <w:gridCol w:w="1385"/>
      </w:tblGrid>
      <w:tr w:rsidR="00B2445F" w:rsidRPr="001E6E9D" w14:paraId="1CC041E5" w14:textId="77777777" w:rsidTr="00F5624A">
        <w:tc>
          <w:tcPr>
            <w:tcW w:w="822" w:type="pct"/>
            <w:shd w:val="clear" w:color="auto" w:fill="DCDCDC"/>
            <w:vAlign w:val="center"/>
          </w:tcPr>
          <w:p w14:paraId="43AB7114"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Data da autorização ou aprovação</w:t>
            </w:r>
          </w:p>
        </w:tc>
        <w:tc>
          <w:tcPr>
            <w:tcW w:w="961" w:type="pct"/>
            <w:shd w:val="clear" w:color="auto" w:fill="DCDCDC"/>
            <w:vAlign w:val="center"/>
          </w:tcPr>
          <w:p w14:paraId="231DE5E2"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Valor do capital Unidade</w:t>
            </w:r>
          </w:p>
        </w:tc>
        <w:tc>
          <w:tcPr>
            <w:tcW w:w="714" w:type="pct"/>
            <w:shd w:val="clear" w:color="auto" w:fill="DCDCDC"/>
            <w:vAlign w:val="center"/>
          </w:tcPr>
          <w:p w14:paraId="4D08CBDE"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Prazo de integralização</w:t>
            </w:r>
          </w:p>
        </w:tc>
        <w:tc>
          <w:tcPr>
            <w:tcW w:w="817" w:type="pct"/>
            <w:shd w:val="clear" w:color="auto" w:fill="DCDCDC"/>
            <w:vAlign w:val="center"/>
          </w:tcPr>
          <w:p w14:paraId="43E3E185" w14:textId="6BF881E4"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r w:rsidR="0034415F" w:rsidRPr="001E6E9D">
              <w:rPr>
                <w:rFonts w:asciiTheme="minorHAnsi" w:hAnsiTheme="minorHAnsi" w:cstheme="minorHAnsi"/>
                <w:kern w:val="0"/>
                <w:sz w:val="16"/>
                <w:szCs w:val="20"/>
              </w:rPr>
              <w:t xml:space="preserve"> </w:t>
            </w:r>
            <w:r w:rsidRPr="001E6E9D">
              <w:rPr>
                <w:rFonts w:asciiTheme="minorHAnsi" w:eastAsia="Arial" w:hAnsiTheme="minorHAnsi" w:cstheme="minorHAnsi"/>
                <w:b/>
                <w:kern w:val="0"/>
                <w:sz w:val="16"/>
                <w:szCs w:val="20"/>
              </w:rPr>
              <w:t>ordinárias</w:t>
            </w:r>
          </w:p>
          <w:p w14:paraId="184F81A3"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921" w:type="pct"/>
            <w:shd w:val="clear" w:color="auto" w:fill="DCDCDC"/>
            <w:vAlign w:val="center"/>
          </w:tcPr>
          <w:p w14:paraId="3D2D0748"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de ações</w:t>
            </w:r>
          </w:p>
          <w:p w14:paraId="037D306C"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preferenciais</w:t>
            </w:r>
          </w:p>
          <w:p w14:paraId="74B75BD9"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c>
          <w:tcPr>
            <w:tcW w:w="764" w:type="pct"/>
            <w:shd w:val="clear" w:color="auto" w:fill="DCDCDC"/>
            <w:vAlign w:val="center"/>
          </w:tcPr>
          <w:p w14:paraId="394B9203"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Quantidade total de ações</w:t>
            </w:r>
          </w:p>
          <w:p w14:paraId="232D526F" w14:textId="77777777" w:rsidR="00C879FE" w:rsidRPr="001E6E9D" w:rsidRDefault="00C879FE" w:rsidP="0034415F">
            <w:pPr>
              <w:keepNext/>
              <w:keepLines/>
              <w:spacing w:before="60" w:after="60"/>
              <w:jc w:val="center"/>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Unidade</w:t>
            </w:r>
          </w:p>
        </w:tc>
      </w:tr>
      <w:tr w:rsidR="00B2445F" w:rsidRPr="001E6E9D" w14:paraId="272BB470" w14:textId="77777777" w:rsidTr="00F5624A">
        <w:tc>
          <w:tcPr>
            <w:tcW w:w="822" w:type="pct"/>
            <w:shd w:val="clear" w:color="auto" w:fill="F5F5F5"/>
            <w:vAlign w:val="center"/>
          </w:tcPr>
          <w:p w14:paraId="16ACB24E" w14:textId="77777777" w:rsidR="00C879FE" w:rsidRPr="001E6E9D" w:rsidRDefault="00C879FE" w:rsidP="0034415F">
            <w:pPr>
              <w:keepNext/>
              <w:keepLines/>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Tipo de capital </w:t>
            </w:r>
          </w:p>
        </w:tc>
        <w:tc>
          <w:tcPr>
            <w:tcW w:w="961" w:type="pct"/>
            <w:shd w:val="clear" w:color="auto" w:fill="F5F5F5"/>
            <w:vAlign w:val="center"/>
          </w:tcPr>
          <w:p w14:paraId="7A411214" w14:textId="77777777" w:rsidR="00C879FE" w:rsidRPr="001E6E9D" w:rsidRDefault="00C879FE" w:rsidP="0034415F">
            <w:pPr>
              <w:keepNext/>
              <w:keepLines/>
              <w:spacing w:before="60" w:after="60"/>
              <w:rPr>
                <w:rFonts w:asciiTheme="minorHAnsi" w:hAnsiTheme="minorHAnsi" w:cstheme="minorHAnsi"/>
                <w:kern w:val="0"/>
                <w:sz w:val="16"/>
                <w:szCs w:val="20"/>
              </w:rPr>
            </w:pPr>
            <w:r w:rsidRPr="001E6E9D">
              <w:rPr>
                <w:rFonts w:asciiTheme="minorHAnsi" w:eastAsia="Arial" w:hAnsiTheme="minorHAnsi" w:cstheme="minorHAnsi"/>
                <w:b/>
                <w:kern w:val="0"/>
                <w:sz w:val="16"/>
                <w:szCs w:val="20"/>
              </w:rPr>
              <w:t xml:space="preserve">Capital Emitido </w:t>
            </w:r>
          </w:p>
        </w:tc>
        <w:tc>
          <w:tcPr>
            <w:tcW w:w="714" w:type="pct"/>
            <w:shd w:val="clear" w:color="auto" w:fill="F5F5F5"/>
            <w:vAlign w:val="center"/>
          </w:tcPr>
          <w:p w14:paraId="2D5F8EDD" w14:textId="77777777" w:rsidR="00C879FE" w:rsidRPr="001E6E9D" w:rsidRDefault="00C879FE" w:rsidP="0034415F">
            <w:pPr>
              <w:keepNext/>
              <w:keepLines/>
              <w:spacing w:before="60" w:after="60"/>
              <w:rPr>
                <w:rFonts w:asciiTheme="minorHAnsi" w:hAnsiTheme="minorHAnsi" w:cstheme="minorHAnsi"/>
                <w:kern w:val="0"/>
                <w:sz w:val="16"/>
                <w:szCs w:val="20"/>
              </w:rPr>
            </w:pPr>
          </w:p>
        </w:tc>
        <w:tc>
          <w:tcPr>
            <w:tcW w:w="817" w:type="pct"/>
            <w:shd w:val="clear" w:color="auto" w:fill="F5F5F5"/>
            <w:vAlign w:val="center"/>
          </w:tcPr>
          <w:p w14:paraId="45F88907" w14:textId="77777777" w:rsidR="00C879FE" w:rsidRPr="001E6E9D" w:rsidRDefault="00C879FE" w:rsidP="0034415F">
            <w:pPr>
              <w:keepNext/>
              <w:keepLines/>
              <w:spacing w:before="60" w:after="60"/>
              <w:rPr>
                <w:rFonts w:asciiTheme="minorHAnsi" w:hAnsiTheme="minorHAnsi" w:cstheme="minorHAnsi"/>
                <w:kern w:val="0"/>
                <w:sz w:val="16"/>
                <w:szCs w:val="20"/>
              </w:rPr>
            </w:pPr>
          </w:p>
        </w:tc>
        <w:tc>
          <w:tcPr>
            <w:tcW w:w="921" w:type="pct"/>
            <w:shd w:val="clear" w:color="auto" w:fill="F5F5F5"/>
            <w:vAlign w:val="center"/>
          </w:tcPr>
          <w:p w14:paraId="6AADBC17" w14:textId="77777777" w:rsidR="00C879FE" w:rsidRPr="001E6E9D" w:rsidRDefault="00C879FE" w:rsidP="0034415F">
            <w:pPr>
              <w:keepNext/>
              <w:keepLines/>
              <w:spacing w:before="60" w:after="60"/>
              <w:rPr>
                <w:rFonts w:asciiTheme="minorHAnsi" w:hAnsiTheme="minorHAnsi" w:cstheme="minorHAnsi"/>
                <w:kern w:val="0"/>
                <w:sz w:val="16"/>
                <w:szCs w:val="20"/>
              </w:rPr>
            </w:pPr>
          </w:p>
        </w:tc>
        <w:tc>
          <w:tcPr>
            <w:tcW w:w="764" w:type="pct"/>
            <w:shd w:val="clear" w:color="auto" w:fill="F5F5F5"/>
            <w:vAlign w:val="center"/>
          </w:tcPr>
          <w:p w14:paraId="2615A370" w14:textId="77777777" w:rsidR="00C879FE" w:rsidRPr="001E6E9D" w:rsidRDefault="00C879FE" w:rsidP="0034415F">
            <w:pPr>
              <w:keepNext/>
              <w:keepLines/>
              <w:spacing w:before="60" w:after="60"/>
              <w:rPr>
                <w:rFonts w:asciiTheme="minorHAnsi" w:hAnsiTheme="minorHAnsi" w:cstheme="minorHAnsi"/>
                <w:kern w:val="0"/>
                <w:sz w:val="16"/>
                <w:szCs w:val="20"/>
              </w:rPr>
            </w:pPr>
          </w:p>
        </w:tc>
      </w:tr>
      <w:tr w:rsidR="00C879FE" w:rsidRPr="001E6E9D" w14:paraId="57DA51B1" w14:textId="77777777" w:rsidTr="00F5624A">
        <w:tc>
          <w:tcPr>
            <w:tcW w:w="822" w:type="pct"/>
            <w:vAlign w:val="center"/>
          </w:tcPr>
          <w:p w14:paraId="52B601BB" w14:textId="77777777" w:rsidR="00C879FE" w:rsidRPr="001E6E9D" w:rsidRDefault="00C879FE" w:rsidP="0034415F">
            <w:pPr>
              <w:keepNext/>
              <w:keepLines/>
              <w:spacing w:before="60" w:after="60"/>
              <w:jc w:val="left"/>
              <w:rPr>
                <w:rFonts w:asciiTheme="minorHAnsi" w:hAnsiTheme="minorHAnsi" w:cstheme="minorHAnsi"/>
                <w:kern w:val="0"/>
                <w:sz w:val="16"/>
                <w:szCs w:val="20"/>
              </w:rPr>
            </w:pPr>
            <w:r w:rsidRPr="001E6E9D">
              <w:rPr>
                <w:rFonts w:asciiTheme="minorHAnsi" w:eastAsia="Arial" w:hAnsiTheme="minorHAnsi" w:cstheme="minorHAnsi"/>
                <w:kern w:val="0"/>
                <w:sz w:val="16"/>
                <w:szCs w:val="20"/>
              </w:rPr>
              <w:t xml:space="preserve">Moeda </w:t>
            </w:r>
            <w:r w:rsidRPr="001E6E9D">
              <w:rPr>
                <w:rFonts w:asciiTheme="minorHAnsi" w:eastAsia="Arial" w:hAnsiTheme="minorHAnsi" w:cstheme="minorHAnsi"/>
                <w:kern w:val="0"/>
                <w:sz w:val="16"/>
                <w:szCs w:val="20"/>
              </w:rPr>
              <w:tab/>
              <w:t>corrente nacional</w:t>
            </w:r>
          </w:p>
        </w:tc>
        <w:tc>
          <w:tcPr>
            <w:tcW w:w="961" w:type="pct"/>
            <w:vAlign w:val="center"/>
          </w:tcPr>
          <w:p w14:paraId="2B6D42FE" w14:textId="77777777" w:rsidR="00C879FE" w:rsidRPr="001E6E9D" w:rsidRDefault="00C879FE" w:rsidP="0034415F">
            <w:pPr>
              <w:keepNext/>
              <w:keepLines/>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8.492.915</w:t>
            </w:r>
          </w:p>
        </w:tc>
        <w:tc>
          <w:tcPr>
            <w:tcW w:w="714" w:type="pct"/>
            <w:vAlign w:val="center"/>
          </w:tcPr>
          <w:p w14:paraId="19AFDEDF" w14:textId="77777777" w:rsidR="00C879FE" w:rsidRPr="001E6E9D" w:rsidRDefault="00C879FE" w:rsidP="0034415F">
            <w:pPr>
              <w:keepNext/>
              <w:keepLines/>
              <w:spacing w:before="60" w:after="60"/>
              <w:rPr>
                <w:rFonts w:asciiTheme="minorHAnsi" w:hAnsiTheme="minorHAnsi" w:cstheme="minorHAnsi"/>
                <w:kern w:val="0"/>
                <w:sz w:val="16"/>
                <w:szCs w:val="20"/>
              </w:rPr>
            </w:pPr>
          </w:p>
        </w:tc>
        <w:tc>
          <w:tcPr>
            <w:tcW w:w="817" w:type="pct"/>
            <w:vAlign w:val="center"/>
          </w:tcPr>
          <w:p w14:paraId="0B05C743" w14:textId="77777777" w:rsidR="00C879FE" w:rsidRPr="001E6E9D" w:rsidRDefault="00C879FE" w:rsidP="0034415F">
            <w:pPr>
              <w:keepNext/>
              <w:keepLines/>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8.492.915</w:t>
            </w:r>
          </w:p>
        </w:tc>
        <w:tc>
          <w:tcPr>
            <w:tcW w:w="921" w:type="pct"/>
            <w:vAlign w:val="center"/>
          </w:tcPr>
          <w:p w14:paraId="77BA1C4B" w14:textId="77777777" w:rsidR="00C879FE" w:rsidRPr="001E6E9D" w:rsidRDefault="00C879FE" w:rsidP="0034415F">
            <w:pPr>
              <w:keepNext/>
              <w:keepLines/>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w:t>
            </w:r>
          </w:p>
        </w:tc>
        <w:tc>
          <w:tcPr>
            <w:tcW w:w="764" w:type="pct"/>
            <w:vAlign w:val="center"/>
          </w:tcPr>
          <w:p w14:paraId="39DC69F9" w14:textId="77777777" w:rsidR="00C879FE" w:rsidRPr="001E6E9D" w:rsidRDefault="00C879FE" w:rsidP="0034415F">
            <w:pPr>
              <w:keepNext/>
              <w:keepLines/>
              <w:spacing w:before="60" w:after="60"/>
              <w:rPr>
                <w:rFonts w:asciiTheme="minorHAnsi" w:hAnsiTheme="minorHAnsi" w:cstheme="minorHAnsi"/>
                <w:kern w:val="0"/>
                <w:sz w:val="16"/>
                <w:szCs w:val="20"/>
              </w:rPr>
            </w:pPr>
            <w:r w:rsidRPr="001E6E9D">
              <w:rPr>
                <w:rFonts w:asciiTheme="minorHAnsi" w:hAnsiTheme="minorHAnsi" w:cstheme="minorHAnsi"/>
                <w:kern w:val="0"/>
                <w:sz w:val="16"/>
                <w:szCs w:val="20"/>
              </w:rPr>
              <w:t>8.492.915</w:t>
            </w:r>
          </w:p>
        </w:tc>
      </w:tr>
    </w:tbl>
    <w:p w14:paraId="270ED2B7" w14:textId="0697CDD8" w:rsidR="00F5624A" w:rsidRDefault="00F5624A" w:rsidP="00DC7081">
      <w:pPr>
        <w:spacing w:before="200"/>
        <w:rPr>
          <w:rFonts w:asciiTheme="minorHAnsi" w:hAnsiTheme="minorHAnsi" w:cstheme="minorHAnsi"/>
          <w:b/>
          <w:bCs/>
          <w:szCs w:val="20"/>
        </w:rPr>
      </w:pPr>
      <w:r w:rsidRPr="00E46B3D">
        <w:rPr>
          <w:rFonts w:asciiTheme="minorHAnsi" w:hAnsiTheme="minorHAnsi" w:cstheme="minorHAnsi"/>
          <w:b/>
          <w:bCs/>
          <w:szCs w:val="20"/>
          <w:u w:val="single"/>
        </w:rPr>
        <w:t>SPE MG 3</w:t>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68" w:type="dxa"/>
          <w:bottom w:w="40" w:type="dxa"/>
          <w:right w:w="68" w:type="dxa"/>
        </w:tblCellMar>
        <w:tblLook w:val="04A0" w:firstRow="1" w:lastRow="0" w:firstColumn="1" w:lastColumn="0" w:noHBand="0" w:noVBand="1"/>
      </w:tblPr>
      <w:tblGrid>
        <w:gridCol w:w="1490"/>
        <w:gridCol w:w="1742"/>
        <w:gridCol w:w="1294"/>
        <w:gridCol w:w="1481"/>
        <w:gridCol w:w="1669"/>
        <w:gridCol w:w="1385"/>
      </w:tblGrid>
      <w:tr w:rsidR="00F5624A" w:rsidRPr="008E3A6A" w14:paraId="22F78EF9" w14:textId="77777777" w:rsidTr="00A9008E">
        <w:tc>
          <w:tcPr>
            <w:tcW w:w="823" w:type="pct"/>
            <w:shd w:val="clear" w:color="auto" w:fill="DCDCDC"/>
            <w:vAlign w:val="center"/>
          </w:tcPr>
          <w:p w14:paraId="35F51CEA"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Data da autorização ou aprovação</w:t>
            </w:r>
          </w:p>
        </w:tc>
        <w:tc>
          <w:tcPr>
            <w:tcW w:w="961" w:type="pct"/>
            <w:shd w:val="clear" w:color="auto" w:fill="DCDCDC"/>
            <w:vAlign w:val="center"/>
          </w:tcPr>
          <w:p w14:paraId="17631042"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Valor do capital Unidade</w:t>
            </w:r>
          </w:p>
        </w:tc>
        <w:tc>
          <w:tcPr>
            <w:tcW w:w="714" w:type="pct"/>
            <w:shd w:val="clear" w:color="auto" w:fill="DCDCDC"/>
            <w:vAlign w:val="center"/>
          </w:tcPr>
          <w:p w14:paraId="4E735FE2"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Prazo de integralização</w:t>
            </w:r>
          </w:p>
        </w:tc>
        <w:tc>
          <w:tcPr>
            <w:tcW w:w="817" w:type="pct"/>
            <w:shd w:val="clear" w:color="auto" w:fill="DCDCDC"/>
            <w:vAlign w:val="center"/>
          </w:tcPr>
          <w:p w14:paraId="3B324BE0"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Quantidade de ações</w:t>
            </w:r>
          </w:p>
          <w:p w14:paraId="1395A3FF"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ordinárias</w:t>
            </w:r>
          </w:p>
          <w:p w14:paraId="6EC13C62"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Unidade</w:t>
            </w:r>
          </w:p>
        </w:tc>
        <w:tc>
          <w:tcPr>
            <w:tcW w:w="921" w:type="pct"/>
            <w:shd w:val="clear" w:color="auto" w:fill="DCDCDC"/>
            <w:vAlign w:val="center"/>
          </w:tcPr>
          <w:p w14:paraId="06367823"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Quantidade de ações</w:t>
            </w:r>
          </w:p>
          <w:p w14:paraId="72AB85FE"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preferenciais</w:t>
            </w:r>
          </w:p>
          <w:p w14:paraId="394052B7"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Unidade</w:t>
            </w:r>
          </w:p>
        </w:tc>
        <w:tc>
          <w:tcPr>
            <w:tcW w:w="764" w:type="pct"/>
            <w:shd w:val="clear" w:color="auto" w:fill="DCDCDC"/>
            <w:vAlign w:val="center"/>
          </w:tcPr>
          <w:p w14:paraId="73B2109E"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Quantidade total de ações</w:t>
            </w:r>
          </w:p>
          <w:p w14:paraId="11346AF2"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Unidade</w:t>
            </w:r>
          </w:p>
        </w:tc>
      </w:tr>
      <w:tr w:rsidR="00F5624A" w:rsidRPr="008E3A6A" w14:paraId="3E5B4834" w14:textId="77777777" w:rsidTr="00A9008E">
        <w:tc>
          <w:tcPr>
            <w:tcW w:w="823" w:type="pct"/>
            <w:shd w:val="clear" w:color="auto" w:fill="F5F5F5"/>
            <w:vAlign w:val="center"/>
          </w:tcPr>
          <w:p w14:paraId="0E349DC2"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 xml:space="preserve">Tipo de capital </w:t>
            </w:r>
          </w:p>
        </w:tc>
        <w:tc>
          <w:tcPr>
            <w:tcW w:w="961" w:type="pct"/>
            <w:shd w:val="clear" w:color="auto" w:fill="F5F5F5"/>
            <w:vAlign w:val="center"/>
          </w:tcPr>
          <w:p w14:paraId="1394D0E7"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b/>
                <w:kern w:val="0"/>
                <w:sz w:val="16"/>
                <w:szCs w:val="20"/>
              </w:rPr>
              <w:t xml:space="preserve">Capital Emitido </w:t>
            </w:r>
          </w:p>
        </w:tc>
        <w:tc>
          <w:tcPr>
            <w:tcW w:w="714" w:type="pct"/>
            <w:shd w:val="clear" w:color="auto" w:fill="F5F5F5"/>
            <w:vAlign w:val="center"/>
          </w:tcPr>
          <w:p w14:paraId="4F1EF4F3" w14:textId="77777777" w:rsidR="00F5624A" w:rsidRPr="008E3A6A" w:rsidRDefault="00F5624A" w:rsidP="00A9008E">
            <w:pPr>
              <w:spacing w:before="60" w:after="60"/>
              <w:rPr>
                <w:rFonts w:asciiTheme="minorHAnsi" w:hAnsiTheme="minorHAnsi" w:cstheme="minorHAnsi"/>
                <w:kern w:val="0"/>
                <w:sz w:val="16"/>
                <w:szCs w:val="20"/>
              </w:rPr>
            </w:pPr>
          </w:p>
        </w:tc>
        <w:tc>
          <w:tcPr>
            <w:tcW w:w="817" w:type="pct"/>
            <w:shd w:val="clear" w:color="auto" w:fill="F5F5F5"/>
            <w:vAlign w:val="center"/>
          </w:tcPr>
          <w:p w14:paraId="71A7EF9B" w14:textId="77777777" w:rsidR="00F5624A" w:rsidRPr="008E3A6A" w:rsidRDefault="00F5624A" w:rsidP="00A9008E">
            <w:pPr>
              <w:spacing w:before="60" w:after="60"/>
              <w:rPr>
                <w:rFonts w:asciiTheme="minorHAnsi" w:hAnsiTheme="minorHAnsi" w:cstheme="minorHAnsi"/>
                <w:kern w:val="0"/>
                <w:sz w:val="16"/>
                <w:szCs w:val="20"/>
              </w:rPr>
            </w:pPr>
          </w:p>
        </w:tc>
        <w:tc>
          <w:tcPr>
            <w:tcW w:w="921" w:type="pct"/>
            <w:shd w:val="clear" w:color="auto" w:fill="F5F5F5"/>
            <w:vAlign w:val="center"/>
          </w:tcPr>
          <w:p w14:paraId="52A00BA3" w14:textId="77777777" w:rsidR="00F5624A" w:rsidRPr="008E3A6A" w:rsidRDefault="00F5624A" w:rsidP="00A9008E">
            <w:pPr>
              <w:spacing w:before="60" w:after="60"/>
              <w:rPr>
                <w:rFonts w:asciiTheme="minorHAnsi" w:hAnsiTheme="minorHAnsi" w:cstheme="minorHAnsi"/>
                <w:kern w:val="0"/>
                <w:sz w:val="16"/>
                <w:szCs w:val="20"/>
              </w:rPr>
            </w:pPr>
          </w:p>
        </w:tc>
        <w:tc>
          <w:tcPr>
            <w:tcW w:w="764" w:type="pct"/>
            <w:shd w:val="clear" w:color="auto" w:fill="F5F5F5"/>
            <w:vAlign w:val="center"/>
          </w:tcPr>
          <w:p w14:paraId="60EB4FA5" w14:textId="77777777" w:rsidR="00F5624A" w:rsidRPr="008E3A6A" w:rsidRDefault="00F5624A" w:rsidP="00A9008E">
            <w:pPr>
              <w:spacing w:before="60" w:after="60"/>
              <w:rPr>
                <w:rFonts w:asciiTheme="minorHAnsi" w:hAnsiTheme="minorHAnsi" w:cstheme="minorHAnsi"/>
                <w:kern w:val="0"/>
                <w:sz w:val="16"/>
                <w:szCs w:val="20"/>
              </w:rPr>
            </w:pPr>
          </w:p>
        </w:tc>
      </w:tr>
      <w:tr w:rsidR="00F5624A" w:rsidRPr="008E3A6A" w14:paraId="206E895A" w14:textId="77777777" w:rsidTr="00A9008E">
        <w:tc>
          <w:tcPr>
            <w:tcW w:w="823" w:type="pct"/>
            <w:vAlign w:val="center"/>
          </w:tcPr>
          <w:p w14:paraId="4EEDD5DF"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eastAsia="Arial" w:hAnsiTheme="minorHAnsi" w:cstheme="minorHAnsi"/>
                <w:kern w:val="0"/>
                <w:sz w:val="16"/>
                <w:szCs w:val="20"/>
              </w:rPr>
              <w:t xml:space="preserve">Moeda </w:t>
            </w:r>
            <w:r w:rsidRPr="008E3A6A">
              <w:rPr>
                <w:rFonts w:asciiTheme="minorHAnsi" w:eastAsia="Arial" w:hAnsiTheme="minorHAnsi" w:cstheme="minorHAnsi"/>
                <w:kern w:val="0"/>
                <w:sz w:val="16"/>
                <w:szCs w:val="20"/>
              </w:rPr>
              <w:tab/>
              <w:t>corrente nacional</w:t>
            </w:r>
          </w:p>
        </w:tc>
        <w:tc>
          <w:tcPr>
            <w:tcW w:w="961" w:type="pct"/>
            <w:vAlign w:val="center"/>
          </w:tcPr>
          <w:p w14:paraId="1532A3D5"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hAnsiTheme="minorHAnsi" w:cstheme="minorHAnsi"/>
                <w:kern w:val="0"/>
                <w:sz w:val="16"/>
                <w:szCs w:val="20"/>
              </w:rPr>
              <w:t>8.</w:t>
            </w:r>
            <w:r>
              <w:rPr>
                <w:rFonts w:asciiTheme="minorHAnsi" w:hAnsiTheme="minorHAnsi" w:cstheme="minorHAnsi"/>
                <w:kern w:val="0"/>
                <w:sz w:val="16"/>
                <w:szCs w:val="20"/>
              </w:rPr>
              <w:t>349.850</w:t>
            </w:r>
          </w:p>
        </w:tc>
        <w:tc>
          <w:tcPr>
            <w:tcW w:w="714" w:type="pct"/>
            <w:vAlign w:val="center"/>
          </w:tcPr>
          <w:p w14:paraId="52C3D15C" w14:textId="77777777" w:rsidR="00F5624A" w:rsidRPr="008E3A6A" w:rsidRDefault="00F5624A" w:rsidP="00A9008E">
            <w:pPr>
              <w:spacing w:before="60" w:after="60"/>
              <w:rPr>
                <w:rFonts w:asciiTheme="minorHAnsi" w:hAnsiTheme="minorHAnsi" w:cstheme="minorHAnsi"/>
                <w:kern w:val="0"/>
                <w:sz w:val="16"/>
                <w:szCs w:val="20"/>
              </w:rPr>
            </w:pPr>
          </w:p>
        </w:tc>
        <w:tc>
          <w:tcPr>
            <w:tcW w:w="817" w:type="pct"/>
            <w:vAlign w:val="center"/>
          </w:tcPr>
          <w:p w14:paraId="3D438BFE"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hAnsiTheme="minorHAnsi" w:cstheme="minorHAnsi"/>
                <w:kern w:val="0"/>
                <w:sz w:val="16"/>
                <w:szCs w:val="20"/>
              </w:rPr>
              <w:t>8.</w:t>
            </w:r>
            <w:r>
              <w:rPr>
                <w:rFonts w:asciiTheme="minorHAnsi" w:hAnsiTheme="minorHAnsi" w:cstheme="minorHAnsi"/>
                <w:kern w:val="0"/>
                <w:sz w:val="16"/>
                <w:szCs w:val="20"/>
              </w:rPr>
              <w:t>349.850</w:t>
            </w:r>
          </w:p>
        </w:tc>
        <w:tc>
          <w:tcPr>
            <w:tcW w:w="921" w:type="pct"/>
            <w:vAlign w:val="center"/>
          </w:tcPr>
          <w:p w14:paraId="635E5362"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hAnsiTheme="minorHAnsi" w:cstheme="minorHAnsi"/>
                <w:kern w:val="0"/>
                <w:sz w:val="16"/>
                <w:szCs w:val="20"/>
              </w:rPr>
              <w:t>-</w:t>
            </w:r>
          </w:p>
        </w:tc>
        <w:tc>
          <w:tcPr>
            <w:tcW w:w="764" w:type="pct"/>
            <w:vAlign w:val="center"/>
          </w:tcPr>
          <w:p w14:paraId="34B1B4B6" w14:textId="77777777" w:rsidR="00F5624A" w:rsidRPr="008E3A6A" w:rsidRDefault="00F5624A" w:rsidP="00A9008E">
            <w:pPr>
              <w:spacing w:before="60" w:after="60"/>
              <w:rPr>
                <w:rFonts w:asciiTheme="minorHAnsi" w:hAnsiTheme="minorHAnsi" w:cstheme="minorHAnsi"/>
                <w:kern w:val="0"/>
                <w:sz w:val="16"/>
                <w:szCs w:val="20"/>
              </w:rPr>
            </w:pPr>
            <w:r w:rsidRPr="008E3A6A">
              <w:rPr>
                <w:rFonts w:asciiTheme="minorHAnsi" w:hAnsiTheme="minorHAnsi" w:cstheme="minorHAnsi"/>
                <w:kern w:val="0"/>
                <w:sz w:val="16"/>
                <w:szCs w:val="20"/>
              </w:rPr>
              <w:t>8.</w:t>
            </w:r>
            <w:r>
              <w:rPr>
                <w:rFonts w:asciiTheme="minorHAnsi" w:hAnsiTheme="minorHAnsi" w:cstheme="minorHAnsi"/>
                <w:kern w:val="0"/>
                <w:sz w:val="16"/>
                <w:szCs w:val="20"/>
              </w:rPr>
              <w:t>349.850</w:t>
            </w:r>
          </w:p>
        </w:tc>
      </w:tr>
    </w:tbl>
    <w:p w14:paraId="33146B80" w14:textId="3D3F52AC" w:rsidR="00C879FE" w:rsidRPr="001E6E9D" w:rsidRDefault="00C879FE" w:rsidP="00DC7081">
      <w:pPr>
        <w:spacing w:before="200"/>
        <w:rPr>
          <w:rFonts w:asciiTheme="minorHAnsi" w:hAnsiTheme="minorHAnsi" w:cstheme="minorHAnsi"/>
          <w:b/>
          <w:bCs/>
          <w:szCs w:val="20"/>
        </w:rPr>
      </w:pPr>
      <w:r w:rsidRPr="001E6E9D">
        <w:rPr>
          <w:rFonts w:asciiTheme="minorHAnsi" w:hAnsiTheme="minorHAnsi" w:cstheme="minorHAnsi"/>
          <w:b/>
          <w:bCs/>
          <w:szCs w:val="20"/>
        </w:rPr>
        <w:t>10.2.10. Outros valores mobiliários de emissão das Garantidoras</w:t>
      </w:r>
      <w:r w:rsidRPr="001E6E9D" w:rsidDel="006B6493">
        <w:rPr>
          <w:rFonts w:asciiTheme="minorHAnsi" w:hAnsiTheme="minorHAnsi" w:cstheme="minorHAnsi"/>
          <w:b/>
          <w:bCs/>
          <w:szCs w:val="20"/>
        </w:rPr>
        <w:t xml:space="preserve"> </w:t>
      </w:r>
      <w:r w:rsidRPr="001E6E9D">
        <w:rPr>
          <w:rFonts w:asciiTheme="minorHAnsi" w:hAnsiTheme="minorHAnsi" w:cstheme="minorHAnsi"/>
          <w:b/>
          <w:bCs/>
          <w:szCs w:val="20"/>
        </w:rPr>
        <w:t>no Brasil, que não sejam ações e que não tenham vencido ou sido resgatados.</w:t>
      </w:r>
    </w:p>
    <w:p w14:paraId="0BEE89E8" w14:textId="4D2E392C" w:rsidR="00065DBC" w:rsidRPr="001E6E9D" w:rsidRDefault="00C879FE" w:rsidP="00DC7081">
      <w:pPr>
        <w:rPr>
          <w:rFonts w:asciiTheme="minorHAnsi" w:hAnsiTheme="minorHAnsi" w:cstheme="minorHAnsi"/>
          <w:szCs w:val="20"/>
          <w:lang w:eastAsia="pt-BR"/>
        </w:rPr>
      </w:pPr>
      <w:r w:rsidRPr="001E6E9D">
        <w:rPr>
          <w:rFonts w:asciiTheme="minorHAnsi" w:eastAsia="Times New Roman" w:hAnsiTheme="minorHAnsi" w:cstheme="minorHAnsi"/>
          <w:szCs w:val="20"/>
          <w:lang w:eastAsia="pt-BR"/>
        </w:rPr>
        <w:t xml:space="preserve">Na data </w:t>
      </w:r>
      <w:r w:rsidR="0024668F" w:rsidRPr="001E6E9D">
        <w:rPr>
          <w:rFonts w:asciiTheme="minorHAnsi" w:eastAsia="Times New Roman" w:hAnsiTheme="minorHAnsi" w:cstheme="minorHAnsi"/>
          <w:szCs w:val="20"/>
          <w:lang w:eastAsia="pt-BR"/>
        </w:rPr>
        <w:t>deste Prospecto</w:t>
      </w:r>
      <w:r w:rsidRPr="001E6E9D">
        <w:rPr>
          <w:rFonts w:asciiTheme="minorHAnsi" w:eastAsia="Times New Roman" w:hAnsiTheme="minorHAnsi" w:cstheme="minorHAnsi"/>
          <w:szCs w:val="20"/>
          <w:lang w:eastAsia="pt-BR"/>
        </w:rPr>
        <w:t>, as Garantidoras não possuíam valores mobiliários emitidos no Brasil que não sejam ações e/ou quotas e não tenham vencido ou sido resgatados.</w:t>
      </w:r>
    </w:p>
    <w:p w14:paraId="3D411F32" w14:textId="77777777" w:rsidR="003468A1" w:rsidRPr="001E6E9D" w:rsidRDefault="0053704D" w:rsidP="00DC7081">
      <w:pPr>
        <w:pStyle w:val="Ttulo1"/>
        <w:rPr>
          <w:lang w:eastAsia="pt-BR"/>
        </w:rPr>
      </w:pPr>
      <w:bookmarkStart w:id="282" w:name="_Ref158845055"/>
      <w:bookmarkStart w:id="283" w:name="_Toc159073504"/>
      <w:bookmarkStart w:id="284" w:name="_Toc184129247"/>
      <w:r w:rsidRPr="001E6E9D">
        <w:rPr>
          <w:lang w:eastAsia="pt-BR"/>
        </w:rPr>
        <w:t>11.</w:t>
      </w:r>
      <w:r w:rsidR="00F12BA3" w:rsidRPr="001E6E9D">
        <w:rPr>
          <w:lang w:eastAsia="pt-BR"/>
        </w:rPr>
        <w:t xml:space="preserve"> </w:t>
      </w:r>
      <w:r w:rsidRPr="001E6E9D">
        <w:rPr>
          <w:lang w:eastAsia="pt-BR"/>
        </w:rPr>
        <w:t>DOCUMENTOS OU INFORMAÇÕES INCORPORADOS AO PROSPECTO POR REFERÊNCIA OU COMO ANEXOS</w:t>
      </w:r>
      <w:bookmarkEnd w:id="282"/>
      <w:bookmarkEnd w:id="283"/>
      <w:bookmarkEnd w:id="284"/>
    </w:p>
    <w:p w14:paraId="065698D6" w14:textId="77777777" w:rsidR="003468A1" w:rsidRPr="001E6E9D" w:rsidRDefault="0053704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É imprescindível a leitura e análise dos seguintes documentos, conforme arquivados na CVM, incorporados a este Prospecto por referência ou como anexos: </w:t>
      </w:r>
    </w:p>
    <w:p w14:paraId="4331EAC9" w14:textId="77777777" w:rsidR="003468A1" w:rsidRPr="001E6E9D" w:rsidRDefault="0053704D" w:rsidP="00DC7081">
      <w:pPr>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Documentos incorporados a este Prospecto como anexos</w:t>
      </w:r>
    </w:p>
    <w:p w14:paraId="6D08FED4" w14:textId="77777777" w:rsidR="003468A1" w:rsidRPr="001E6E9D" w:rsidRDefault="0053704D" w:rsidP="00DC7081">
      <w:pPr>
        <w:ind w:left="1276" w:hanging="1276"/>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Anexo I</w:t>
      </w:r>
      <w:r w:rsidR="00F12BA3"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Estatuto social vigente da Emissora;</w:t>
      </w:r>
    </w:p>
    <w:p w14:paraId="0D24F4BE" w14:textId="29FAB133" w:rsidR="003468A1" w:rsidRPr="001E6E9D" w:rsidRDefault="0053704D" w:rsidP="00DC7081">
      <w:pPr>
        <w:ind w:left="1276" w:hanging="1276"/>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szCs w:val="20"/>
          <w:lang w:eastAsia="pt-BR"/>
        </w:rPr>
        <w:t>Anexo II</w:t>
      </w:r>
      <w:r w:rsidRPr="001E6E9D">
        <w:rPr>
          <w:rFonts w:asciiTheme="minorHAnsi" w:eastAsia="Times New Roman" w:hAnsiTheme="minorHAnsi" w:cstheme="minorHAnsi"/>
          <w:b/>
          <w:bCs/>
          <w:szCs w:val="20"/>
          <w:lang w:eastAsia="pt-BR"/>
        </w:rPr>
        <w:tab/>
      </w:r>
      <w:r w:rsidR="001146BA" w:rsidRPr="001E6E9D">
        <w:rPr>
          <w:rFonts w:asciiTheme="minorHAnsi" w:eastAsia="Times New Roman" w:hAnsiTheme="minorHAnsi" w:cstheme="minorHAnsi"/>
          <w:szCs w:val="20"/>
          <w:lang w:eastAsia="pt-BR"/>
        </w:rPr>
        <w:t xml:space="preserve">Ata da Aprovação Societária </w:t>
      </w:r>
      <w:r w:rsidR="009C213F" w:rsidRPr="001E6E9D">
        <w:rPr>
          <w:rFonts w:asciiTheme="minorHAnsi" w:eastAsia="Times New Roman" w:hAnsiTheme="minorHAnsi" w:cstheme="minorHAnsi"/>
          <w:szCs w:val="20"/>
          <w:lang w:eastAsia="pt-BR"/>
        </w:rPr>
        <w:t>da Emissora</w:t>
      </w:r>
      <w:r w:rsidRPr="001E6E9D">
        <w:rPr>
          <w:rFonts w:asciiTheme="minorHAnsi" w:eastAsia="Arial Unicode MS" w:hAnsiTheme="minorHAnsi" w:cstheme="minorHAnsi"/>
          <w:szCs w:val="20"/>
          <w:lang w:eastAsia="pt-BR"/>
        </w:rPr>
        <w:t>;</w:t>
      </w:r>
    </w:p>
    <w:p w14:paraId="5DCDDBE3" w14:textId="05A27708" w:rsidR="003468A1" w:rsidRPr="001E6E9D" w:rsidRDefault="0053704D" w:rsidP="00DC7081">
      <w:pPr>
        <w:ind w:left="1276"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III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Ata d</w:t>
      </w:r>
      <w:r w:rsidR="001146BA" w:rsidRPr="001E6E9D">
        <w:rPr>
          <w:rFonts w:asciiTheme="minorHAnsi" w:eastAsia="Times New Roman" w:hAnsiTheme="minorHAnsi" w:cstheme="minorHAnsi"/>
          <w:szCs w:val="20"/>
          <w:lang w:eastAsia="pt-BR"/>
        </w:rPr>
        <w:t>a</w:t>
      </w:r>
      <w:r w:rsidRPr="001E6E9D">
        <w:rPr>
          <w:rFonts w:asciiTheme="minorHAnsi" w:eastAsia="Times New Roman" w:hAnsiTheme="minorHAnsi" w:cstheme="minorHAnsi"/>
          <w:szCs w:val="20"/>
          <w:lang w:eastAsia="pt-BR"/>
        </w:rPr>
        <w:t xml:space="preserve"> Aprovaç</w:t>
      </w:r>
      <w:r w:rsidR="001146BA" w:rsidRPr="001E6E9D">
        <w:rPr>
          <w:rFonts w:asciiTheme="minorHAnsi" w:eastAsia="Times New Roman" w:hAnsiTheme="minorHAnsi" w:cstheme="minorHAnsi"/>
          <w:szCs w:val="20"/>
          <w:lang w:eastAsia="pt-BR"/>
        </w:rPr>
        <w:t>ão Societária</w:t>
      </w:r>
      <w:r w:rsidRPr="001E6E9D">
        <w:rPr>
          <w:rFonts w:asciiTheme="minorHAnsi" w:eastAsia="Times New Roman" w:hAnsiTheme="minorHAnsi" w:cstheme="minorHAnsi"/>
          <w:szCs w:val="20"/>
          <w:lang w:eastAsia="pt-BR"/>
        </w:rPr>
        <w:t xml:space="preserve"> </w:t>
      </w:r>
      <w:r w:rsidR="009C213F" w:rsidRPr="001E6E9D">
        <w:rPr>
          <w:rFonts w:asciiTheme="minorHAnsi" w:eastAsia="Times New Roman" w:hAnsiTheme="minorHAnsi" w:cstheme="minorHAnsi"/>
          <w:szCs w:val="20"/>
          <w:lang w:eastAsia="pt-BR"/>
        </w:rPr>
        <w:t>da FERP</w:t>
      </w:r>
      <w:r w:rsidRPr="001E6E9D">
        <w:rPr>
          <w:rFonts w:asciiTheme="minorHAnsi" w:eastAsia="Times New Roman" w:hAnsiTheme="minorHAnsi" w:cstheme="minorHAnsi"/>
          <w:szCs w:val="20"/>
          <w:lang w:eastAsia="pt-BR"/>
        </w:rPr>
        <w:t xml:space="preserve">; </w:t>
      </w:r>
    </w:p>
    <w:p w14:paraId="31FCDEE9" w14:textId="207D71F1" w:rsidR="001146BA" w:rsidRPr="001E6E9D" w:rsidRDefault="001146BA" w:rsidP="00DC7081">
      <w:pPr>
        <w:ind w:left="1276"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Anexo </w:t>
      </w:r>
      <w:r w:rsidR="00844348"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b/>
          <w:bCs/>
          <w:szCs w:val="20"/>
          <w:lang w:eastAsia="pt-BR"/>
        </w:rPr>
        <w:t>V</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Escritura de Emissão</w:t>
      </w:r>
      <w:r w:rsidR="00535777">
        <w:rPr>
          <w:rFonts w:asciiTheme="minorHAnsi" w:eastAsia="Times New Roman" w:hAnsiTheme="minorHAnsi" w:cstheme="minorHAnsi"/>
          <w:szCs w:val="20"/>
          <w:lang w:eastAsia="pt-BR"/>
        </w:rPr>
        <w:t xml:space="preserve"> e Primeiro Aditamento à Escritura de Emissão</w:t>
      </w:r>
      <w:r w:rsidRPr="001E6E9D">
        <w:rPr>
          <w:rFonts w:asciiTheme="minorHAnsi" w:eastAsia="Times New Roman" w:hAnsiTheme="minorHAnsi" w:cstheme="minorHAnsi"/>
          <w:szCs w:val="20"/>
          <w:lang w:eastAsia="pt-BR"/>
        </w:rPr>
        <w:t>;</w:t>
      </w:r>
    </w:p>
    <w:p w14:paraId="3D797C84" w14:textId="54107BAE" w:rsidR="003468A1" w:rsidRPr="001E6E9D" w:rsidRDefault="0053704D" w:rsidP="00DC7081">
      <w:pPr>
        <w:ind w:left="1276"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V</w:t>
      </w:r>
      <w:r w:rsidRPr="001E6E9D">
        <w:rPr>
          <w:rFonts w:asciiTheme="minorHAnsi" w:eastAsia="Times New Roman" w:hAnsiTheme="minorHAnsi" w:cstheme="minorHAnsi"/>
          <w:b/>
          <w:bCs/>
          <w:szCs w:val="20"/>
          <w:lang w:eastAsia="pt-BR"/>
        </w:rPr>
        <w:tab/>
      </w:r>
      <w:r w:rsidR="001146BA" w:rsidRPr="001E6E9D">
        <w:rPr>
          <w:rFonts w:asciiTheme="minorHAnsi" w:eastAsia="Times New Roman" w:hAnsiTheme="minorHAnsi" w:cstheme="minorHAnsi"/>
          <w:szCs w:val="20"/>
          <w:lang w:eastAsia="pt-BR"/>
        </w:rPr>
        <w:t>Contrato de Alienação Fiduciária de Ações e Quotas</w:t>
      </w:r>
      <w:r w:rsidRPr="001E6E9D">
        <w:rPr>
          <w:rFonts w:asciiTheme="minorHAnsi" w:eastAsia="Times New Roman" w:hAnsiTheme="minorHAnsi" w:cstheme="minorHAnsi"/>
          <w:szCs w:val="20"/>
          <w:lang w:eastAsia="pt-BR"/>
        </w:rPr>
        <w:t xml:space="preserve">; </w:t>
      </w:r>
    </w:p>
    <w:p w14:paraId="78AAA0C0" w14:textId="1765A412" w:rsidR="003468A1" w:rsidRPr="001E6E9D" w:rsidRDefault="0053704D" w:rsidP="00DC7081">
      <w:pPr>
        <w:ind w:left="1276"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V</w:t>
      </w:r>
      <w:r w:rsidR="00844348"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b/>
          <w:bCs/>
          <w:szCs w:val="20"/>
          <w:lang w:eastAsia="pt-BR"/>
        </w:rPr>
        <w:tab/>
      </w:r>
      <w:r w:rsidR="001146BA" w:rsidRPr="001E6E9D">
        <w:rPr>
          <w:rFonts w:asciiTheme="minorHAnsi" w:eastAsia="Times New Roman" w:hAnsiTheme="minorHAnsi" w:cstheme="minorHAnsi"/>
          <w:szCs w:val="20"/>
          <w:lang w:eastAsia="pt-BR"/>
        </w:rPr>
        <w:t>Contrato de Alienação Fiduciária de Equipamentos</w:t>
      </w:r>
      <w:r w:rsidRPr="001E6E9D">
        <w:rPr>
          <w:rFonts w:asciiTheme="minorHAnsi" w:eastAsia="Times New Roman" w:hAnsiTheme="minorHAnsi" w:cstheme="minorHAnsi"/>
          <w:szCs w:val="20"/>
          <w:lang w:eastAsia="pt-BR"/>
        </w:rPr>
        <w:t>;</w:t>
      </w:r>
    </w:p>
    <w:p w14:paraId="44E5ECEC" w14:textId="3154028F" w:rsidR="003468A1" w:rsidRPr="001E6E9D" w:rsidRDefault="0053704D" w:rsidP="00DC7081">
      <w:pPr>
        <w:ind w:left="1276"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VI</w:t>
      </w:r>
      <w:r w:rsidR="00844348"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b/>
          <w:bCs/>
          <w:szCs w:val="20"/>
          <w:lang w:eastAsia="pt-BR"/>
        </w:rPr>
        <w:tab/>
      </w:r>
      <w:r w:rsidR="001146BA" w:rsidRPr="001E6E9D">
        <w:rPr>
          <w:rFonts w:asciiTheme="minorHAnsi" w:eastAsia="Times New Roman" w:hAnsiTheme="minorHAnsi" w:cstheme="minorHAnsi"/>
          <w:szCs w:val="20"/>
          <w:lang w:eastAsia="pt-BR"/>
        </w:rPr>
        <w:t>Contrato de Cessão Fiduciária</w:t>
      </w:r>
      <w:r w:rsidRPr="001E6E9D">
        <w:rPr>
          <w:rFonts w:asciiTheme="minorHAnsi" w:eastAsia="Times New Roman" w:hAnsiTheme="minorHAnsi" w:cstheme="minorHAnsi"/>
          <w:szCs w:val="20"/>
          <w:lang w:eastAsia="pt-BR"/>
        </w:rPr>
        <w:t>;</w:t>
      </w:r>
    </w:p>
    <w:p w14:paraId="43BEE749" w14:textId="3A80C188" w:rsidR="003468A1" w:rsidRPr="001E6E9D" w:rsidRDefault="0053704D" w:rsidP="00DC7081">
      <w:pPr>
        <w:ind w:left="1276"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Anexo VI</w:t>
      </w:r>
      <w:r w:rsidR="00844348"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b/>
          <w:bCs/>
          <w:szCs w:val="20"/>
          <w:lang w:eastAsia="pt-BR"/>
        </w:rPr>
        <w:tab/>
      </w:r>
      <w:r w:rsidR="009D0AD5" w:rsidRPr="001E6E9D">
        <w:rPr>
          <w:rFonts w:asciiTheme="minorHAnsi" w:eastAsia="Times New Roman" w:hAnsiTheme="minorHAnsi" w:cstheme="minorHAnsi"/>
          <w:szCs w:val="20"/>
          <w:lang w:eastAsia="pt-BR"/>
        </w:rPr>
        <w:t xml:space="preserve">Demonstrações financeiras individuais e consolidadas da Emissora, relativas aos exercícios sociais findos em 31 de dezembro de 2023, 31 de dezembro de 2022, 31 de dezembro de 2021 e as demonstrações financeiras intermediárias </w:t>
      </w:r>
      <w:r w:rsidR="00DD5326">
        <w:rPr>
          <w:rFonts w:asciiTheme="minorHAnsi" w:eastAsia="Times New Roman" w:hAnsiTheme="minorHAnsi" w:cstheme="minorHAnsi"/>
          <w:szCs w:val="20"/>
          <w:lang w:eastAsia="pt-BR"/>
        </w:rPr>
        <w:t xml:space="preserve">revisadas </w:t>
      </w:r>
      <w:r w:rsidR="009D0AD5" w:rsidRPr="001E6E9D">
        <w:rPr>
          <w:rFonts w:asciiTheme="minorHAnsi" w:eastAsia="Times New Roman" w:hAnsiTheme="minorHAnsi" w:cstheme="minorHAnsi"/>
          <w:szCs w:val="20"/>
          <w:lang w:eastAsia="pt-BR"/>
        </w:rPr>
        <w:t>condensadas individuais e consolidadas, relativas aos períodos nove meses findos em 31 de setembro de 2024</w:t>
      </w:r>
      <w:r w:rsidRPr="001E6E9D">
        <w:rPr>
          <w:rFonts w:asciiTheme="minorHAnsi" w:eastAsia="Times New Roman" w:hAnsiTheme="minorHAnsi" w:cstheme="minorHAnsi"/>
          <w:szCs w:val="20"/>
          <w:lang w:eastAsia="pt-BR"/>
        </w:rPr>
        <w:t>;</w:t>
      </w:r>
    </w:p>
    <w:p w14:paraId="0DBBB549" w14:textId="459DCFE6" w:rsidR="003468A1" w:rsidRPr="001E6E9D" w:rsidRDefault="0053704D" w:rsidP="00DC7081">
      <w:pPr>
        <w:ind w:left="1276" w:hanging="1276"/>
        <w:rPr>
          <w:rFonts w:asciiTheme="minorHAnsi" w:eastAsia="Times New Roman" w:hAnsiTheme="minorHAnsi" w:cstheme="minorHAnsi"/>
          <w:szCs w:val="20"/>
          <w:lang w:eastAsia="pt-BR"/>
        </w:rPr>
      </w:pPr>
      <w:r w:rsidRPr="001E6E9D">
        <w:rPr>
          <w:rFonts w:asciiTheme="minorHAnsi" w:eastAsia="Times New Roman" w:hAnsiTheme="minorHAnsi" w:cstheme="minorHAnsi"/>
          <w:b/>
          <w:bCs/>
          <w:szCs w:val="20"/>
          <w:lang w:eastAsia="pt-BR"/>
        </w:rPr>
        <w:t xml:space="preserve">Anexo </w:t>
      </w:r>
      <w:r w:rsidR="00844348" w:rsidRPr="001E6E9D">
        <w:rPr>
          <w:rFonts w:asciiTheme="minorHAnsi" w:eastAsia="Times New Roman" w:hAnsiTheme="minorHAnsi" w:cstheme="minorHAnsi"/>
          <w:b/>
          <w:bCs/>
          <w:szCs w:val="20"/>
          <w:lang w:eastAsia="pt-BR"/>
        </w:rPr>
        <w:t>IX</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Formulário de Referência da Emissora;</w:t>
      </w:r>
    </w:p>
    <w:p w14:paraId="080F5633" w14:textId="182ED9E6" w:rsidR="0053704D" w:rsidRPr="001E6E9D" w:rsidRDefault="0053704D" w:rsidP="00DC7081">
      <w:pPr>
        <w:ind w:left="1276" w:hanging="1276"/>
        <w:rPr>
          <w:rFonts w:asciiTheme="minorHAnsi" w:eastAsiaTheme="majorEastAsia" w:hAnsiTheme="minorHAnsi" w:cstheme="minorHAnsi"/>
          <w:i/>
          <w:szCs w:val="20"/>
        </w:rPr>
      </w:pPr>
      <w:r w:rsidRPr="001E6E9D">
        <w:rPr>
          <w:rFonts w:asciiTheme="minorHAnsi" w:eastAsia="Times New Roman" w:hAnsiTheme="minorHAnsi" w:cstheme="minorHAnsi"/>
          <w:b/>
          <w:bCs/>
          <w:szCs w:val="20"/>
          <w:lang w:eastAsia="pt-BR"/>
        </w:rPr>
        <w:t>Anexo X</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szCs w:val="20"/>
          <w:lang w:eastAsia="pt-BR"/>
        </w:rPr>
        <w:t>Relatório de Classificação de Risco.</w:t>
      </w:r>
    </w:p>
    <w:p w14:paraId="4F6A8B70" w14:textId="77777777" w:rsidR="003468A1" w:rsidRPr="001E6E9D" w:rsidRDefault="0053704D" w:rsidP="00DC7081">
      <w:pPr>
        <w:pStyle w:val="Ttulo1"/>
        <w:rPr>
          <w:lang w:eastAsia="pt-BR"/>
        </w:rPr>
      </w:pPr>
      <w:bookmarkStart w:id="285" w:name="_Ref158845056"/>
      <w:bookmarkStart w:id="286" w:name="_Toc159073505"/>
      <w:bookmarkStart w:id="287" w:name="_Toc184129248"/>
      <w:r w:rsidRPr="001E6E9D">
        <w:rPr>
          <w:lang w:eastAsia="pt-BR"/>
        </w:rPr>
        <w:t>12.</w:t>
      </w:r>
      <w:r w:rsidR="00F12BA3" w:rsidRPr="001E6E9D">
        <w:rPr>
          <w:lang w:eastAsia="pt-BR"/>
        </w:rPr>
        <w:t xml:space="preserve"> </w:t>
      </w:r>
      <w:r w:rsidRPr="001E6E9D">
        <w:rPr>
          <w:lang w:eastAsia="pt-BR"/>
        </w:rPr>
        <w:t>IDENTIFICAÇÃO DAS PESSOAS ENVOLVIDAS</w:t>
      </w:r>
      <w:bookmarkEnd w:id="285"/>
      <w:bookmarkEnd w:id="286"/>
      <w:bookmarkEnd w:id="287"/>
    </w:p>
    <w:p w14:paraId="45742845" w14:textId="77777777" w:rsidR="003468A1" w:rsidRPr="001E6E9D" w:rsidRDefault="0053704D" w:rsidP="00DC7081">
      <w:pPr>
        <w:pStyle w:val="Ttulo2"/>
      </w:pPr>
      <w:bookmarkStart w:id="288" w:name="_Ref158845057"/>
      <w:bookmarkStart w:id="289" w:name="_Toc159073506"/>
      <w:bookmarkStart w:id="290" w:name="_Toc184129249"/>
      <w:r w:rsidRPr="001E6E9D">
        <w:t>12.1.</w:t>
      </w:r>
      <w:r w:rsidR="00F12BA3" w:rsidRPr="001E6E9D">
        <w:t xml:space="preserve"> </w:t>
      </w:r>
      <w:r w:rsidRPr="001E6E9D">
        <w:t>Denominação social, endereço comercial, endereço eletrônico e telefones de contato da Emissora</w:t>
      </w:r>
      <w:bookmarkEnd w:id="288"/>
      <w:bookmarkEnd w:id="289"/>
      <w:bookmarkEnd w:id="290"/>
      <w:r w:rsidRPr="001E6E9D">
        <w:t xml:space="preserve"> </w:t>
      </w:r>
    </w:p>
    <w:p w14:paraId="1439BE14" w14:textId="328D612D" w:rsidR="0053704D" w:rsidRPr="001E6E9D" w:rsidRDefault="000D5973" w:rsidP="00DC7081">
      <w:pPr>
        <w:tabs>
          <w:tab w:val="left" w:pos="450"/>
        </w:tabs>
        <w:textAlignment w:val="baseline"/>
        <w:rPr>
          <w:rFonts w:asciiTheme="minorHAnsi" w:eastAsia="Times New Roman" w:hAnsiTheme="minorHAnsi" w:cstheme="minorHAnsi"/>
          <w:b/>
          <w:caps/>
          <w:szCs w:val="20"/>
          <w:u w:val="single"/>
          <w:lang w:eastAsia="pt-BR"/>
        </w:rPr>
      </w:pPr>
      <w:r w:rsidRPr="001E6E9D">
        <w:rPr>
          <w:rFonts w:asciiTheme="minorHAnsi" w:eastAsia="Times New Roman" w:hAnsiTheme="minorHAnsi" w:cstheme="minorHAnsi"/>
          <w:b/>
          <w:caps/>
          <w:szCs w:val="20"/>
          <w:u w:val="single"/>
          <w:lang w:eastAsia="pt-BR"/>
        </w:rPr>
        <w:t>Emissora ou qualquer uma das SPEs ou das Acionistas</w:t>
      </w:r>
      <w:r w:rsidR="00065DBC" w:rsidRPr="001E6E9D">
        <w:rPr>
          <w:rFonts w:asciiTheme="minorHAnsi" w:eastAsia="Times New Roman" w:hAnsiTheme="minorHAnsi" w:cstheme="minorHAnsi"/>
          <w:b/>
          <w:caps/>
          <w:szCs w:val="20"/>
          <w:u w:val="single"/>
          <w:lang w:eastAsia="pt-BR"/>
        </w:rPr>
        <w:t xml:space="preserve"> </w:t>
      </w:r>
    </w:p>
    <w:p w14:paraId="063DC509" w14:textId="3A7B8C90" w:rsidR="0053704D" w:rsidRPr="001E6E9D" w:rsidRDefault="000D5973" w:rsidP="00DC7081">
      <w:pPr>
        <w:rPr>
          <w:rFonts w:asciiTheme="minorHAnsi" w:eastAsia="Times New Roman" w:hAnsiTheme="minorHAnsi" w:cstheme="minorHAnsi"/>
          <w:b/>
          <w:bCs/>
          <w:szCs w:val="20"/>
          <w:lang w:eastAsia="pt-BR"/>
        </w:rPr>
      </w:pPr>
      <w:bookmarkStart w:id="291" w:name="_DV_C395"/>
      <w:bookmarkStart w:id="292" w:name="_Hlk75348216"/>
      <w:r w:rsidRPr="001E6E9D">
        <w:rPr>
          <w:rFonts w:asciiTheme="minorHAnsi" w:eastAsia="Times New Roman" w:hAnsiTheme="minorHAnsi" w:cstheme="minorHAnsi"/>
          <w:b/>
          <w:bCs/>
          <w:szCs w:val="20"/>
          <w:lang w:eastAsia="pt-BR"/>
        </w:rPr>
        <w:t>FARO ENERGY PROJETOS SOLARES HOLDING IV S.A</w:t>
      </w:r>
      <w:r w:rsidR="0053704D" w:rsidRPr="001E6E9D">
        <w:rPr>
          <w:rFonts w:asciiTheme="minorHAnsi" w:eastAsia="Times New Roman" w:hAnsiTheme="minorHAnsi" w:cstheme="minorHAnsi"/>
          <w:b/>
          <w:bCs/>
          <w:szCs w:val="20"/>
          <w:lang w:eastAsia="pt-BR"/>
        </w:rPr>
        <w:t>.</w:t>
      </w:r>
      <w:bookmarkEnd w:id="291"/>
    </w:p>
    <w:p w14:paraId="4063D1FF" w14:textId="77777777" w:rsidR="000D5973" w:rsidRPr="001E6E9D" w:rsidRDefault="000D5973" w:rsidP="0034415F">
      <w:pPr>
        <w:contextualSpacing/>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Avenida das Nações Unidas, nº 11.541, 11º andar, Conjunto 112 </w:t>
      </w:r>
    </w:p>
    <w:p w14:paraId="507BF0AA" w14:textId="77777777" w:rsidR="000D5973" w:rsidRPr="001E6E9D" w:rsidRDefault="000D5973" w:rsidP="0034415F">
      <w:pPr>
        <w:contextualSpacing/>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CEP 04578-907, São Paulo, SP</w:t>
      </w:r>
    </w:p>
    <w:p w14:paraId="3DCC791B" w14:textId="77777777" w:rsidR="000D5973" w:rsidRPr="001E6E9D" w:rsidRDefault="000D5973" w:rsidP="0034415F">
      <w:pPr>
        <w:contextualSpacing/>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At.: Pedro Mateus e Raphael Roque</w:t>
      </w:r>
    </w:p>
    <w:p w14:paraId="684EE85B" w14:textId="77777777" w:rsidR="000D5973" w:rsidRPr="001E6E9D" w:rsidRDefault="000D5973" w:rsidP="0034415F">
      <w:pPr>
        <w:contextualSpacing/>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Telefone: 11 5093-6208 </w:t>
      </w:r>
    </w:p>
    <w:p w14:paraId="397BB81C" w14:textId="01F8302D" w:rsidR="000D5973" w:rsidRPr="001E6E9D" w:rsidRDefault="000D5973" w:rsidP="0034415F">
      <w:pPr>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szCs w:val="20"/>
          <w:lang w:eastAsia="pt-BR"/>
        </w:rPr>
        <w:t>E-mail: pedro.mateus@faroenergy.com e raphael.roque@faroenergy.com</w:t>
      </w:r>
    </w:p>
    <w:p w14:paraId="28D261A3" w14:textId="6FACD802" w:rsidR="003468A1" w:rsidRPr="001E6E9D" w:rsidRDefault="000D5973" w:rsidP="00DC7081">
      <w:pPr>
        <w:adjustRightInd w:val="0"/>
        <w:rPr>
          <w:rFonts w:asciiTheme="minorHAnsi" w:eastAsia="Times New Roman" w:hAnsiTheme="minorHAnsi" w:cstheme="minorHAnsi"/>
          <w:bCs/>
          <w:szCs w:val="20"/>
          <w:lang w:val="en-US" w:eastAsia="pt-BR"/>
        </w:rPr>
      </w:pPr>
      <w:r w:rsidRPr="001E6E9D">
        <w:rPr>
          <w:rFonts w:asciiTheme="minorHAnsi" w:eastAsia="Times New Roman" w:hAnsiTheme="minorHAnsi" w:cstheme="minorHAnsi"/>
          <w:bCs/>
          <w:i/>
          <w:szCs w:val="20"/>
          <w:lang w:val="en-US" w:eastAsia="pt-BR"/>
        </w:rPr>
        <w:t>Website</w:t>
      </w:r>
      <w:r w:rsidRPr="001E6E9D">
        <w:rPr>
          <w:rFonts w:asciiTheme="minorHAnsi" w:eastAsia="Times New Roman" w:hAnsiTheme="minorHAnsi" w:cstheme="minorHAnsi"/>
          <w:bCs/>
          <w:szCs w:val="20"/>
          <w:lang w:val="en-US" w:eastAsia="pt-BR"/>
        </w:rPr>
        <w:t>:</w:t>
      </w:r>
      <w:r w:rsidRPr="001E6E9D">
        <w:rPr>
          <w:rFonts w:asciiTheme="minorHAnsi" w:eastAsia="Times New Roman" w:hAnsiTheme="minorHAnsi" w:cstheme="minorHAnsi"/>
          <w:b/>
          <w:szCs w:val="20"/>
          <w:lang w:val="en-US" w:eastAsia="pt-BR"/>
        </w:rPr>
        <w:t xml:space="preserve"> </w:t>
      </w:r>
      <w:r w:rsidR="008112E6" w:rsidRPr="001E6E9D">
        <w:rPr>
          <w:rFonts w:asciiTheme="minorHAnsi" w:eastAsia="Times New Roman" w:hAnsiTheme="minorHAnsi" w:cstheme="minorHAnsi"/>
          <w:b/>
          <w:szCs w:val="20"/>
          <w:lang w:val="en-US" w:eastAsia="pt-BR"/>
        </w:rPr>
        <w:t>https://faroenergy.com/debentureincentivada/</w:t>
      </w:r>
      <w:r w:rsidR="008112E6" w:rsidRPr="001E6E9D" w:rsidDel="008112E6">
        <w:rPr>
          <w:rFonts w:asciiTheme="minorHAnsi" w:eastAsia="Times New Roman" w:hAnsiTheme="minorHAnsi" w:cstheme="minorHAnsi"/>
          <w:b/>
          <w:szCs w:val="20"/>
          <w:lang w:val="en-US" w:eastAsia="pt-BR"/>
        </w:rPr>
        <w:t xml:space="preserve"> </w:t>
      </w:r>
      <w:bookmarkEnd w:id="292"/>
    </w:p>
    <w:p w14:paraId="5DC3127E" w14:textId="48A7BFF7" w:rsidR="003468A1" w:rsidRPr="001E6E9D" w:rsidRDefault="0053704D" w:rsidP="00DC7081">
      <w:pPr>
        <w:pStyle w:val="Ttulo2"/>
        <w:rPr>
          <w:u w:val="single"/>
        </w:rPr>
      </w:pPr>
      <w:bookmarkStart w:id="293" w:name="_DV_M628"/>
      <w:bookmarkStart w:id="294" w:name="_DV_M629"/>
      <w:bookmarkStart w:id="295" w:name="_DV_M630"/>
      <w:bookmarkStart w:id="296" w:name="_Ref158845058"/>
      <w:bookmarkStart w:id="297" w:name="_Toc159073507"/>
      <w:bookmarkStart w:id="298" w:name="_Toc184129250"/>
      <w:bookmarkEnd w:id="293"/>
      <w:bookmarkEnd w:id="294"/>
      <w:bookmarkEnd w:id="295"/>
      <w:r w:rsidRPr="001E6E9D">
        <w:t>12.</w:t>
      </w:r>
      <w:r w:rsidR="002302DF" w:rsidRPr="001E6E9D">
        <w:t>2</w:t>
      </w:r>
      <w:r w:rsidRPr="001E6E9D">
        <w:t>. Nome, endereço comercial, endereço eletrônico e telefones de contato dos administradores que podem prestar esclarecimentos sobre a Oferta</w:t>
      </w:r>
      <w:bookmarkEnd w:id="296"/>
      <w:bookmarkEnd w:id="297"/>
      <w:bookmarkEnd w:id="298"/>
    </w:p>
    <w:p w14:paraId="1FA95221" w14:textId="77777777" w:rsidR="0053704D" w:rsidRPr="001E6E9D" w:rsidRDefault="0053704D" w:rsidP="00DC7081">
      <w:pPr>
        <w:adjustRightInd w:val="0"/>
        <w:rPr>
          <w:rFonts w:asciiTheme="minorHAnsi" w:eastAsia="Times New Roman" w:hAnsiTheme="minorHAnsi" w:cstheme="minorHAnsi"/>
          <w:b/>
          <w:i/>
          <w:iCs/>
          <w:szCs w:val="20"/>
          <w:lang w:eastAsia="pt-BR"/>
        </w:rPr>
      </w:pPr>
      <w:r w:rsidRPr="001E6E9D">
        <w:rPr>
          <w:rFonts w:asciiTheme="minorHAnsi" w:eastAsia="Times New Roman" w:hAnsiTheme="minorHAnsi" w:cstheme="minorHAnsi"/>
          <w:b/>
          <w:szCs w:val="20"/>
          <w:u w:val="single"/>
          <w:lang w:eastAsia="pt-BR"/>
        </w:rPr>
        <w:t>COORDENADORES</w:t>
      </w:r>
    </w:p>
    <w:p w14:paraId="3DC0827F" w14:textId="719B452F" w:rsidR="0053704D" w:rsidRPr="001E6E9D" w:rsidRDefault="000D5973" w:rsidP="00DC7081">
      <w:pPr>
        <w:adjustRightInd w:val="0"/>
        <w:rPr>
          <w:rFonts w:asciiTheme="minorHAnsi" w:eastAsia="Times New Roman" w:hAnsiTheme="minorHAnsi" w:cstheme="minorHAnsi"/>
          <w:b/>
          <w:szCs w:val="20"/>
          <w:lang w:eastAsia="pt-BR"/>
        </w:rPr>
      </w:pPr>
      <w:r w:rsidRPr="001E6E9D">
        <w:rPr>
          <w:rFonts w:asciiTheme="minorHAnsi" w:eastAsia="Times New Roman" w:hAnsiTheme="minorHAnsi" w:cstheme="minorHAnsi"/>
          <w:b/>
          <w:szCs w:val="20"/>
          <w:lang w:eastAsia="pt-BR"/>
        </w:rPr>
        <w:t>ITAÚ BBA ASSESSORIA FINANCEIRA</w:t>
      </w:r>
      <w:r w:rsidR="0053704D" w:rsidRPr="001E6E9D">
        <w:rPr>
          <w:rFonts w:asciiTheme="minorHAnsi" w:eastAsia="Times New Roman" w:hAnsiTheme="minorHAnsi" w:cstheme="minorHAnsi"/>
          <w:b/>
          <w:szCs w:val="20"/>
          <w:lang w:eastAsia="pt-BR"/>
        </w:rPr>
        <w:t xml:space="preserve"> S.A. </w:t>
      </w:r>
    </w:p>
    <w:p w14:paraId="353C8AC1" w14:textId="11C2DDCE" w:rsidR="000D5973" w:rsidRPr="001E6E9D" w:rsidRDefault="000D5973"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Avenida Brigadeiro Faria Lima nº 3.500, 1º, 2º, 3º (Parte), 4º e 5º </w:t>
      </w:r>
      <w:r w:rsidR="00CB4624" w:rsidRPr="001E6E9D">
        <w:rPr>
          <w:rFonts w:asciiTheme="minorHAnsi" w:eastAsia="Times New Roman" w:hAnsiTheme="minorHAnsi" w:cstheme="minorHAnsi"/>
          <w:bCs/>
          <w:szCs w:val="20"/>
          <w:lang w:eastAsia="pt-BR"/>
        </w:rPr>
        <w:t>a</w:t>
      </w:r>
      <w:r w:rsidRPr="001E6E9D">
        <w:rPr>
          <w:rFonts w:asciiTheme="minorHAnsi" w:eastAsia="Times New Roman" w:hAnsiTheme="minorHAnsi" w:cstheme="minorHAnsi"/>
          <w:bCs/>
          <w:szCs w:val="20"/>
          <w:lang w:eastAsia="pt-BR"/>
        </w:rPr>
        <w:t>ndares</w:t>
      </w:r>
    </w:p>
    <w:p w14:paraId="6EA3E733" w14:textId="77777777" w:rsidR="000D5973" w:rsidRPr="001E6E9D" w:rsidRDefault="000D5973"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São Paulo/SP, CEP 04.538-132</w:t>
      </w:r>
    </w:p>
    <w:p w14:paraId="16B8B45E" w14:textId="77777777" w:rsidR="00D83F18" w:rsidRPr="001E6E9D" w:rsidRDefault="00D83F18"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At.: Caio Viggiano, Leopoldo Montero</w:t>
      </w:r>
    </w:p>
    <w:p w14:paraId="46EC4753" w14:textId="77777777" w:rsidR="00D83F18" w:rsidRPr="001E6E9D" w:rsidRDefault="00D83F18"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Tel.: (11) 98473-3407; (11) 99268-0739</w:t>
      </w:r>
    </w:p>
    <w:p w14:paraId="1B39CA3A" w14:textId="58063FF4" w:rsidR="00473704" w:rsidRPr="001E6E9D" w:rsidRDefault="00D83F18" w:rsidP="00DC7081">
      <w:pPr>
        <w:adjustRightInd w:val="0"/>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E-mail: caio.viggiano@itaubba.com; leopoldo.montero@itaubba.com ; ibba-fixedincomemiddlemarket@itau-unibanco.com.br</w:t>
      </w:r>
      <w:r w:rsidR="000D5973" w:rsidRPr="001E6E9D">
        <w:rPr>
          <w:rFonts w:asciiTheme="minorHAnsi" w:eastAsia="Times New Roman" w:hAnsiTheme="minorHAnsi" w:cstheme="minorHAnsi"/>
          <w:bCs/>
          <w:i/>
          <w:szCs w:val="20"/>
          <w:lang w:eastAsia="pt-BR"/>
        </w:rPr>
        <w:t>Website</w:t>
      </w:r>
      <w:r w:rsidR="000D5973" w:rsidRPr="001E6E9D">
        <w:rPr>
          <w:rFonts w:asciiTheme="minorHAnsi" w:eastAsia="Times New Roman" w:hAnsiTheme="minorHAnsi" w:cstheme="minorHAnsi"/>
          <w:bCs/>
          <w:szCs w:val="20"/>
          <w:lang w:eastAsia="pt-BR"/>
        </w:rPr>
        <w:t>:</w:t>
      </w:r>
      <w:r w:rsidR="000D5973" w:rsidRPr="001E6E9D">
        <w:rPr>
          <w:rFonts w:asciiTheme="minorHAnsi" w:eastAsia="Times New Roman" w:hAnsiTheme="minorHAnsi" w:cstheme="minorHAnsi"/>
          <w:b/>
          <w:szCs w:val="20"/>
          <w:lang w:eastAsia="pt-BR"/>
        </w:rPr>
        <w:t xml:space="preserve"> </w:t>
      </w:r>
      <w:r w:rsidRPr="001E6E9D">
        <w:rPr>
          <w:rFonts w:asciiTheme="minorHAnsi" w:eastAsia="Times New Roman" w:hAnsiTheme="minorHAnsi" w:cstheme="minorHAnsi"/>
          <w:noProof/>
          <w:szCs w:val="20"/>
        </w:rPr>
        <w:t xml:space="preserve">https://www.itau.com.br/itaubba-pt/nossos-negocios/ofertas-publicas/ </w:t>
      </w:r>
    </w:p>
    <w:p w14:paraId="69984219" w14:textId="3200676E" w:rsidR="0053704D" w:rsidRPr="001E6E9D" w:rsidRDefault="000D5973" w:rsidP="00DC7081">
      <w:pPr>
        <w:adjustRightInd w:val="0"/>
        <w:rPr>
          <w:rFonts w:asciiTheme="minorHAnsi" w:eastAsia="Times New Roman" w:hAnsiTheme="minorHAnsi" w:cstheme="minorHAnsi"/>
          <w:b/>
          <w:szCs w:val="20"/>
          <w:lang w:val="en-US" w:eastAsia="pt-BR"/>
        </w:rPr>
      </w:pPr>
      <w:r w:rsidRPr="001E6E9D">
        <w:rPr>
          <w:rFonts w:asciiTheme="minorHAnsi" w:eastAsia="Times New Roman" w:hAnsiTheme="minorHAnsi" w:cstheme="minorHAnsi"/>
          <w:b/>
          <w:szCs w:val="20"/>
          <w:lang w:val="en-US" w:eastAsia="pt-BR"/>
        </w:rPr>
        <w:t>BTG PACTUAL INVESTMENT BANKING LTDA</w:t>
      </w:r>
      <w:r w:rsidR="0053704D" w:rsidRPr="001E6E9D">
        <w:rPr>
          <w:rFonts w:asciiTheme="minorHAnsi" w:eastAsia="Times New Roman" w:hAnsiTheme="minorHAnsi" w:cstheme="minorHAnsi"/>
          <w:b/>
          <w:szCs w:val="20"/>
          <w:lang w:val="en-US" w:eastAsia="pt-BR"/>
        </w:rPr>
        <w:t>.</w:t>
      </w:r>
    </w:p>
    <w:p w14:paraId="3B93BA1D" w14:textId="7BC3F289" w:rsidR="000D5973" w:rsidRPr="001E6E9D" w:rsidRDefault="000D5973"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Avenida Brigadeiro Faria Lima, nº 3</w:t>
      </w:r>
      <w:r w:rsidR="00CB4624" w:rsidRPr="001E6E9D">
        <w:rPr>
          <w:rFonts w:asciiTheme="minorHAnsi" w:eastAsia="Times New Roman" w:hAnsiTheme="minorHAnsi" w:cstheme="minorHAnsi"/>
          <w:bCs/>
          <w:szCs w:val="20"/>
          <w:lang w:eastAsia="pt-BR"/>
        </w:rPr>
        <w:t>.</w:t>
      </w:r>
      <w:r w:rsidRPr="001E6E9D">
        <w:rPr>
          <w:rFonts w:asciiTheme="minorHAnsi" w:eastAsia="Times New Roman" w:hAnsiTheme="minorHAnsi" w:cstheme="minorHAnsi"/>
          <w:bCs/>
          <w:szCs w:val="20"/>
          <w:lang w:eastAsia="pt-BR"/>
        </w:rPr>
        <w:t>477 – 12º andar.</w:t>
      </w:r>
    </w:p>
    <w:p w14:paraId="2D57CEB7" w14:textId="77777777" w:rsidR="000D5973" w:rsidRPr="001E6E9D" w:rsidRDefault="000D5973"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04538-133 - São Paulo - SP</w:t>
      </w:r>
    </w:p>
    <w:p w14:paraId="1CA216B4" w14:textId="77777777" w:rsidR="000D5973" w:rsidRPr="001E6E9D" w:rsidRDefault="000D5973"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Att.: Daniel Vaz / Departamento Jurídico</w:t>
      </w:r>
    </w:p>
    <w:p w14:paraId="7C800F53" w14:textId="22C40256" w:rsidR="000D5973" w:rsidRPr="001E6E9D" w:rsidRDefault="000D5973"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e-mail: daniel.vaz@btgpactual.com / ol-legal-ofertas@btgpactual.com</w:t>
      </w:r>
      <w:r w:rsidRPr="001E6E9D" w:rsidDel="000D5973">
        <w:rPr>
          <w:rFonts w:asciiTheme="minorHAnsi" w:eastAsia="Times New Roman" w:hAnsiTheme="minorHAnsi" w:cstheme="minorHAnsi"/>
          <w:bCs/>
          <w:szCs w:val="20"/>
          <w:lang w:eastAsia="pt-BR"/>
        </w:rPr>
        <w:t xml:space="preserve"> </w:t>
      </w:r>
    </w:p>
    <w:p w14:paraId="3C2D8323" w14:textId="60588D4A" w:rsidR="003468A1" w:rsidRPr="001E6E9D" w:rsidRDefault="000D5973" w:rsidP="00DC7081">
      <w:pPr>
        <w:adjustRightInd w:val="0"/>
        <w:rPr>
          <w:rFonts w:asciiTheme="minorHAnsi" w:eastAsia="Times New Roman" w:hAnsiTheme="minorHAnsi" w:cstheme="minorHAnsi"/>
          <w:b/>
          <w:szCs w:val="20"/>
          <w:lang w:val="en-US" w:eastAsia="pt-BR"/>
        </w:rPr>
      </w:pPr>
      <w:r w:rsidRPr="001E6E9D">
        <w:rPr>
          <w:rFonts w:asciiTheme="minorHAnsi" w:eastAsia="Times New Roman" w:hAnsiTheme="minorHAnsi" w:cstheme="minorHAnsi"/>
          <w:bCs/>
          <w:i/>
          <w:szCs w:val="20"/>
          <w:lang w:val="en-US" w:eastAsia="pt-BR"/>
        </w:rPr>
        <w:t>Website</w:t>
      </w:r>
      <w:r w:rsidRPr="001E6E9D">
        <w:rPr>
          <w:rFonts w:asciiTheme="minorHAnsi" w:eastAsia="Times New Roman" w:hAnsiTheme="minorHAnsi" w:cstheme="minorHAnsi"/>
          <w:bCs/>
          <w:szCs w:val="20"/>
          <w:lang w:val="en-US" w:eastAsia="pt-BR"/>
        </w:rPr>
        <w:t>:</w:t>
      </w:r>
      <w:r w:rsidRPr="001E6E9D">
        <w:rPr>
          <w:rFonts w:asciiTheme="minorHAnsi" w:eastAsia="Times New Roman" w:hAnsiTheme="minorHAnsi" w:cstheme="minorHAnsi"/>
          <w:b/>
          <w:szCs w:val="20"/>
          <w:lang w:val="en-US" w:eastAsia="pt-BR"/>
        </w:rPr>
        <w:t xml:space="preserve"> </w:t>
      </w:r>
      <w:r w:rsidR="00D83F18" w:rsidRPr="001E6E9D">
        <w:rPr>
          <w:rFonts w:asciiTheme="minorHAnsi" w:eastAsia="Times New Roman" w:hAnsiTheme="minorHAnsi" w:cstheme="minorHAnsi"/>
          <w:noProof/>
          <w:szCs w:val="20"/>
          <w:lang w:val="en-US"/>
        </w:rPr>
        <w:t>https://www.btgpactual.com/investment-banking</w:t>
      </w:r>
    </w:p>
    <w:p w14:paraId="06AA8024" w14:textId="47A65422" w:rsidR="003468A1" w:rsidRPr="001E6E9D" w:rsidRDefault="0053704D" w:rsidP="00DC7081">
      <w:pPr>
        <w:pStyle w:val="Ttulo2"/>
        <w:spacing w:after="160"/>
      </w:pPr>
      <w:bookmarkStart w:id="299" w:name="_Ref158845059"/>
      <w:bookmarkStart w:id="300" w:name="_Toc159073508"/>
      <w:bookmarkStart w:id="301" w:name="_Toc184129251"/>
      <w:r w:rsidRPr="001E6E9D">
        <w:t>12.</w:t>
      </w:r>
      <w:r w:rsidR="002302DF" w:rsidRPr="001E6E9D">
        <w:t>3</w:t>
      </w:r>
      <w:r w:rsidRPr="001E6E9D">
        <w:t>.</w:t>
      </w:r>
      <w:r w:rsidR="00F12BA3" w:rsidRPr="001E6E9D">
        <w:t xml:space="preserve"> </w:t>
      </w:r>
      <w:r w:rsidRPr="001E6E9D">
        <w:t>Nome, endereço comercial, endereço eletrônico e telefones dos assessores (financeiros, jurídicos etc.) envolvidos na Oferta e responsáveis por fatos ou documentos citados no Prospecto</w:t>
      </w:r>
      <w:bookmarkEnd w:id="299"/>
      <w:bookmarkEnd w:id="300"/>
      <w:bookmarkEnd w:id="301"/>
    </w:p>
    <w:p w14:paraId="5602A883" w14:textId="77777777" w:rsidR="0053704D" w:rsidRPr="001E6E9D" w:rsidRDefault="0053704D" w:rsidP="00DC7081">
      <w:pPr>
        <w:tabs>
          <w:tab w:val="left" w:pos="450"/>
        </w:tabs>
        <w:spacing w:after="160"/>
        <w:textAlignment w:val="baseline"/>
        <w:rPr>
          <w:rFonts w:asciiTheme="minorHAnsi" w:eastAsia="Times New Roman" w:hAnsiTheme="minorHAnsi" w:cstheme="minorHAnsi"/>
          <w:b/>
          <w:szCs w:val="20"/>
          <w:u w:val="single"/>
          <w:lang w:eastAsia="pt-BR"/>
        </w:rPr>
      </w:pPr>
      <w:r w:rsidRPr="001E6E9D">
        <w:rPr>
          <w:rFonts w:asciiTheme="minorHAnsi" w:eastAsia="Times New Roman" w:hAnsiTheme="minorHAnsi" w:cstheme="minorHAnsi"/>
          <w:b/>
          <w:szCs w:val="20"/>
          <w:u w:val="single"/>
          <w:lang w:eastAsia="pt-BR"/>
        </w:rPr>
        <w:t>ASSESSOR JURÍDICO DA EMISSORA</w:t>
      </w:r>
    </w:p>
    <w:p w14:paraId="4FDCD1B1" w14:textId="23CC2415" w:rsidR="00717816" w:rsidRPr="001E6E9D" w:rsidRDefault="008112E6" w:rsidP="00DC7081">
      <w:pPr>
        <w:adjustRightInd w:val="0"/>
        <w:spacing w:after="160"/>
        <w:rPr>
          <w:rFonts w:asciiTheme="minorHAnsi" w:eastAsia="Times New Roman" w:hAnsiTheme="minorHAnsi" w:cstheme="minorHAnsi"/>
          <w:bCs/>
          <w:szCs w:val="20"/>
          <w:lang w:eastAsia="pt-BR"/>
        </w:rPr>
      </w:pPr>
      <w:r w:rsidRPr="001E6E9D">
        <w:rPr>
          <w:rFonts w:asciiTheme="minorHAnsi" w:eastAsia="Times New Roman" w:hAnsiTheme="minorHAnsi" w:cstheme="minorHAnsi"/>
          <w:b/>
          <w:szCs w:val="20"/>
          <w:lang w:eastAsia="pt-BR"/>
        </w:rPr>
        <w:t>SOUTO CORREA ADVOGADOS</w:t>
      </w:r>
    </w:p>
    <w:p w14:paraId="3D287A16" w14:textId="113C5767" w:rsidR="008112E6" w:rsidRPr="001E6E9D" w:rsidRDefault="008112E6" w:rsidP="0034415F">
      <w:pPr>
        <w:adjustRightInd w:val="0"/>
        <w:spacing w:after="16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Avenida Presidente Juscelino Kubitschek, </w:t>
      </w:r>
      <w:r w:rsidR="00CB4624" w:rsidRPr="001E6E9D">
        <w:rPr>
          <w:rFonts w:asciiTheme="minorHAnsi" w:eastAsia="Times New Roman" w:hAnsiTheme="minorHAnsi" w:cstheme="minorHAnsi"/>
          <w:bCs/>
          <w:szCs w:val="20"/>
          <w:lang w:eastAsia="pt-BR"/>
        </w:rPr>
        <w:t xml:space="preserve">nº </w:t>
      </w:r>
      <w:r w:rsidRPr="001E6E9D">
        <w:rPr>
          <w:rFonts w:asciiTheme="minorHAnsi" w:eastAsia="Times New Roman" w:hAnsiTheme="minorHAnsi" w:cstheme="minorHAnsi"/>
          <w:bCs/>
          <w:szCs w:val="20"/>
          <w:lang w:eastAsia="pt-BR"/>
        </w:rPr>
        <w:t>2</w:t>
      </w:r>
      <w:r w:rsidR="00CB4624" w:rsidRPr="001E6E9D">
        <w:rPr>
          <w:rFonts w:asciiTheme="minorHAnsi" w:eastAsia="Times New Roman" w:hAnsiTheme="minorHAnsi" w:cstheme="minorHAnsi"/>
          <w:bCs/>
          <w:szCs w:val="20"/>
          <w:lang w:eastAsia="pt-BR"/>
        </w:rPr>
        <w:t>.</w:t>
      </w:r>
      <w:r w:rsidRPr="001E6E9D">
        <w:rPr>
          <w:rFonts w:asciiTheme="minorHAnsi" w:eastAsia="Times New Roman" w:hAnsiTheme="minorHAnsi" w:cstheme="minorHAnsi"/>
          <w:bCs/>
          <w:szCs w:val="20"/>
          <w:lang w:eastAsia="pt-BR"/>
        </w:rPr>
        <w:t>041, torre D, 8º andar</w:t>
      </w:r>
    </w:p>
    <w:p w14:paraId="7C2A5A47" w14:textId="4E370729" w:rsidR="00717816" w:rsidRPr="001E6E9D" w:rsidRDefault="00717816" w:rsidP="0034415F">
      <w:pPr>
        <w:adjustRightInd w:val="0"/>
        <w:spacing w:after="16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São Paulo/SP, CEP </w:t>
      </w:r>
      <w:r w:rsidR="008112E6" w:rsidRPr="001E6E9D">
        <w:rPr>
          <w:rFonts w:asciiTheme="minorHAnsi" w:eastAsia="Times New Roman" w:hAnsiTheme="minorHAnsi" w:cstheme="minorHAnsi"/>
          <w:bCs/>
          <w:szCs w:val="20"/>
          <w:lang w:eastAsia="pt-BR"/>
        </w:rPr>
        <w:t>04543-011</w:t>
      </w:r>
    </w:p>
    <w:p w14:paraId="7FD65BFC" w14:textId="23472756" w:rsidR="00717816" w:rsidRPr="001E6E9D" w:rsidRDefault="00717816" w:rsidP="0034415F">
      <w:pPr>
        <w:adjustRightInd w:val="0"/>
        <w:spacing w:after="16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At.: </w:t>
      </w:r>
      <w:r w:rsidR="008112E6" w:rsidRPr="001E6E9D">
        <w:rPr>
          <w:rFonts w:asciiTheme="minorHAnsi" w:eastAsia="Times New Roman" w:hAnsiTheme="minorHAnsi" w:cstheme="minorHAnsi"/>
          <w:bCs/>
          <w:szCs w:val="20"/>
          <w:lang w:eastAsia="pt-BR"/>
        </w:rPr>
        <w:t>Mariana Guenka</w:t>
      </w:r>
    </w:p>
    <w:p w14:paraId="5D93DF09" w14:textId="2F2AEA99" w:rsidR="00717816" w:rsidRPr="001E6E9D" w:rsidRDefault="00717816" w:rsidP="0034415F">
      <w:pPr>
        <w:adjustRightInd w:val="0"/>
        <w:spacing w:after="16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Telefone: </w:t>
      </w:r>
      <w:r w:rsidR="008112E6" w:rsidRPr="001E6E9D">
        <w:rPr>
          <w:rFonts w:asciiTheme="minorHAnsi" w:eastAsia="Times New Roman" w:hAnsiTheme="minorHAnsi" w:cstheme="minorHAnsi"/>
          <w:bCs/>
          <w:szCs w:val="20"/>
          <w:lang w:eastAsia="pt-BR"/>
        </w:rPr>
        <w:t>(11) 3530 8400</w:t>
      </w:r>
      <w:r w:rsidR="008112E6" w:rsidRPr="001E6E9D" w:rsidDel="008112E6">
        <w:rPr>
          <w:rFonts w:asciiTheme="minorHAnsi" w:eastAsia="Times New Roman" w:hAnsiTheme="minorHAnsi" w:cstheme="minorHAnsi"/>
          <w:bCs/>
          <w:szCs w:val="20"/>
          <w:lang w:eastAsia="pt-BR"/>
        </w:rPr>
        <w:t xml:space="preserve"> </w:t>
      </w:r>
    </w:p>
    <w:p w14:paraId="0CE04C4A" w14:textId="08D7564E" w:rsidR="00717816" w:rsidRPr="001E6E9D" w:rsidRDefault="00717816" w:rsidP="0034415F">
      <w:pPr>
        <w:adjustRightInd w:val="0"/>
        <w:spacing w:after="16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E-mail: </w:t>
      </w:r>
      <w:r w:rsidR="008112E6" w:rsidRPr="001E6E9D">
        <w:rPr>
          <w:rFonts w:asciiTheme="minorHAnsi" w:eastAsia="Times New Roman" w:hAnsiTheme="minorHAnsi" w:cstheme="minorHAnsi"/>
          <w:bCs/>
          <w:szCs w:val="20"/>
          <w:lang w:eastAsia="pt-BR"/>
        </w:rPr>
        <w:t>mariana.guenka@soutocorrea.com.br</w:t>
      </w:r>
    </w:p>
    <w:p w14:paraId="37B74DB1" w14:textId="2266EA58" w:rsidR="00065DBC" w:rsidRPr="001E6E9D" w:rsidRDefault="00717816" w:rsidP="00DC7081">
      <w:pPr>
        <w:adjustRightInd w:val="0"/>
        <w:rPr>
          <w:rFonts w:asciiTheme="minorHAnsi" w:eastAsia="Times New Roman" w:hAnsiTheme="minorHAnsi" w:cstheme="minorHAnsi"/>
          <w:bCs/>
          <w:szCs w:val="20"/>
          <w:lang w:val="en-US" w:eastAsia="pt-BR"/>
        </w:rPr>
      </w:pPr>
      <w:r w:rsidRPr="001E6E9D">
        <w:rPr>
          <w:rFonts w:asciiTheme="minorHAnsi" w:eastAsia="Times New Roman" w:hAnsiTheme="minorHAnsi" w:cstheme="minorHAnsi"/>
          <w:bCs/>
          <w:i/>
          <w:szCs w:val="20"/>
          <w:lang w:val="en-US" w:eastAsia="pt-BR"/>
        </w:rPr>
        <w:t>Website</w:t>
      </w:r>
      <w:r w:rsidRPr="001E6E9D">
        <w:rPr>
          <w:rFonts w:asciiTheme="minorHAnsi" w:eastAsia="Times New Roman" w:hAnsiTheme="minorHAnsi" w:cstheme="minorHAnsi"/>
          <w:bCs/>
          <w:szCs w:val="20"/>
          <w:lang w:val="en-US" w:eastAsia="pt-BR"/>
        </w:rPr>
        <w:t>:</w:t>
      </w:r>
      <w:r w:rsidRPr="001E6E9D">
        <w:rPr>
          <w:rFonts w:asciiTheme="minorHAnsi" w:eastAsia="Times New Roman" w:hAnsiTheme="minorHAnsi" w:cstheme="minorHAnsi"/>
          <w:b/>
          <w:szCs w:val="20"/>
          <w:lang w:val="en-US" w:eastAsia="pt-BR"/>
        </w:rPr>
        <w:t xml:space="preserve"> </w:t>
      </w:r>
      <w:r w:rsidR="008112E6" w:rsidRPr="001E6E9D">
        <w:rPr>
          <w:rFonts w:asciiTheme="minorHAnsi" w:eastAsia="Times New Roman" w:hAnsiTheme="minorHAnsi" w:cstheme="minorHAnsi"/>
          <w:bCs/>
          <w:szCs w:val="20"/>
          <w:lang w:val="en-US" w:eastAsia="pt-BR"/>
        </w:rPr>
        <w:t>https://www.soutocorrea.com.br/</w:t>
      </w:r>
    </w:p>
    <w:p w14:paraId="2E4563AD" w14:textId="592D3E2E" w:rsidR="0053704D" w:rsidRPr="001E6E9D" w:rsidRDefault="0053704D" w:rsidP="00DC7081">
      <w:pPr>
        <w:tabs>
          <w:tab w:val="left" w:pos="450"/>
        </w:tabs>
        <w:textAlignment w:val="baseline"/>
        <w:rPr>
          <w:rFonts w:asciiTheme="minorHAnsi" w:eastAsia="Times New Roman" w:hAnsiTheme="minorHAnsi" w:cstheme="minorHAnsi"/>
          <w:b/>
          <w:szCs w:val="20"/>
          <w:u w:val="single"/>
          <w:lang w:eastAsia="pt-BR"/>
        </w:rPr>
      </w:pPr>
      <w:r w:rsidRPr="001E6E9D">
        <w:rPr>
          <w:rFonts w:asciiTheme="minorHAnsi" w:eastAsia="Times New Roman" w:hAnsiTheme="minorHAnsi" w:cstheme="minorHAnsi"/>
          <w:b/>
          <w:szCs w:val="20"/>
          <w:u w:val="single"/>
          <w:lang w:eastAsia="pt-BR"/>
        </w:rPr>
        <w:t>ASSESSOR JURÍDICO DOS COORDENADORES</w:t>
      </w:r>
    </w:p>
    <w:p w14:paraId="370DB8AB" w14:textId="77777777" w:rsidR="0053704D" w:rsidRPr="001E6E9D" w:rsidRDefault="0053704D" w:rsidP="00DC7081">
      <w:pPr>
        <w:adjustRightInd w:val="0"/>
        <w:rPr>
          <w:rFonts w:asciiTheme="minorHAnsi" w:eastAsia="Times New Roman" w:hAnsiTheme="minorHAnsi" w:cstheme="minorHAnsi"/>
          <w:b/>
          <w:szCs w:val="20"/>
          <w:lang w:eastAsia="pt-BR"/>
        </w:rPr>
      </w:pPr>
      <w:r w:rsidRPr="001E6E9D">
        <w:rPr>
          <w:rFonts w:asciiTheme="minorHAnsi" w:eastAsia="Times New Roman" w:hAnsiTheme="minorHAnsi" w:cstheme="minorHAnsi"/>
          <w:b/>
          <w:szCs w:val="20"/>
          <w:lang w:eastAsia="pt-BR"/>
        </w:rPr>
        <w:t>MACHADO, MEYER, SENDACZ E OPICE ADVOGADOS</w:t>
      </w:r>
    </w:p>
    <w:p w14:paraId="3E4E691D" w14:textId="77777777" w:rsidR="000D5973" w:rsidRPr="001E6E9D" w:rsidRDefault="000D5973" w:rsidP="0034415F">
      <w:pPr>
        <w:adjustRightInd w:val="0"/>
        <w:contextualSpacing/>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Avenida Brigadeiro Faria Lima, nº 3.200, 10º andar, Ed. Seculum II</w:t>
      </w:r>
    </w:p>
    <w:p w14:paraId="5096DDD9" w14:textId="04EB556C" w:rsidR="0053704D" w:rsidRPr="001E6E9D" w:rsidRDefault="000D5973" w:rsidP="0034415F">
      <w:pPr>
        <w:adjustRightInd w:val="0"/>
        <w:contextualSpacing/>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São Paulo/SP, CEP 01453-050</w:t>
      </w:r>
    </w:p>
    <w:p w14:paraId="46C9BA8E" w14:textId="5338BD0A" w:rsidR="0053704D" w:rsidRPr="001E6E9D" w:rsidRDefault="0053704D" w:rsidP="0034415F">
      <w:pPr>
        <w:adjustRightInd w:val="0"/>
        <w:contextualSpacing/>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At.: </w:t>
      </w:r>
      <w:r w:rsidR="00717816" w:rsidRPr="001E6E9D">
        <w:rPr>
          <w:rFonts w:asciiTheme="minorHAnsi" w:eastAsia="Times New Roman" w:hAnsiTheme="minorHAnsi" w:cstheme="minorHAnsi"/>
          <w:szCs w:val="20"/>
          <w:lang w:eastAsia="pt-BR"/>
        </w:rPr>
        <w:t>Raphael Oliveira Zono</w:t>
      </w:r>
    </w:p>
    <w:p w14:paraId="6A687761" w14:textId="77777777" w:rsidR="00717816" w:rsidRPr="001E6E9D" w:rsidRDefault="00717816" w:rsidP="0034415F">
      <w:pPr>
        <w:adjustRightInd w:val="0"/>
        <w:contextualSpacing/>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Telefone: (11) 3150-7414</w:t>
      </w:r>
    </w:p>
    <w:p w14:paraId="44B8ACD7" w14:textId="77777777" w:rsidR="00717816" w:rsidRPr="001E6E9D" w:rsidRDefault="00717816" w:rsidP="0034415F">
      <w:pPr>
        <w:adjustRightInd w:val="0"/>
        <w:contextualSpacing/>
        <w:rPr>
          <w:rFonts w:asciiTheme="minorHAnsi" w:eastAsia="Times New Roman" w:hAnsiTheme="minorHAnsi" w:cstheme="minorHAnsi"/>
          <w:szCs w:val="20"/>
          <w:lang w:eastAsia="pt-BR"/>
        </w:rPr>
      </w:pPr>
      <w:r w:rsidRPr="001E6E9D">
        <w:rPr>
          <w:rFonts w:asciiTheme="minorHAnsi" w:eastAsia="Times New Roman" w:hAnsiTheme="minorHAnsi" w:cstheme="minorHAnsi"/>
          <w:szCs w:val="20"/>
          <w:lang w:eastAsia="pt-BR"/>
        </w:rPr>
        <w:t xml:space="preserve">E-mail: rzono@machadomeyer.com.br </w:t>
      </w:r>
    </w:p>
    <w:p w14:paraId="44FED50F" w14:textId="1A9BC8E1" w:rsidR="003468A1" w:rsidRPr="001E6E9D" w:rsidRDefault="0053704D" w:rsidP="00DC7081">
      <w:pPr>
        <w:adjustRightInd w:val="0"/>
        <w:rPr>
          <w:rFonts w:asciiTheme="minorHAnsi" w:eastAsia="Times New Roman" w:hAnsiTheme="minorHAnsi" w:cstheme="minorHAnsi"/>
          <w:szCs w:val="20"/>
          <w:lang w:val="en-US" w:eastAsia="pt-BR"/>
        </w:rPr>
      </w:pPr>
      <w:r w:rsidRPr="001E6E9D">
        <w:rPr>
          <w:rFonts w:asciiTheme="minorHAnsi" w:eastAsia="Times New Roman" w:hAnsiTheme="minorHAnsi" w:cstheme="minorHAnsi"/>
          <w:i/>
          <w:szCs w:val="20"/>
          <w:lang w:val="en-US" w:eastAsia="pt-BR"/>
        </w:rPr>
        <w:t>Website</w:t>
      </w:r>
      <w:r w:rsidRPr="001E6E9D">
        <w:rPr>
          <w:rFonts w:asciiTheme="minorHAnsi" w:eastAsia="Times New Roman" w:hAnsiTheme="minorHAnsi" w:cstheme="minorHAnsi"/>
          <w:szCs w:val="20"/>
          <w:lang w:val="en-US" w:eastAsia="pt-BR"/>
        </w:rPr>
        <w:t xml:space="preserve">: </w:t>
      </w:r>
      <w:r w:rsidR="00EC3D1C" w:rsidRPr="001E6E9D">
        <w:rPr>
          <w:rFonts w:asciiTheme="minorHAnsi" w:hAnsiTheme="minorHAnsi" w:cstheme="minorHAnsi"/>
          <w:lang w:val="en-US"/>
        </w:rPr>
        <w:t>http://www.machadomeyer.com.br</w:t>
      </w:r>
    </w:p>
    <w:p w14:paraId="7F40671A" w14:textId="4A3446E2" w:rsidR="003468A1" w:rsidRPr="001E6E9D" w:rsidRDefault="0053704D" w:rsidP="0034415F">
      <w:pPr>
        <w:pStyle w:val="Ttulo2"/>
        <w:keepNext/>
        <w:keepLines/>
      </w:pPr>
      <w:bookmarkStart w:id="302" w:name="_Ref158845060"/>
      <w:bookmarkStart w:id="303" w:name="_Toc159073509"/>
      <w:bookmarkStart w:id="304" w:name="_Toc184129252"/>
      <w:r w:rsidRPr="001E6E9D">
        <w:t>12.</w:t>
      </w:r>
      <w:r w:rsidR="002302DF" w:rsidRPr="001E6E9D">
        <w:t>4</w:t>
      </w:r>
      <w:r w:rsidRPr="001E6E9D">
        <w:t>.</w:t>
      </w:r>
      <w:r w:rsidR="00F12BA3" w:rsidRPr="001E6E9D">
        <w:t xml:space="preserve"> </w:t>
      </w:r>
      <w:r w:rsidRPr="001E6E9D">
        <w:t xml:space="preserve">Nome, endereço </w:t>
      </w:r>
      <w:r w:rsidRPr="00850BEF">
        <w:t xml:space="preserve">comercial, endereço eletrônico e telefones dos auditores responsáveis por auditar as </w:t>
      </w:r>
      <w:r w:rsidR="003A42A8" w:rsidRPr="00CC69E5">
        <w:t xml:space="preserve">demonstrações financeiras individuais e consolidadas da Emissora, relativas aos exercícios sociais findos em 31 de dezembro de 2023, 31 de dezembro de 2022, 31 de dezembro de 2021 e </w:t>
      </w:r>
      <w:r w:rsidR="00850BEF" w:rsidRPr="00850BEF">
        <w:t xml:space="preserve">revisar </w:t>
      </w:r>
      <w:r w:rsidR="003A42A8" w:rsidRPr="00CC69E5">
        <w:t>as demonstrações financeiras intermediárias condensadas individuais e consolidadas, relativas aos períodos nove meses findos em 31 de setembro de 2024</w:t>
      </w:r>
      <w:bookmarkEnd w:id="302"/>
      <w:bookmarkEnd w:id="303"/>
      <w:bookmarkEnd w:id="304"/>
    </w:p>
    <w:p w14:paraId="64C05BA9" w14:textId="77777777" w:rsidR="0053704D" w:rsidRPr="001E6E9D" w:rsidRDefault="0053704D" w:rsidP="00DC7081">
      <w:pPr>
        <w:tabs>
          <w:tab w:val="left" w:pos="450"/>
        </w:tabs>
        <w:textAlignment w:val="baseline"/>
        <w:rPr>
          <w:rFonts w:asciiTheme="minorHAnsi" w:eastAsia="Times New Roman" w:hAnsiTheme="minorHAnsi" w:cstheme="minorHAnsi"/>
          <w:b/>
          <w:szCs w:val="20"/>
          <w:u w:val="single"/>
          <w:lang w:eastAsia="pt-BR"/>
        </w:rPr>
      </w:pPr>
      <w:r w:rsidRPr="001E6E9D">
        <w:rPr>
          <w:rFonts w:asciiTheme="minorHAnsi" w:eastAsia="Times New Roman" w:hAnsiTheme="minorHAnsi" w:cstheme="minorHAnsi"/>
          <w:b/>
          <w:szCs w:val="20"/>
          <w:u w:val="single"/>
          <w:lang w:eastAsia="pt-BR"/>
        </w:rPr>
        <w:t>AUDITORES INDEPENDENTES</w:t>
      </w:r>
    </w:p>
    <w:p w14:paraId="42894F1E" w14:textId="0726F1A0" w:rsidR="0053704D" w:rsidRPr="001E6E9D" w:rsidRDefault="00D83F18" w:rsidP="00DC7081">
      <w:pPr>
        <w:adjustRightInd w:val="0"/>
        <w:rPr>
          <w:rFonts w:asciiTheme="minorHAnsi" w:eastAsia="Times New Roman" w:hAnsiTheme="minorHAnsi" w:cstheme="minorHAnsi"/>
          <w:bCs/>
          <w:szCs w:val="20"/>
          <w:lang w:eastAsia="pt-BR"/>
        </w:rPr>
      </w:pPr>
      <w:r w:rsidRPr="001E6E9D">
        <w:rPr>
          <w:rFonts w:asciiTheme="minorHAnsi" w:eastAsia="Times New Roman" w:hAnsiTheme="minorHAnsi" w:cstheme="minorHAnsi"/>
          <w:b/>
          <w:szCs w:val="20"/>
          <w:lang w:eastAsia="pt-BR"/>
        </w:rPr>
        <w:t>Grant Thornton Auditores Independentes Ltda.</w:t>
      </w:r>
    </w:p>
    <w:p w14:paraId="4DE9AA70" w14:textId="00496E45" w:rsidR="00D83F18" w:rsidRPr="001E6E9D" w:rsidRDefault="00D83F18"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Av. Eng. Luiz Carlos Berrini, </w:t>
      </w:r>
      <w:r w:rsidR="00CB4624" w:rsidRPr="001E6E9D">
        <w:rPr>
          <w:rFonts w:asciiTheme="minorHAnsi" w:eastAsia="Times New Roman" w:hAnsiTheme="minorHAnsi" w:cstheme="minorHAnsi"/>
          <w:bCs/>
          <w:szCs w:val="20"/>
          <w:lang w:eastAsia="pt-BR"/>
        </w:rPr>
        <w:t xml:space="preserve">nº </w:t>
      </w:r>
      <w:r w:rsidRPr="001E6E9D">
        <w:rPr>
          <w:rFonts w:asciiTheme="minorHAnsi" w:eastAsia="Times New Roman" w:hAnsiTheme="minorHAnsi" w:cstheme="minorHAnsi"/>
          <w:bCs/>
          <w:szCs w:val="20"/>
          <w:lang w:eastAsia="pt-BR"/>
        </w:rPr>
        <w:t xml:space="preserve">105 </w:t>
      </w:r>
      <w:r w:rsidR="00CB4624" w:rsidRPr="001E6E9D">
        <w:rPr>
          <w:rFonts w:asciiTheme="minorHAnsi" w:eastAsia="Times New Roman" w:hAnsiTheme="minorHAnsi" w:cstheme="minorHAnsi"/>
          <w:bCs/>
          <w:szCs w:val="20"/>
          <w:lang w:eastAsia="pt-BR"/>
        </w:rPr>
        <w:t>–</w:t>
      </w:r>
      <w:r w:rsidRPr="001E6E9D">
        <w:rPr>
          <w:rFonts w:asciiTheme="minorHAnsi" w:eastAsia="Times New Roman" w:hAnsiTheme="minorHAnsi" w:cstheme="minorHAnsi"/>
          <w:bCs/>
          <w:szCs w:val="20"/>
          <w:lang w:eastAsia="pt-BR"/>
        </w:rPr>
        <w:t xml:space="preserve"> 12</w:t>
      </w:r>
      <w:r w:rsidR="00CB4624" w:rsidRPr="001E6E9D">
        <w:rPr>
          <w:rFonts w:asciiTheme="minorHAnsi" w:eastAsia="Times New Roman" w:hAnsiTheme="minorHAnsi" w:cstheme="minorHAnsi"/>
          <w:bCs/>
          <w:szCs w:val="20"/>
          <w:lang w:eastAsia="pt-BR"/>
        </w:rPr>
        <w:t>º</w:t>
      </w:r>
      <w:r w:rsidRPr="001E6E9D">
        <w:rPr>
          <w:rFonts w:asciiTheme="minorHAnsi" w:eastAsia="Times New Roman" w:hAnsiTheme="minorHAnsi" w:cstheme="minorHAnsi"/>
          <w:bCs/>
          <w:szCs w:val="20"/>
          <w:lang w:eastAsia="pt-BR"/>
        </w:rPr>
        <w:t xml:space="preserve"> andar Itaim Bibi </w:t>
      </w:r>
    </w:p>
    <w:p w14:paraId="0E7D3BDF" w14:textId="58DD775A" w:rsidR="0053704D" w:rsidRPr="001E6E9D" w:rsidRDefault="0053704D"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São Paulo/SP</w:t>
      </w:r>
      <w:r w:rsidR="00426F85" w:rsidRPr="001E6E9D">
        <w:rPr>
          <w:rFonts w:asciiTheme="minorHAnsi" w:eastAsia="Times New Roman" w:hAnsiTheme="minorHAnsi" w:cstheme="minorHAnsi"/>
          <w:bCs/>
          <w:szCs w:val="20"/>
          <w:lang w:eastAsia="pt-BR"/>
        </w:rPr>
        <w:t xml:space="preserve">, CEP </w:t>
      </w:r>
      <w:r w:rsidR="00D83F18" w:rsidRPr="001E6E9D">
        <w:rPr>
          <w:rFonts w:asciiTheme="minorHAnsi" w:eastAsia="Times New Roman" w:hAnsiTheme="minorHAnsi" w:cstheme="minorHAnsi"/>
          <w:bCs/>
          <w:szCs w:val="20"/>
          <w:lang w:eastAsia="pt-BR"/>
        </w:rPr>
        <w:t>4571-010</w:t>
      </w:r>
    </w:p>
    <w:p w14:paraId="756EA0AB" w14:textId="641757EC" w:rsidR="0053704D" w:rsidRPr="001E6E9D" w:rsidRDefault="0053704D"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At.: </w:t>
      </w:r>
      <w:r w:rsidR="0079308B" w:rsidRPr="0079308B">
        <w:rPr>
          <w:rFonts w:asciiTheme="minorHAnsi" w:eastAsia="Times New Roman" w:hAnsiTheme="minorHAnsi" w:cstheme="minorHAnsi"/>
          <w:bCs/>
          <w:szCs w:val="20"/>
          <w:lang w:eastAsia="pt-BR"/>
        </w:rPr>
        <w:t>Rafael Dominguez Barros</w:t>
      </w:r>
    </w:p>
    <w:p w14:paraId="3016A4FA" w14:textId="7169DF21" w:rsidR="0053704D" w:rsidRPr="001E6E9D" w:rsidRDefault="0053704D"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Telefone: </w:t>
      </w:r>
      <w:r w:rsidR="00D83F18" w:rsidRPr="001E6E9D">
        <w:rPr>
          <w:rFonts w:asciiTheme="minorHAnsi" w:eastAsia="Times New Roman" w:hAnsiTheme="minorHAnsi" w:cstheme="minorHAnsi"/>
          <w:bCs/>
          <w:szCs w:val="20"/>
          <w:lang w:eastAsia="pt-BR"/>
        </w:rPr>
        <w:t>(11) 3886-5100</w:t>
      </w:r>
    </w:p>
    <w:p w14:paraId="47DC5BCA" w14:textId="2C762911" w:rsidR="00670B4A" w:rsidRPr="001E6E9D" w:rsidRDefault="0053704D"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E-mail: </w:t>
      </w:r>
      <w:r w:rsidR="0079308B" w:rsidRPr="0079308B">
        <w:rPr>
          <w:rFonts w:asciiTheme="minorHAnsi" w:eastAsia="Times New Roman" w:hAnsiTheme="minorHAnsi" w:cstheme="minorHAnsi"/>
          <w:bCs/>
          <w:szCs w:val="20"/>
          <w:lang w:eastAsia="pt-BR"/>
        </w:rPr>
        <w:t>rafael.barros@br.gt.com</w:t>
      </w:r>
    </w:p>
    <w:p w14:paraId="5616EF3E" w14:textId="186D20CD" w:rsidR="00065DBC" w:rsidRPr="0079308B" w:rsidRDefault="0053704D" w:rsidP="00DC7081">
      <w:pPr>
        <w:adjustRightInd w:val="0"/>
        <w:rPr>
          <w:rFonts w:asciiTheme="minorHAnsi" w:eastAsia="Times New Roman" w:hAnsiTheme="minorHAnsi" w:cstheme="minorHAnsi"/>
          <w:bCs/>
          <w:szCs w:val="20"/>
          <w:lang w:val="en-US" w:eastAsia="pt-BR"/>
        </w:rPr>
      </w:pPr>
      <w:r w:rsidRPr="0079308B">
        <w:rPr>
          <w:rFonts w:asciiTheme="minorHAnsi" w:eastAsia="Times New Roman" w:hAnsiTheme="minorHAnsi" w:cstheme="minorHAnsi"/>
          <w:bCs/>
          <w:i/>
          <w:szCs w:val="20"/>
          <w:lang w:val="en-US" w:eastAsia="pt-BR"/>
        </w:rPr>
        <w:t>Website</w:t>
      </w:r>
      <w:r w:rsidRPr="0079308B">
        <w:rPr>
          <w:rFonts w:asciiTheme="minorHAnsi" w:eastAsia="Times New Roman" w:hAnsiTheme="minorHAnsi" w:cstheme="minorHAnsi"/>
          <w:bCs/>
          <w:szCs w:val="20"/>
          <w:lang w:val="en-US" w:eastAsia="pt-BR"/>
        </w:rPr>
        <w:t>:</w:t>
      </w:r>
      <w:r w:rsidRPr="0079308B">
        <w:rPr>
          <w:rFonts w:asciiTheme="minorHAnsi" w:eastAsia="Times New Roman" w:hAnsiTheme="minorHAnsi" w:cstheme="minorHAnsi"/>
          <w:b/>
          <w:szCs w:val="20"/>
          <w:lang w:val="en-US" w:eastAsia="pt-BR"/>
        </w:rPr>
        <w:t xml:space="preserve"> </w:t>
      </w:r>
      <w:r w:rsidR="0079308B" w:rsidRPr="00727C49">
        <w:rPr>
          <w:rFonts w:asciiTheme="minorHAnsi" w:eastAsia="Times New Roman" w:hAnsiTheme="minorHAnsi" w:cstheme="minorHAnsi"/>
          <w:bCs/>
          <w:szCs w:val="20"/>
          <w:lang w:val="en-US" w:eastAsia="pt-BR"/>
        </w:rPr>
        <w:t>https://www.grantthornton.com.br/</w:t>
      </w:r>
    </w:p>
    <w:p w14:paraId="1E074F25" w14:textId="0E2C571F" w:rsidR="003468A1" w:rsidRPr="001E6E9D" w:rsidRDefault="0053704D" w:rsidP="00DC7081">
      <w:pPr>
        <w:pStyle w:val="Ttulo2"/>
      </w:pPr>
      <w:bookmarkStart w:id="305" w:name="_Toc184129253"/>
      <w:r w:rsidRPr="001E6E9D">
        <w:t>12.</w:t>
      </w:r>
      <w:r w:rsidR="002302DF" w:rsidRPr="001E6E9D">
        <w:t>5</w:t>
      </w:r>
      <w:r w:rsidRPr="001E6E9D">
        <w:t>.</w:t>
      </w:r>
      <w:r w:rsidR="00F12BA3" w:rsidRPr="001E6E9D">
        <w:t xml:space="preserve"> </w:t>
      </w:r>
      <w:r w:rsidRPr="001E6E9D">
        <w:t>Nome, endereço comercial, endereço eletrônico e telefones do agente fiduciário</w:t>
      </w:r>
      <w:bookmarkEnd w:id="305"/>
    </w:p>
    <w:p w14:paraId="197405ED" w14:textId="77777777" w:rsidR="0053704D" w:rsidRPr="001E6E9D" w:rsidRDefault="0053704D" w:rsidP="00DC7081">
      <w:pPr>
        <w:tabs>
          <w:tab w:val="left" w:pos="450"/>
        </w:tabs>
        <w:textAlignment w:val="baseline"/>
        <w:rPr>
          <w:rFonts w:asciiTheme="minorHAnsi" w:eastAsia="Times New Roman" w:hAnsiTheme="minorHAnsi" w:cstheme="minorHAnsi"/>
          <w:b/>
          <w:i/>
          <w:iCs/>
          <w:szCs w:val="20"/>
          <w:lang w:eastAsia="pt-BR"/>
        </w:rPr>
      </w:pPr>
      <w:r w:rsidRPr="001E6E9D">
        <w:rPr>
          <w:rFonts w:asciiTheme="minorHAnsi" w:eastAsia="Times New Roman" w:hAnsiTheme="minorHAnsi" w:cstheme="minorHAnsi"/>
          <w:b/>
          <w:szCs w:val="20"/>
          <w:u w:val="single"/>
          <w:lang w:eastAsia="pt-BR"/>
        </w:rPr>
        <w:t>AGENTE FIDUCIÁRIO</w:t>
      </w:r>
    </w:p>
    <w:p w14:paraId="13141384" w14:textId="77777777" w:rsidR="0053704D" w:rsidRPr="001E6E9D" w:rsidRDefault="0053704D" w:rsidP="00DC7081">
      <w:pPr>
        <w:rPr>
          <w:rFonts w:asciiTheme="minorHAnsi" w:eastAsia="Times New Roman" w:hAnsiTheme="minorHAnsi" w:cstheme="minorHAnsi"/>
          <w:b/>
          <w:szCs w:val="20"/>
          <w:lang w:eastAsia="pt-BR"/>
        </w:rPr>
      </w:pPr>
      <w:r w:rsidRPr="001E6E9D">
        <w:rPr>
          <w:rFonts w:asciiTheme="minorHAnsi" w:eastAsia="Times New Roman" w:hAnsiTheme="minorHAnsi" w:cstheme="minorHAnsi"/>
          <w:b/>
          <w:szCs w:val="20"/>
        </w:rPr>
        <w:t>OLIVEIRA TRUST DISTRIBUIDORA DE TÍTULOS E VALORES MOBILIÁRIOS S.A.</w:t>
      </w:r>
    </w:p>
    <w:p w14:paraId="7DA18E43" w14:textId="77777777" w:rsidR="00670B4A" w:rsidRPr="001E6E9D" w:rsidRDefault="00670B4A"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Avenida das Nações Unidas, nº 12.901, 11º andar, conjuntos 1101 e 1102, Torre Norte, Centro Empresarial Nações Unidas (CENU), Brooklin,</w:t>
      </w:r>
    </w:p>
    <w:p w14:paraId="43B93354" w14:textId="1C1807E3" w:rsidR="0053704D" w:rsidRPr="001E6E9D" w:rsidRDefault="00670B4A"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São Paulo/SP, CEP 04578-910</w:t>
      </w:r>
    </w:p>
    <w:p w14:paraId="5673186B" w14:textId="77777777" w:rsidR="00670B4A" w:rsidRPr="001E6E9D" w:rsidRDefault="00670B4A"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At.: Antonio Amaro / Maria Carolina Abrantes Lodi de Oliveira</w:t>
      </w:r>
    </w:p>
    <w:p w14:paraId="187C9A7D" w14:textId="77777777" w:rsidR="00670B4A" w:rsidRPr="001E6E9D" w:rsidRDefault="00670B4A"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Telefone: (21) 3514-0000</w:t>
      </w:r>
    </w:p>
    <w:p w14:paraId="32F2FC14" w14:textId="7F3F6A2C" w:rsidR="0053704D" w:rsidRPr="001E6E9D" w:rsidRDefault="00670B4A" w:rsidP="0034415F">
      <w:pPr>
        <w:adjustRightInd w:val="0"/>
        <w:contextualSpacing/>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E-mail: af.controles@oliveiratrust.com.br</w:t>
      </w:r>
    </w:p>
    <w:p w14:paraId="124EA3D5" w14:textId="77777777" w:rsidR="00065DBC" w:rsidRPr="001E6E9D" w:rsidRDefault="00670B4A" w:rsidP="00DC7081">
      <w:pPr>
        <w:adjustRightInd w:val="0"/>
        <w:rPr>
          <w:rFonts w:asciiTheme="minorHAnsi" w:eastAsia="Times New Roman" w:hAnsiTheme="minorHAnsi" w:cstheme="minorHAnsi"/>
          <w:bCs/>
          <w:szCs w:val="20"/>
          <w:lang w:val="en-US" w:eastAsia="pt-BR"/>
        </w:rPr>
      </w:pPr>
      <w:r w:rsidRPr="001E6E9D">
        <w:rPr>
          <w:rFonts w:asciiTheme="minorHAnsi" w:eastAsia="Times New Roman" w:hAnsiTheme="minorHAnsi" w:cstheme="minorHAnsi"/>
          <w:bCs/>
          <w:i/>
          <w:szCs w:val="20"/>
          <w:lang w:val="en-US" w:eastAsia="pt-BR"/>
        </w:rPr>
        <w:t>Website</w:t>
      </w:r>
      <w:r w:rsidRPr="001E6E9D">
        <w:rPr>
          <w:rFonts w:asciiTheme="minorHAnsi" w:eastAsia="Times New Roman" w:hAnsiTheme="minorHAnsi" w:cstheme="minorHAnsi"/>
          <w:bCs/>
          <w:szCs w:val="20"/>
          <w:lang w:val="en-US" w:eastAsia="pt-BR"/>
        </w:rPr>
        <w:t>:</w:t>
      </w:r>
      <w:r w:rsidRPr="001E6E9D">
        <w:rPr>
          <w:rFonts w:asciiTheme="minorHAnsi" w:eastAsia="Times New Roman" w:hAnsiTheme="minorHAnsi" w:cstheme="minorHAnsi"/>
          <w:b/>
          <w:szCs w:val="20"/>
          <w:lang w:val="en-US" w:eastAsia="pt-BR"/>
        </w:rPr>
        <w:t xml:space="preserve"> </w:t>
      </w:r>
      <w:r w:rsidRPr="001E6E9D">
        <w:rPr>
          <w:rFonts w:asciiTheme="minorHAnsi" w:eastAsia="Times New Roman" w:hAnsiTheme="minorHAnsi" w:cstheme="minorHAnsi"/>
          <w:bCs/>
          <w:szCs w:val="20"/>
          <w:lang w:val="en-US" w:eastAsia="pt-BR"/>
        </w:rPr>
        <w:t>https://www.oliveiratrust.com.br/</w:t>
      </w:r>
    </w:p>
    <w:p w14:paraId="19F3E528" w14:textId="48E4F317" w:rsidR="003468A1" w:rsidRPr="001E6E9D" w:rsidRDefault="0053704D" w:rsidP="00DC7081">
      <w:pPr>
        <w:pStyle w:val="Ttulo2"/>
      </w:pPr>
      <w:bookmarkStart w:id="306" w:name="_Ref158845061"/>
      <w:bookmarkStart w:id="307" w:name="_Toc159073510"/>
      <w:bookmarkStart w:id="308" w:name="_Toc184129254"/>
      <w:r w:rsidRPr="001E6E9D">
        <w:t>12.</w:t>
      </w:r>
      <w:r w:rsidR="002302DF" w:rsidRPr="001E6E9D">
        <w:t>6</w:t>
      </w:r>
      <w:r w:rsidRPr="001E6E9D">
        <w:t>.</w:t>
      </w:r>
      <w:r w:rsidR="00F12BA3" w:rsidRPr="001E6E9D">
        <w:t xml:space="preserve"> </w:t>
      </w:r>
      <w:r w:rsidRPr="001E6E9D">
        <w:t>Declaração de que quaisquer outras informações ou esclarecimentos sobre a companhia e a distribuição em questão podem ser obtidas junto aos Coordenadores e/ou consorciados e na CVM</w:t>
      </w:r>
      <w:bookmarkEnd w:id="306"/>
      <w:bookmarkEnd w:id="307"/>
      <w:bookmarkEnd w:id="308"/>
    </w:p>
    <w:p w14:paraId="3CAADD3D" w14:textId="77777777" w:rsidR="003468A1" w:rsidRPr="001E6E9D" w:rsidRDefault="0053704D" w:rsidP="00DC7081">
      <w:pPr>
        <w:adjustRightInd w:val="0"/>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Para fins do disposto no item 12 do Anexo B da Resolução CVM 160, esclarecimentos sobre a Emissora e a Oferta, bem como este Prospecto e o Prospecto Definitivo, poderão ser obtidos junto aos Coordenadores nos endereços descritos acima.</w:t>
      </w:r>
    </w:p>
    <w:p w14:paraId="01F63F5C" w14:textId="2A74C2BD" w:rsidR="003468A1" w:rsidRPr="001E6E9D" w:rsidRDefault="0053704D" w:rsidP="00DC7081">
      <w:pPr>
        <w:pStyle w:val="Ttulo2"/>
        <w:keepNext/>
        <w:keepLines/>
      </w:pPr>
      <w:bookmarkStart w:id="309" w:name="_Ref158845062"/>
      <w:bookmarkStart w:id="310" w:name="_Toc159073511"/>
      <w:bookmarkStart w:id="311" w:name="_Toc184129255"/>
      <w:r w:rsidRPr="001E6E9D">
        <w:t>12.</w:t>
      </w:r>
      <w:r w:rsidR="002302DF" w:rsidRPr="001E6E9D">
        <w:t>7</w:t>
      </w:r>
      <w:r w:rsidRPr="001E6E9D">
        <w:t>.</w:t>
      </w:r>
      <w:r w:rsidR="00F12BA3" w:rsidRPr="001E6E9D">
        <w:t xml:space="preserve"> </w:t>
      </w:r>
      <w:r w:rsidRPr="001E6E9D">
        <w:t>Declaração, nos termos do art. 24 da Resolução CVM 160, atestando a veracidade das informações contidas neste Prospecto</w:t>
      </w:r>
      <w:bookmarkEnd w:id="309"/>
      <w:bookmarkEnd w:id="310"/>
      <w:bookmarkEnd w:id="311"/>
    </w:p>
    <w:p w14:paraId="5EE969DD" w14:textId="77777777" w:rsidR="003468A1" w:rsidRPr="001E6E9D" w:rsidRDefault="0053704D" w:rsidP="00DC7081">
      <w:pPr>
        <w:tabs>
          <w:tab w:val="left" w:pos="450"/>
        </w:tabs>
        <w:textAlignment w:val="baseline"/>
        <w:rPr>
          <w:rFonts w:asciiTheme="minorHAnsi" w:eastAsia="Times New Roman" w:hAnsiTheme="minorHAnsi" w:cstheme="minorHAnsi"/>
          <w:b/>
          <w:szCs w:val="20"/>
          <w:lang w:eastAsia="pt-BR"/>
        </w:rPr>
      </w:pPr>
      <w:r w:rsidRPr="001E6E9D">
        <w:rPr>
          <w:rFonts w:asciiTheme="minorHAnsi" w:eastAsia="Times New Roman" w:hAnsiTheme="minorHAnsi" w:cstheme="minorHAnsi"/>
          <w:b/>
          <w:szCs w:val="20"/>
          <w:lang w:eastAsia="pt-BR"/>
        </w:rPr>
        <w:t>Declaração da Emissora</w:t>
      </w:r>
    </w:p>
    <w:p w14:paraId="3B8F1B07" w14:textId="77777777" w:rsidR="003468A1" w:rsidRPr="001E6E9D" w:rsidRDefault="0053704D" w:rsidP="00DC7081">
      <w:pPr>
        <w:tabs>
          <w:tab w:val="left" w:pos="450"/>
        </w:tabs>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A Emissora declara que verificou, com os Coordenadores, a legalidade e ausência de vícios da operação, além de ter agido com diligência para assegurar a suficiência, veracidade, precisão, consistência e atualidade das informações prestadas neste Prospecto.</w:t>
      </w:r>
    </w:p>
    <w:p w14:paraId="7C0CC0EB" w14:textId="77777777" w:rsidR="003468A1" w:rsidRPr="001E6E9D" w:rsidRDefault="0053704D" w:rsidP="00DC7081">
      <w:pPr>
        <w:tabs>
          <w:tab w:val="left" w:pos="450"/>
        </w:tabs>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A Emissora declara, nos termos do artigo 24 da Resolução CVM 160, exclusivamente para os fins do processo de registro da Oferta na CVM, que:</w:t>
      </w:r>
    </w:p>
    <w:p w14:paraId="1051EE5C" w14:textId="77777777" w:rsidR="003468A1" w:rsidRPr="001E6E9D" w:rsidRDefault="0053704D" w:rsidP="00DC7081">
      <w:pPr>
        <w:ind w:left="567" w:hanging="567"/>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bCs/>
          <w:szCs w:val="20"/>
          <w:lang w:eastAsia="pt-BR"/>
        </w:rPr>
        <w:t>é responsável pela suficiência, veracidade, precisão, consistência e atualidade das informações prestadas por ocasião do registro e fornecidas ao mercado durante a distribuição no âmbito da Oferta, tendo verificado a legalidade e a ausência de vícios na Oferta e na emissão das Debêntures;</w:t>
      </w:r>
    </w:p>
    <w:p w14:paraId="323203FC" w14:textId="77777777" w:rsidR="003468A1" w:rsidRPr="001E6E9D" w:rsidRDefault="0053704D" w:rsidP="00DC7081">
      <w:pPr>
        <w:ind w:left="567" w:hanging="567"/>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
          <w:bCs/>
          <w:szCs w:val="20"/>
          <w:lang w:eastAsia="pt-BR"/>
        </w:rPr>
        <w:t>(ii)</w:t>
      </w:r>
      <w:r w:rsidR="00F12BA3"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bCs/>
          <w:szCs w:val="20"/>
          <w:lang w:eastAsia="pt-BR"/>
        </w:rPr>
        <w:t>este Prospecto contém as informações relevantes necessárias ao conhecimento pelos Investidores das Debêntures a serem ofertados, da Emissora, de suas atividades, situação econômico-financeira, riscos inerentes à sua atividade e quaisquer outras informações relevantes, sendo tais informações suficientes, verdadeiras, precisas, consistentes e atuais para permitir aos Investidores uma tomada de decisão fundamentada a respeito da Oferta;</w:t>
      </w:r>
    </w:p>
    <w:p w14:paraId="43CF95BE" w14:textId="77777777" w:rsidR="003468A1" w:rsidRPr="001E6E9D" w:rsidRDefault="0053704D" w:rsidP="00DC7081">
      <w:pPr>
        <w:ind w:left="567" w:hanging="567"/>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
          <w:bCs/>
          <w:szCs w:val="20"/>
          <w:lang w:eastAsia="pt-BR"/>
        </w:rPr>
        <w:t>(iii)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bCs/>
          <w:szCs w:val="20"/>
          <w:lang w:eastAsia="pt-BR"/>
        </w:rPr>
        <w:t>este Prospecto foi elaborado de acordo com as normas pertinentes, incluindo, sem limitação, a Resolução CVM 160;</w:t>
      </w:r>
    </w:p>
    <w:p w14:paraId="0DB06089" w14:textId="77777777" w:rsidR="003468A1" w:rsidRPr="001E6E9D" w:rsidRDefault="0053704D" w:rsidP="0034415F">
      <w:pPr>
        <w:keepLines/>
        <w:ind w:left="567" w:hanging="567"/>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
          <w:bCs/>
          <w:szCs w:val="20"/>
          <w:lang w:eastAsia="pt-BR"/>
        </w:rPr>
        <w:t>(iv)</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bCs/>
          <w:szCs w:val="20"/>
          <w:lang w:eastAsia="pt-BR"/>
        </w:rPr>
        <w:t>as informações prestadas e a serem prestadas, por ocasião do registro da Oferta, do arquivamento deste Prospecto, bem como aquelas fornecidas ao mercado durante a Oferta, respectivamente, são e serão suficientes, verdadeiras, precisas, consistentes e atuais para permitir aos Investidores uma tomada de decisão fundamentada a respeito da Oferta; e</w:t>
      </w:r>
    </w:p>
    <w:p w14:paraId="42741853" w14:textId="77777777" w:rsidR="003468A1" w:rsidRPr="001E6E9D" w:rsidRDefault="0053704D" w:rsidP="00DC7081">
      <w:pPr>
        <w:ind w:left="567" w:hanging="567"/>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
          <w:bCs/>
          <w:szCs w:val="20"/>
          <w:lang w:eastAsia="pt-BR"/>
        </w:rPr>
        <w:t>(v)</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bCs/>
          <w:szCs w:val="20"/>
          <w:lang w:eastAsia="pt-BR"/>
        </w:rPr>
        <w:t>verificou, com os Coordenadores, a legalidade e ausência de vícios da Emissão, além de ter agido com diligência para verificar a suficiência, veracidade, precisão, consistência e atualidade das informações prestadas no Prospecto e na Escritura de Emissão.</w:t>
      </w:r>
    </w:p>
    <w:p w14:paraId="7AD5F699" w14:textId="77777777" w:rsidR="003468A1" w:rsidRPr="001E6E9D" w:rsidRDefault="0053704D" w:rsidP="00DC7081">
      <w:pPr>
        <w:pStyle w:val="Ttulo3"/>
        <w:widowControl/>
        <w:rPr>
          <w:rFonts w:asciiTheme="minorHAnsi" w:hAnsiTheme="minorHAnsi"/>
        </w:rPr>
      </w:pPr>
      <w:bookmarkStart w:id="312" w:name="_Ref158845063"/>
      <w:r w:rsidRPr="001E6E9D">
        <w:rPr>
          <w:rFonts w:asciiTheme="minorHAnsi" w:hAnsiTheme="minorHAnsi"/>
        </w:rPr>
        <w:t>Declaração do Agente Fiduciário</w:t>
      </w:r>
      <w:bookmarkEnd w:id="312"/>
    </w:p>
    <w:p w14:paraId="7D625299" w14:textId="3692058C" w:rsidR="003468A1" w:rsidRPr="001E6E9D" w:rsidRDefault="0053704D" w:rsidP="00DC7081">
      <w:pPr>
        <w:tabs>
          <w:tab w:val="left" w:pos="450"/>
        </w:tabs>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 xml:space="preserve">O Agente Fiduciário declara, nos termos do artigo 6º e do inciso V do artigo 11 da Resolução da CVM </w:t>
      </w:r>
      <w:r w:rsidR="000D5E35" w:rsidRPr="001E6E9D">
        <w:rPr>
          <w:rFonts w:asciiTheme="minorHAnsi" w:eastAsia="Times New Roman" w:hAnsiTheme="minorHAnsi" w:cstheme="minorHAnsi"/>
          <w:bCs/>
          <w:szCs w:val="20"/>
          <w:lang w:eastAsia="pt-BR"/>
        </w:rPr>
        <w:t>nº</w:t>
      </w:r>
      <w:r w:rsidRPr="001E6E9D">
        <w:rPr>
          <w:rFonts w:asciiTheme="minorHAnsi" w:eastAsia="Times New Roman" w:hAnsiTheme="minorHAnsi" w:cstheme="minorHAnsi"/>
          <w:bCs/>
          <w:szCs w:val="20"/>
          <w:lang w:eastAsia="pt-BR"/>
        </w:rPr>
        <w:t xml:space="preserve"> 17, de 9 de fevereiro de 2021, conforme em vigor (</w:t>
      </w:r>
      <w:r w:rsidR="000D5E35" w:rsidRPr="001E6E9D">
        <w:rPr>
          <w:rFonts w:asciiTheme="minorHAnsi" w:eastAsia="Times New Roman" w:hAnsiTheme="minorHAnsi" w:cstheme="minorHAnsi"/>
          <w:bCs/>
          <w:szCs w:val="20"/>
          <w:lang w:eastAsia="pt-BR"/>
        </w:rPr>
        <w:t>“</w:t>
      </w:r>
      <w:r w:rsidRPr="001E6E9D">
        <w:rPr>
          <w:rFonts w:asciiTheme="minorHAnsi" w:eastAsia="Times New Roman" w:hAnsiTheme="minorHAnsi" w:cstheme="minorHAnsi"/>
          <w:b/>
          <w:szCs w:val="20"/>
          <w:lang w:eastAsia="pt-BR"/>
        </w:rPr>
        <w:t>Resolução CVM 17</w:t>
      </w:r>
      <w:r w:rsidRPr="001E6E9D">
        <w:rPr>
          <w:rFonts w:asciiTheme="minorHAnsi" w:eastAsia="Times New Roman" w:hAnsiTheme="minorHAnsi" w:cstheme="minorHAnsi"/>
          <w:bCs/>
          <w:szCs w:val="20"/>
          <w:lang w:eastAsia="pt-BR"/>
        </w:rPr>
        <w:t>”), exclusivamente para os fins do processo de registro da Oferta na CVM, que verificou, no momento de aceitar a função, a consistência das informações contidas na Escritura de Emissão, bem como que não se encontra em nenhuma das situações de conflito de interesse previstas no artigo 6º da Resolução CVM 17.</w:t>
      </w:r>
    </w:p>
    <w:p w14:paraId="4007C413" w14:textId="20D5023D" w:rsidR="003468A1" w:rsidRPr="001E6E9D" w:rsidRDefault="0053704D" w:rsidP="00DC7081">
      <w:pPr>
        <w:pStyle w:val="Ttulo3"/>
        <w:widowControl/>
        <w:rPr>
          <w:rFonts w:asciiTheme="minorHAnsi" w:hAnsiTheme="minorHAnsi"/>
        </w:rPr>
      </w:pPr>
      <w:bookmarkStart w:id="313" w:name="_Ref158845064"/>
      <w:r w:rsidRPr="001E6E9D">
        <w:rPr>
          <w:rFonts w:asciiTheme="minorHAnsi" w:hAnsiTheme="minorHAnsi"/>
        </w:rPr>
        <w:t>Declaração</w:t>
      </w:r>
      <w:r w:rsidR="000D5973" w:rsidRPr="001E6E9D">
        <w:rPr>
          <w:rFonts w:asciiTheme="minorHAnsi" w:hAnsiTheme="minorHAnsi"/>
        </w:rPr>
        <w:t xml:space="preserve"> dos</w:t>
      </w:r>
      <w:bookmarkEnd w:id="313"/>
      <w:r w:rsidR="005A1BC5" w:rsidRPr="001E6E9D">
        <w:rPr>
          <w:rFonts w:asciiTheme="minorHAnsi" w:hAnsiTheme="minorHAnsi"/>
        </w:rPr>
        <w:t xml:space="preserve"> Coordenador</w:t>
      </w:r>
      <w:r w:rsidR="000D5973" w:rsidRPr="001E6E9D">
        <w:rPr>
          <w:rFonts w:asciiTheme="minorHAnsi" w:hAnsiTheme="minorHAnsi"/>
        </w:rPr>
        <w:t>es</w:t>
      </w:r>
      <w:r w:rsidRPr="001E6E9D">
        <w:rPr>
          <w:rFonts w:asciiTheme="minorHAnsi" w:hAnsiTheme="minorHAnsi"/>
        </w:rPr>
        <w:t xml:space="preserve"> </w:t>
      </w:r>
    </w:p>
    <w:p w14:paraId="04F9D690" w14:textId="26C3B4B4" w:rsidR="003468A1" w:rsidRPr="001E6E9D" w:rsidRDefault="000D5973" w:rsidP="00DC7081">
      <w:pPr>
        <w:tabs>
          <w:tab w:val="left" w:pos="450"/>
        </w:tabs>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Cs/>
          <w:szCs w:val="20"/>
          <w:lang w:eastAsia="pt-BR"/>
        </w:rPr>
        <w:t>Os Coordenadores</w:t>
      </w:r>
      <w:r w:rsidR="0053704D" w:rsidRPr="001E6E9D">
        <w:rPr>
          <w:rFonts w:asciiTheme="minorHAnsi" w:eastAsia="Times New Roman" w:hAnsiTheme="minorHAnsi" w:cstheme="minorHAnsi"/>
          <w:bCs/>
          <w:szCs w:val="20"/>
          <w:lang w:eastAsia="pt-BR"/>
        </w:rPr>
        <w:t xml:space="preserve"> declara</w:t>
      </w:r>
      <w:r w:rsidRPr="001E6E9D">
        <w:rPr>
          <w:rFonts w:asciiTheme="minorHAnsi" w:eastAsia="Times New Roman" w:hAnsiTheme="minorHAnsi" w:cstheme="minorHAnsi"/>
          <w:bCs/>
          <w:szCs w:val="20"/>
          <w:lang w:eastAsia="pt-BR"/>
        </w:rPr>
        <w:t>m</w:t>
      </w:r>
      <w:r w:rsidR="0053704D" w:rsidRPr="001E6E9D">
        <w:rPr>
          <w:rFonts w:asciiTheme="minorHAnsi" w:eastAsia="Times New Roman" w:hAnsiTheme="minorHAnsi" w:cstheme="minorHAnsi"/>
          <w:bCs/>
          <w:szCs w:val="20"/>
          <w:lang w:eastAsia="pt-BR"/>
        </w:rPr>
        <w:t>, nos termos do artigo 24 da Resolução CVM 160, que verificaram a legalidade e ausência de vícios da Emissão, em todos os seus aspectos relevantes, além de ter agido com diligência para assegurar a veracidade, consistência, correção e suficiência das informações prestadas neste Prospecto e na Escritura de Emissão, para assegurar que:</w:t>
      </w:r>
    </w:p>
    <w:p w14:paraId="7FA8F4A0" w14:textId="3BB15E58" w:rsidR="003468A1" w:rsidRPr="001E6E9D" w:rsidRDefault="0053704D" w:rsidP="00DC7081">
      <w:pPr>
        <w:ind w:left="567" w:hanging="567"/>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
          <w:bCs/>
          <w:szCs w:val="20"/>
          <w:lang w:eastAsia="pt-BR"/>
        </w:rPr>
        <w:t>(i)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bCs/>
          <w:szCs w:val="20"/>
          <w:lang w:eastAsia="pt-BR"/>
        </w:rPr>
        <w:t>este Prospecto contém todas as informações relevantes e necessárias a respeito das Debêntures, da Emissora, de suas atividades, da situação econômico-financeira e dos riscos inerentes às suas atividades, e quaisquer outras informações relevantes, com relação às quais tomou todas as cautelas para assegurar que sejam suficientes, verdadeiras, precisas, consistentes e atuais para permitir aos Investidores uma tomada de decisão fundamentada a respeito da Oferta; e</w:t>
      </w:r>
    </w:p>
    <w:p w14:paraId="0FBDA5AC" w14:textId="77777777" w:rsidR="0053704D" w:rsidRPr="001E6E9D" w:rsidRDefault="0053704D" w:rsidP="00DC7081">
      <w:pPr>
        <w:ind w:left="567" w:hanging="567"/>
        <w:textAlignment w:val="baseline"/>
        <w:rPr>
          <w:rFonts w:asciiTheme="minorHAnsi" w:eastAsia="Times New Roman" w:hAnsiTheme="minorHAnsi" w:cstheme="minorHAnsi"/>
          <w:bCs/>
          <w:szCs w:val="20"/>
          <w:lang w:eastAsia="pt-BR"/>
        </w:rPr>
      </w:pPr>
      <w:r w:rsidRPr="001E6E9D">
        <w:rPr>
          <w:rFonts w:asciiTheme="minorHAnsi" w:eastAsia="Times New Roman" w:hAnsiTheme="minorHAnsi" w:cstheme="minorHAnsi"/>
          <w:b/>
          <w:bCs/>
          <w:szCs w:val="20"/>
          <w:lang w:eastAsia="pt-BR"/>
        </w:rPr>
        <w:t>(ii)</w:t>
      </w:r>
      <w:r w:rsidRPr="001E6E9D">
        <w:rPr>
          <w:rFonts w:asciiTheme="minorHAnsi" w:eastAsia="Times New Roman" w:hAnsiTheme="minorHAnsi" w:cstheme="minorHAnsi"/>
          <w:b/>
          <w:bCs/>
          <w:szCs w:val="20"/>
          <w:lang w:eastAsia="pt-BR"/>
        </w:rPr>
        <w:tab/>
      </w:r>
      <w:r w:rsidRPr="001E6E9D">
        <w:rPr>
          <w:rFonts w:asciiTheme="minorHAnsi" w:eastAsia="Times New Roman" w:hAnsiTheme="minorHAnsi" w:cstheme="minorHAnsi"/>
          <w:bCs/>
          <w:szCs w:val="20"/>
          <w:lang w:eastAsia="pt-BR"/>
        </w:rPr>
        <w:t>este Prospecto foi elaborado de acordo com as normas pertinentes, incluindo, sem limitação, a Resolução CVM 160.</w:t>
      </w:r>
      <w:bookmarkStart w:id="314" w:name="_DV_M16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4"/>
    </w:p>
    <w:p w14:paraId="2B3D49FC" w14:textId="77777777" w:rsidR="003468A1" w:rsidRPr="001E6E9D" w:rsidRDefault="0053704D" w:rsidP="00DC7081">
      <w:pPr>
        <w:pStyle w:val="Ttulo1"/>
        <w:rPr>
          <w:lang w:eastAsia="pt-BR"/>
        </w:rPr>
      </w:pPr>
      <w:bookmarkStart w:id="315" w:name="_Ref158845065"/>
      <w:bookmarkStart w:id="316" w:name="_Toc159073512"/>
      <w:bookmarkStart w:id="317" w:name="_Toc184129256"/>
      <w:r w:rsidRPr="001E6E9D">
        <w:rPr>
          <w:lang w:eastAsia="pt-BR"/>
        </w:rPr>
        <w:t>13.</w:t>
      </w:r>
      <w:r w:rsidR="00F12BA3" w:rsidRPr="001E6E9D">
        <w:rPr>
          <w:lang w:eastAsia="pt-BR"/>
        </w:rPr>
        <w:t xml:space="preserve"> </w:t>
      </w:r>
      <w:r w:rsidRPr="001E6E9D">
        <w:rPr>
          <w:lang w:eastAsia="pt-BR"/>
        </w:rPr>
        <w:t>OUTROS DOCUMENTOS E INFORMAÇÕES QUE A CVM JULGAR NECESSÁRIOS</w:t>
      </w:r>
      <w:bookmarkEnd w:id="315"/>
      <w:bookmarkEnd w:id="316"/>
      <w:bookmarkEnd w:id="317"/>
    </w:p>
    <w:p w14:paraId="6BCEAEEF" w14:textId="074AFF11" w:rsidR="00BC668B" w:rsidRPr="001E6E9D" w:rsidRDefault="00205ADF" w:rsidP="00DC7081">
      <w:pPr>
        <w:tabs>
          <w:tab w:val="left" w:pos="851"/>
        </w:tabs>
        <w:autoSpaceDE w:val="0"/>
        <w:autoSpaceDN w:val="0"/>
        <w:rPr>
          <w:rFonts w:asciiTheme="minorHAnsi" w:eastAsia="Times New Roman" w:hAnsiTheme="minorHAnsi" w:cstheme="minorHAnsi"/>
          <w:b/>
          <w:bCs/>
          <w:szCs w:val="20"/>
          <w:lang w:eastAsia="pt-BR"/>
        </w:rPr>
      </w:pPr>
      <w:r w:rsidRPr="001E6E9D">
        <w:rPr>
          <w:rFonts w:asciiTheme="minorHAnsi" w:eastAsia="Times New Roman" w:hAnsiTheme="minorHAnsi" w:cstheme="minorHAnsi"/>
          <w:b/>
          <w:bCs/>
          <w:i/>
          <w:iCs/>
          <w:szCs w:val="20"/>
          <w:lang w:eastAsia="pt-BR"/>
        </w:rPr>
        <w:t>Material publicitário</w:t>
      </w:r>
      <w:r w:rsidR="00E72817" w:rsidRPr="001E6E9D">
        <w:rPr>
          <w:rFonts w:asciiTheme="minorHAnsi" w:eastAsia="Times New Roman" w:hAnsiTheme="minorHAnsi" w:cstheme="minorHAnsi"/>
          <w:b/>
          <w:bCs/>
          <w:i/>
          <w:iCs/>
          <w:szCs w:val="20"/>
          <w:lang w:eastAsia="pt-BR"/>
        </w:rPr>
        <w:t>:</w:t>
      </w:r>
    </w:p>
    <w:p w14:paraId="197310C5" w14:textId="77777777" w:rsidR="004735C5"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21C4901F" wp14:editId="41C888E1">
            <wp:extent cx="5760085" cy="28409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to Letos - Material Publicitário - Sem cabeçalho e Rodapé_Página_01.png"/>
                    <pic:cNvPicPr/>
                  </pic:nvPicPr>
                  <pic:blipFill>
                    <a:blip r:embed="rId26">
                      <a:extLst>
                        <a:ext uri="{28A0092B-C50C-407E-A947-70E740481C1C}">
                          <a14:useLocalDpi xmlns:a14="http://schemas.microsoft.com/office/drawing/2010/main" val="0"/>
                        </a:ext>
                      </a:extLst>
                    </a:blip>
                    <a:stretch>
                      <a:fillRect/>
                    </a:stretch>
                  </pic:blipFill>
                  <pic:spPr>
                    <a:xfrm>
                      <a:off x="0" y="0"/>
                      <a:ext cx="5760085" cy="2840990"/>
                    </a:xfrm>
                    <a:prstGeom prst="rect">
                      <a:avLst/>
                    </a:prstGeom>
                  </pic:spPr>
                </pic:pic>
              </a:graphicData>
            </a:graphic>
          </wp:inline>
        </w:drawing>
      </w:r>
    </w:p>
    <w:p w14:paraId="110BB27D"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6F12E3AE" wp14:editId="4537E86B">
            <wp:extent cx="5760085" cy="28409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jeto Letos - Material Publicitário - Sem cabeçalho e Rodapé_Página_02.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2840990"/>
                    </a:xfrm>
                    <a:prstGeom prst="rect">
                      <a:avLst/>
                    </a:prstGeom>
                  </pic:spPr>
                </pic:pic>
              </a:graphicData>
            </a:graphic>
          </wp:inline>
        </w:drawing>
      </w:r>
    </w:p>
    <w:p w14:paraId="60CC3355" w14:textId="14DA2D62"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5C2C25D0" wp14:editId="0CDC320E">
            <wp:extent cx="5760085" cy="284543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o Letos - Material Publicitário - Sem cabeçalho e Rodapé_Página_03.png"/>
                    <pic:cNvPicPr/>
                  </pic:nvPicPr>
                  <pic:blipFill>
                    <a:blip r:embed="rId28">
                      <a:extLst>
                        <a:ext uri="{28A0092B-C50C-407E-A947-70E740481C1C}">
                          <a14:useLocalDpi xmlns:a14="http://schemas.microsoft.com/office/drawing/2010/main" val="0"/>
                        </a:ext>
                      </a:extLst>
                    </a:blip>
                    <a:stretch>
                      <a:fillRect/>
                    </a:stretch>
                  </pic:blipFill>
                  <pic:spPr>
                    <a:xfrm>
                      <a:off x="0" y="0"/>
                      <a:ext cx="5760085" cy="2845435"/>
                    </a:xfrm>
                    <a:prstGeom prst="rect">
                      <a:avLst/>
                    </a:prstGeom>
                  </pic:spPr>
                </pic:pic>
              </a:graphicData>
            </a:graphic>
          </wp:inline>
        </w:drawing>
      </w:r>
    </w:p>
    <w:p w14:paraId="759D0A92" w14:textId="50984DD2" w:rsidR="003E3FF8" w:rsidRDefault="003E3FF8" w:rsidP="00DC7081">
      <w:pPr>
        <w:tabs>
          <w:tab w:val="left" w:pos="851"/>
        </w:tabs>
        <w:autoSpaceDE w:val="0"/>
        <w:autoSpaceDN w:val="0"/>
        <w:rPr>
          <w:rFonts w:asciiTheme="minorHAnsi" w:hAnsiTheme="minorHAnsi" w:cstheme="minorHAnsi"/>
          <w:i/>
          <w:iCs/>
          <w:noProof/>
          <w:szCs w:val="16"/>
        </w:rPr>
      </w:pPr>
      <w:r>
        <w:rPr>
          <w:rFonts w:asciiTheme="minorHAnsi" w:hAnsiTheme="minorHAnsi" w:cstheme="minorHAnsi"/>
          <w:i/>
          <w:iCs/>
          <w:noProof/>
          <w:szCs w:val="16"/>
        </w:rPr>
        <w:drawing>
          <wp:inline distT="0" distB="0" distL="0" distR="0" wp14:anchorId="7DEE485A" wp14:editId="55C134E0">
            <wp:extent cx="5760085" cy="284353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jeto Letos - Material Publicitário - Sem cabeçalho e Rodapé_Página_04.png"/>
                    <pic:cNvPicPr/>
                  </pic:nvPicPr>
                  <pic:blipFill>
                    <a:blip r:embed="rId29">
                      <a:extLst>
                        <a:ext uri="{28A0092B-C50C-407E-A947-70E740481C1C}">
                          <a14:useLocalDpi xmlns:a14="http://schemas.microsoft.com/office/drawing/2010/main" val="0"/>
                        </a:ext>
                      </a:extLst>
                    </a:blip>
                    <a:stretch>
                      <a:fillRect/>
                    </a:stretch>
                  </pic:blipFill>
                  <pic:spPr>
                    <a:xfrm>
                      <a:off x="0" y="0"/>
                      <a:ext cx="5760085" cy="2843530"/>
                    </a:xfrm>
                    <a:prstGeom prst="rect">
                      <a:avLst/>
                    </a:prstGeom>
                  </pic:spPr>
                </pic:pic>
              </a:graphicData>
            </a:graphic>
          </wp:inline>
        </w:drawing>
      </w:r>
    </w:p>
    <w:p w14:paraId="25EC1FFF"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4A9C0744" wp14:editId="1CF8FD0F">
            <wp:extent cx="5760085" cy="284416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jeto Letos - Material Publicitário - Sem cabeçalho e Rodapé_Página_05.png"/>
                    <pic:cNvPicPr/>
                  </pic:nvPicPr>
                  <pic:blipFill>
                    <a:blip r:embed="rId30">
                      <a:extLst>
                        <a:ext uri="{28A0092B-C50C-407E-A947-70E740481C1C}">
                          <a14:useLocalDpi xmlns:a14="http://schemas.microsoft.com/office/drawing/2010/main" val="0"/>
                        </a:ext>
                      </a:extLst>
                    </a:blip>
                    <a:stretch>
                      <a:fillRect/>
                    </a:stretch>
                  </pic:blipFill>
                  <pic:spPr>
                    <a:xfrm>
                      <a:off x="0" y="0"/>
                      <a:ext cx="5760085" cy="2844165"/>
                    </a:xfrm>
                    <a:prstGeom prst="rect">
                      <a:avLst/>
                    </a:prstGeom>
                  </pic:spPr>
                </pic:pic>
              </a:graphicData>
            </a:graphic>
          </wp:inline>
        </w:drawing>
      </w:r>
    </w:p>
    <w:p w14:paraId="46BE75C2"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4440023E" wp14:editId="1710F51B">
            <wp:extent cx="5760085" cy="284416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jeto Letos - Material Publicitário - Sem cabeçalho e Rodapé_Página_06.png"/>
                    <pic:cNvPicPr/>
                  </pic:nvPicPr>
                  <pic:blipFill>
                    <a:blip r:embed="rId31">
                      <a:extLst>
                        <a:ext uri="{28A0092B-C50C-407E-A947-70E740481C1C}">
                          <a14:useLocalDpi xmlns:a14="http://schemas.microsoft.com/office/drawing/2010/main" val="0"/>
                        </a:ext>
                      </a:extLst>
                    </a:blip>
                    <a:stretch>
                      <a:fillRect/>
                    </a:stretch>
                  </pic:blipFill>
                  <pic:spPr>
                    <a:xfrm>
                      <a:off x="0" y="0"/>
                      <a:ext cx="5760085" cy="2844165"/>
                    </a:xfrm>
                    <a:prstGeom prst="rect">
                      <a:avLst/>
                    </a:prstGeom>
                  </pic:spPr>
                </pic:pic>
              </a:graphicData>
            </a:graphic>
          </wp:inline>
        </w:drawing>
      </w:r>
    </w:p>
    <w:p w14:paraId="243E19FF"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66109505" wp14:editId="0097B952">
            <wp:extent cx="5760085" cy="284099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jeto Letos - Material Publicitário - Sem cabeçalho e Rodapé_Página_07.png"/>
                    <pic:cNvPicPr/>
                  </pic:nvPicPr>
                  <pic:blipFill>
                    <a:blip r:embed="rId32">
                      <a:extLst>
                        <a:ext uri="{28A0092B-C50C-407E-A947-70E740481C1C}">
                          <a14:useLocalDpi xmlns:a14="http://schemas.microsoft.com/office/drawing/2010/main" val="0"/>
                        </a:ext>
                      </a:extLst>
                    </a:blip>
                    <a:stretch>
                      <a:fillRect/>
                    </a:stretch>
                  </pic:blipFill>
                  <pic:spPr>
                    <a:xfrm>
                      <a:off x="0" y="0"/>
                      <a:ext cx="5760085" cy="2840990"/>
                    </a:xfrm>
                    <a:prstGeom prst="rect">
                      <a:avLst/>
                    </a:prstGeom>
                  </pic:spPr>
                </pic:pic>
              </a:graphicData>
            </a:graphic>
          </wp:inline>
        </w:drawing>
      </w:r>
    </w:p>
    <w:p w14:paraId="0484D388"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1A68EE5E" wp14:editId="57AD2E38">
            <wp:extent cx="5760085" cy="284416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jeto Letos - Material Publicitário - Sem cabeçalho e Rodapé_Página_08.png"/>
                    <pic:cNvPicPr/>
                  </pic:nvPicPr>
                  <pic:blipFill>
                    <a:blip r:embed="rId33">
                      <a:extLst>
                        <a:ext uri="{28A0092B-C50C-407E-A947-70E740481C1C}">
                          <a14:useLocalDpi xmlns:a14="http://schemas.microsoft.com/office/drawing/2010/main" val="0"/>
                        </a:ext>
                      </a:extLst>
                    </a:blip>
                    <a:stretch>
                      <a:fillRect/>
                    </a:stretch>
                  </pic:blipFill>
                  <pic:spPr>
                    <a:xfrm>
                      <a:off x="0" y="0"/>
                      <a:ext cx="5760085" cy="2844165"/>
                    </a:xfrm>
                    <a:prstGeom prst="rect">
                      <a:avLst/>
                    </a:prstGeom>
                  </pic:spPr>
                </pic:pic>
              </a:graphicData>
            </a:graphic>
          </wp:inline>
        </w:drawing>
      </w:r>
    </w:p>
    <w:p w14:paraId="68AE9999"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54FF2EA7" wp14:editId="75FC9DFC">
            <wp:extent cx="5760085" cy="284099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jeto Letos - Material Publicitário - Sem cabeçalho e Rodapé_Página_0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2840990"/>
                    </a:xfrm>
                    <a:prstGeom prst="rect">
                      <a:avLst/>
                    </a:prstGeom>
                  </pic:spPr>
                </pic:pic>
              </a:graphicData>
            </a:graphic>
          </wp:inline>
        </w:drawing>
      </w:r>
    </w:p>
    <w:p w14:paraId="09B0BEDF"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797D32EA" wp14:editId="1CCEEDA3">
            <wp:extent cx="5760085" cy="284099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jeto Letos - Material Publicitário - Sem cabeçalho e Rodapé_Página_10.png"/>
                    <pic:cNvPicPr/>
                  </pic:nvPicPr>
                  <pic:blipFill>
                    <a:blip r:embed="rId35">
                      <a:extLst>
                        <a:ext uri="{28A0092B-C50C-407E-A947-70E740481C1C}">
                          <a14:useLocalDpi xmlns:a14="http://schemas.microsoft.com/office/drawing/2010/main" val="0"/>
                        </a:ext>
                      </a:extLst>
                    </a:blip>
                    <a:stretch>
                      <a:fillRect/>
                    </a:stretch>
                  </pic:blipFill>
                  <pic:spPr>
                    <a:xfrm>
                      <a:off x="0" y="0"/>
                      <a:ext cx="5760085" cy="2840990"/>
                    </a:xfrm>
                    <a:prstGeom prst="rect">
                      <a:avLst/>
                    </a:prstGeom>
                  </pic:spPr>
                </pic:pic>
              </a:graphicData>
            </a:graphic>
          </wp:inline>
        </w:drawing>
      </w:r>
    </w:p>
    <w:p w14:paraId="2BE9F1E5"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0EEA42CF" wp14:editId="497F3831">
            <wp:extent cx="5760085" cy="284416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jeto Letos - Material Publicitário - Sem cabeçalho e Rodapé_Página_11.png"/>
                    <pic:cNvPicPr/>
                  </pic:nvPicPr>
                  <pic:blipFill>
                    <a:blip r:embed="rId36">
                      <a:extLst>
                        <a:ext uri="{28A0092B-C50C-407E-A947-70E740481C1C}">
                          <a14:useLocalDpi xmlns:a14="http://schemas.microsoft.com/office/drawing/2010/main" val="0"/>
                        </a:ext>
                      </a:extLst>
                    </a:blip>
                    <a:stretch>
                      <a:fillRect/>
                    </a:stretch>
                  </pic:blipFill>
                  <pic:spPr>
                    <a:xfrm>
                      <a:off x="0" y="0"/>
                      <a:ext cx="5760085" cy="2844165"/>
                    </a:xfrm>
                    <a:prstGeom prst="rect">
                      <a:avLst/>
                    </a:prstGeom>
                  </pic:spPr>
                </pic:pic>
              </a:graphicData>
            </a:graphic>
          </wp:inline>
        </w:drawing>
      </w:r>
    </w:p>
    <w:p w14:paraId="7BE8DFAE"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449288AE" wp14:editId="309B8F8F">
            <wp:extent cx="5760085" cy="284099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jeto Letos - Material Publicitário - Sem cabeçalho e Rodapé_Página_12.png"/>
                    <pic:cNvPicPr/>
                  </pic:nvPicPr>
                  <pic:blipFill>
                    <a:blip r:embed="rId37">
                      <a:extLst>
                        <a:ext uri="{28A0092B-C50C-407E-A947-70E740481C1C}">
                          <a14:useLocalDpi xmlns:a14="http://schemas.microsoft.com/office/drawing/2010/main" val="0"/>
                        </a:ext>
                      </a:extLst>
                    </a:blip>
                    <a:stretch>
                      <a:fillRect/>
                    </a:stretch>
                  </pic:blipFill>
                  <pic:spPr>
                    <a:xfrm>
                      <a:off x="0" y="0"/>
                      <a:ext cx="5760085" cy="2840990"/>
                    </a:xfrm>
                    <a:prstGeom prst="rect">
                      <a:avLst/>
                    </a:prstGeom>
                  </pic:spPr>
                </pic:pic>
              </a:graphicData>
            </a:graphic>
          </wp:inline>
        </w:drawing>
      </w:r>
    </w:p>
    <w:p w14:paraId="5A1C8EF7"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5D0CE4E2" wp14:editId="5ADF4008">
            <wp:extent cx="5760085" cy="284543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jeto Letos - Material Publicitário - Sem cabeçalho e Rodapé_Página_13.png"/>
                    <pic:cNvPicPr/>
                  </pic:nvPicPr>
                  <pic:blipFill>
                    <a:blip r:embed="rId38">
                      <a:extLst>
                        <a:ext uri="{28A0092B-C50C-407E-A947-70E740481C1C}">
                          <a14:useLocalDpi xmlns:a14="http://schemas.microsoft.com/office/drawing/2010/main" val="0"/>
                        </a:ext>
                      </a:extLst>
                    </a:blip>
                    <a:stretch>
                      <a:fillRect/>
                    </a:stretch>
                  </pic:blipFill>
                  <pic:spPr>
                    <a:xfrm>
                      <a:off x="0" y="0"/>
                      <a:ext cx="5760085" cy="2845435"/>
                    </a:xfrm>
                    <a:prstGeom prst="rect">
                      <a:avLst/>
                    </a:prstGeom>
                  </pic:spPr>
                </pic:pic>
              </a:graphicData>
            </a:graphic>
          </wp:inline>
        </w:drawing>
      </w:r>
    </w:p>
    <w:p w14:paraId="2A69588C"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54374C0C" wp14:editId="6F89011D">
            <wp:extent cx="5760085" cy="284226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jeto Letos - Material Publicitário - Sem cabeçalho e Rodapé_Página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85" cy="2842260"/>
                    </a:xfrm>
                    <a:prstGeom prst="rect">
                      <a:avLst/>
                    </a:prstGeom>
                  </pic:spPr>
                </pic:pic>
              </a:graphicData>
            </a:graphic>
          </wp:inline>
        </w:drawing>
      </w:r>
    </w:p>
    <w:p w14:paraId="36B75F47"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7C04728E" wp14:editId="7377CBD2">
            <wp:extent cx="5760085" cy="284099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jeto Letos - Material Publicitário - Sem cabeçalho e Rodapé_Página_15.png"/>
                    <pic:cNvPicPr/>
                  </pic:nvPicPr>
                  <pic:blipFill>
                    <a:blip r:embed="rId40">
                      <a:extLst>
                        <a:ext uri="{28A0092B-C50C-407E-A947-70E740481C1C}">
                          <a14:useLocalDpi xmlns:a14="http://schemas.microsoft.com/office/drawing/2010/main" val="0"/>
                        </a:ext>
                      </a:extLst>
                    </a:blip>
                    <a:stretch>
                      <a:fillRect/>
                    </a:stretch>
                  </pic:blipFill>
                  <pic:spPr>
                    <a:xfrm>
                      <a:off x="0" y="0"/>
                      <a:ext cx="5760085" cy="2840990"/>
                    </a:xfrm>
                    <a:prstGeom prst="rect">
                      <a:avLst/>
                    </a:prstGeom>
                  </pic:spPr>
                </pic:pic>
              </a:graphicData>
            </a:graphic>
          </wp:inline>
        </w:drawing>
      </w:r>
    </w:p>
    <w:p w14:paraId="263B8554"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145F6082" wp14:editId="010D1FC9">
            <wp:extent cx="5760085" cy="284226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jeto Letos - Material Publicitário - Sem cabeçalho e Rodapé_Página_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85" cy="2842260"/>
                    </a:xfrm>
                    <a:prstGeom prst="rect">
                      <a:avLst/>
                    </a:prstGeom>
                  </pic:spPr>
                </pic:pic>
              </a:graphicData>
            </a:graphic>
          </wp:inline>
        </w:drawing>
      </w:r>
    </w:p>
    <w:p w14:paraId="68B9CAB0"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2BC041F6" wp14:editId="1F757798">
            <wp:extent cx="5760085" cy="284543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jeto Letos - Material Publicitário - Sem cabeçalho e Rodapé_Página_17.png"/>
                    <pic:cNvPicPr/>
                  </pic:nvPicPr>
                  <pic:blipFill>
                    <a:blip r:embed="rId42">
                      <a:extLst>
                        <a:ext uri="{28A0092B-C50C-407E-A947-70E740481C1C}">
                          <a14:useLocalDpi xmlns:a14="http://schemas.microsoft.com/office/drawing/2010/main" val="0"/>
                        </a:ext>
                      </a:extLst>
                    </a:blip>
                    <a:stretch>
                      <a:fillRect/>
                    </a:stretch>
                  </pic:blipFill>
                  <pic:spPr>
                    <a:xfrm>
                      <a:off x="0" y="0"/>
                      <a:ext cx="5760085" cy="2845435"/>
                    </a:xfrm>
                    <a:prstGeom prst="rect">
                      <a:avLst/>
                    </a:prstGeom>
                  </pic:spPr>
                </pic:pic>
              </a:graphicData>
            </a:graphic>
          </wp:inline>
        </w:drawing>
      </w:r>
    </w:p>
    <w:p w14:paraId="6906A33E"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49FA7B31" wp14:editId="12C0947C">
            <wp:extent cx="5760085" cy="284226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jeto Letos - Material Publicitário - Sem cabeçalho e Rodapé_Página_18.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085" cy="2842260"/>
                    </a:xfrm>
                    <a:prstGeom prst="rect">
                      <a:avLst/>
                    </a:prstGeom>
                  </pic:spPr>
                </pic:pic>
              </a:graphicData>
            </a:graphic>
          </wp:inline>
        </w:drawing>
      </w:r>
    </w:p>
    <w:p w14:paraId="370D594F"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37ED531B" wp14:editId="333BA89E">
            <wp:extent cx="5760085" cy="284099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jeto Letos - Material Publicitário - Sem cabeçalho e Rodapé_Página_19.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085" cy="2840990"/>
                    </a:xfrm>
                    <a:prstGeom prst="rect">
                      <a:avLst/>
                    </a:prstGeom>
                  </pic:spPr>
                </pic:pic>
              </a:graphicData>
            </a:graphic>
          </wp:inline>
        </w:drawing>
      </w:r>
    </w:p>
    <w:p w14:paraId="1707C0B7"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25674B83" wp14:editId="7D463F12">
            <wp:extent cx="5760085" cy="28422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jeto Letos - Material Publicitário - Sem cabeçalho e Rodapé_Página_20.png"/>
                    <pic:cNvPicPr/>
                  </pic:nvPicPr>
                  <pic:blipFill>
                    <a:blip r:embed="rId45">
                      <a:extLst>
                        <a:ext uri="{28A0092B-C50C-407E-A947-70E740481C1C}">
                          <a14:useLocalDpi xmlns:a14="http://schemas.microsoft.com/office/drawing/2010/main" val="0"/>
                        </a:ext>
                      </a:extLst>
                    </a:blip>
                    <a:stretch>
                      <a:fillRect/>
                    </a:stretch>
                  </pic:blipFill>
                  <pic:spPr>
                    <a:xfrm>
                      <a:off x="0" y="0"/>
                      <a:ext cx="5760085" cy="2842260"/>
                    </a:xfrm>
                    <a:prstGeom prst="rect">
                      <a:avLst/>
                    </a:prstGeom>
                  </pic:spPr>
                </pic:pic>
              </a:graphicData>
            </a:graphic>
          </wp:inline>
        </w:drawing>
      </w:r>
    </w:p>
    <w:p w14:paraId="7C5C9E5A"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3EE0B223" wp14:editId="0AEE9200">
            <wp:extent cx="5760085" cy="284099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jeto Letos - Material Publicitário - Sem cabeçalho e Rodapé_Página_21.png"/>
                    <pic:cNvPicPr/>
                  </pic:nvPicPr>
                  <pic:blipFill>
                    <a:blip r:embed="rId46">
                      <a:extLst>
                        <a:ext uri="{28A0092B-C50C-407E-A947-70E740481C1C}">
                          <a14:useLocalDpi xmlns:a14="http://schemas.microsoft.com/office/drawing/2010/main" val="0"/>
                        </a:ext>
                      </a:extLst>
                    </a:blip>
                    <a:stretch>
                      <a:fillRect/>
                    </a:stretch>
                  </pic:blipFill>
                  <pic:spPr>
                    <a:xfrm>
                      <a:off x="0" y="0"/>
                      <a:ext cx="5760085" cy="2840990"/>
                    </a:xfrm>
                    <a:prstGeom prst="rect">
                      <a:avLst/>
                    </a:prstGeom>
                  </pic:spPr>
                </pic:pic>
              </a:graphicData>
            </a:graphic>
          </wp:inline>
        </w:drawing>
      </w:r>
    </w:p>
    <w:p w14:paraId="49244845"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147BF25A" wp14:editId="7D63B23C">
            <wp:extent cx="5760085" cy="284416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jeto Letos - Material Publicitário - Sem cabeçalho e Rodapé_Página_22.png"/>
                    <pic:cNvPicPr/>
                  </pic:nvPicPr>
                  <pic:blipFill>
                    <a:blip r:embed="rId47">
                      <a:extLst>
                        <a:ext uri="{28A0092B-C50C-407E-A947-70E740481C1C}">
                          <a14:useLocalDpi xmlns:a14="http://schemas.microsoft.com/office/drawing/2010/main" val="0"/>
                        </a:ext>
                      </a:extLst>
                    </a:blip>
                    <a:stretch>
                      <a:fillRect/>
                    </a:stretch>
                  </pic:blipFill>
                  <pic:spPr>
                    <a:xfrm>
                      <a:off x="0" y="0"/>
                      <a:ext cx="5760085" cy="2844165"/>
                    </a:xfrm>
                    <a:prstGeom prst="rect">
                      <a:avLst/>
                    </a:prstGeom>
                  </pic:spPr>
                </pic:pic>
              </a:graphicData>
            </a:graphic>
          </wp:inline>
        </w:drawing>
      </w:r>
    </w:p>
    <w:p w14:paraId="5366222F" w14:textId="77777777" w:rsidR="003E3FF8"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7F114671" wp14:editId="6588268C">
            <wp:extent cx="5760085" cy="28448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ojeto Letos - Material Publicitário - Sem cabeçalho e Rodapé_Página_2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85" cy="2844800"/>
                    </a:xfrm>
                    <a:prstGeom prst="rect">
                      <a:avLst/>
                    </a:prstGeom>
                  </pic:spPr>
                </pic:pic>
              </a:graphicData>
            </a:graphic>
          </wp:inline>
        </w:drawing>
      </w:r>
    </w:p>
    <w:p w14:paraId="258FDCDC" w14:textId="0FF55FBA" w:rsidR="00065DBC" w:rsidRPr="001E6E9D" w:rsidRDefault="00CE6F72" w:rsidP="00DC7081">
      <w:pPr>
        <w:tabs>
          <w:tab w:val="left" w:pos="851"/>
        </w:tabs>
        <w:autoSpaceDE w:val="0"/>
        <w:autoSpaceDN w:val="0"/>
        <w:rPr>
          <w:rFonts w:asciiTheme="minorHAnsi" w:hAnsiTheme="minorHAnsi" w:cstheme="minorHAnsi"/>
          <w:i/>
          <w:iCs/>
          <w:szCs w:val="16"/>
        </w:rPr>
      </w:pPr>
      <w:r>
        <w:rPr>
          <w:rFonts w:asciiTheme="minorHAnsi" w:hAnsiTheme="minorHAnsi" w:cstheme="minorHAnsi"/>
          <w:i/>
          <w:iCs/>
          <w:noProof/>
          <w:szCs w:val="16"/>
        </w:rPr>
        <w:drawing>
          <wp:inline distT="0" distB="0" distL="0" distR="0" wp14:anchorId="3A4D52A8" wp14:editId="0ECB5811">
            <wp:extent cx="5760085" cy="284416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jeto Letos - Material Publicitário - Sem cabeçalho e Rodapé_Página_24.png"/>
                    <pic:cNvPicPr/>
                  </pic:nvPicPr>
                  <pic:blipFill>
                    <a:blip r:embed="rId49">
                      <a:extLst>
                        <a:ext uri="{28A0092B-C50C-407E-A947-70E740481C1C}">
                          <a14:useLocalDpi xmlns:a14="http://schemas.microsoft.com/office/drawing/2010/main" val="0"/>
                        </a:ext>
                      </a:extLst>
                    </a:blip>
                    <a:stretch>
                      <a:fillRect/>
                    </a:stretch>
                  </pic:blipFill>
                  <pic:spPr>
                    <a:xfrm>
                      <a:off x="0" y="0"/>
                      <a:ext cx="5760085" cy="2844165"/>
                    </a:xfrm>
                    <a:prstGeom prst="rect">
                      <a:avLst/>
                    </a:prstGeom>
                  </pic:spPr>
                </pic:pic>
              </a:graphicData>
            </a:graphic>
          </wp:inline>
        </w:drawing>
      </w:r>
    </w:p>
    <w:p w14:paraId="3067CC75" w14:textId="6DEFDA20" w:rsidR="00E30E83" w:rsidRPr="001E6E9D" w:rsidRDefault="00E30E83" w:rsidP="00DC7081">
      <w:pPr>
        <w:tabs>
          <w:tab w:val="left" w:pos="851"/>
        </w:tabs>
        <w:autoSpaceDE w:val="0"/>
        <w:autoSpaceDN w:val="0"/>
        <w:ind w:left="142"/>
        <w:rPr>
          <w:rFonts w:asciiTheme="minorHAnsi" w:hAnsiTheme="minorHAnsi" w:cstheme="minorHAnsi"/>
          <w:i/>
          <w:iCs/>
          <w:szCs w:val="16"/>
        </w:rPr>
        <w:sectPr w:rsidR="00E30E83" w:rsidRPr="001E6E9D" w:rsidSect="00B526F3">
          <w:headerReference w:type="default" r:id="rId50"/>
          <w:pgSz w:w="11906" w:h="16840" w:code="9"/>
          <w:pgMar w:top="851" w:right="567" w:bottom="851" w:left="2268" w:header="0" w:footer="284" w:gutter="0"/>
          <w:cols w:space="708"/>
          <w:docGrid w:linePitch="360"/>
        </w:sectPr>
      </w:pPr>
    </w:p>
    <w:p w14:paraId="0CEDB95A" w14:textId="369224DE" w:rsidR="00767873" w:rsidRPr="001E6E9D" w:rsidRDefault="00767873" w:rsidP="00DC7081">
      <w:pPr>
        <w:pStyle w:val="Ttulo1"/>
        <w:rPr>
          <w:lang w:eastAsia="pt-BR"/>
        </w:rPr>
      </w:pPr>
      <w:bookmarkStart w:id="318" w:name="_Toc184129257"/>
      <w:r w:rsidRPr="001E6E9D">
        <w:rPr>
          <w:lang w:eastAsia="pt-BR"/>
        </w:rPr>
        <w:t>14. INFORMAÇÕES ADICIONAIS EM ATENDIMENTO AO CÓDIGO ANBIMA</w:t>
      </w:r>
      <w:bookmarkEnd w:id="318"/>
    </w:p>
    <w:p w14:paraId="1E713C4F" w14:textId="77777777" w:rsidR="00065DBC" w:rsidRPr="001E6E9D" w:rsidRDefault="00767873" w:rsidP="00DC7081">
      <w:pPr>
        <w:autoSpaceDE w:val="0"/>
        <w:autoSpaceDN w:val="0"/>
        <w:spacing w:after="160"/>
        <w:rPr>
          <w:rFonts w:asciiTheme="minorHAnsi" w:eastAsia="Times New Roman" w:hAnsiTheme="minorHAnsi" w:cstheme="minorHAnsi"/>
          <w:i/>
          <w:iCs/>
          <w:szCs w:val="20"/>
          <w:lang w:eastAsia="pt-BR"/>
        </w:rPr>
      </w:pPr>
      <w:r w:rsidRPr="001E6E9D">
        <w:rPr>
          <w:rFonts w:asciiTheme="minorHAnsi" w:eastAsia="Times New Roman" w:hAnsiTheme="minorHAnsi" w:cstheme="minorHAnsi"/>
          <w:i/>
          <w:iCs/>
          <w:szCs w:val="20"/>
          <w:lang w:eastAsia="pt-BR"/>
        </w:rPr>
        <w:t>Em atendimento às regras e disposições constantes do Código ANBIMA, adicionalmente às informações já constantes deste Prospecto, seguem abaixo informações adicionais referentes às Debêntures e à Oferta.</w:t>
      </w:r>
    </w:p>
    <w:p w14:paraId="61DCFCA1" w14:textId="5235A3A9" w:rsidR="00065DBC" w:rsidRPr="001E6E9D" w:rsidRDefault="00767873" w:rsidP="00DC7081">
      <w:pPr>
        <w:pStyle w:val="Ttulo2"/>
      </w:pPr>
      <w:bookmarkStart w:id="319" w:name="_Ref178195045"/>
      <w:bookmarkStart w:id="320" w:name="_Toc178197421"/>
      <w:bookmarkStart w:id="321" w:name="_Toc178948915"/>
      <w:bookmarkStart w:id="322" w:name="_Toc184129258"/>
      <w:bookmarkStart w:id="323" w:name="_Toc138817040"/>
      <w:bookmarkStart w:id="324" w:name="_Toc138836747"/>
      <w:bookmarkStart w:id="325" w:name="_Toc156505802"/>
      <w:bookmarkStart w:id="326" w:name="_Ref163421066"/>
      <w:bookmarkStart w:id="327" w:name="_Toc163697753"/>
      <w:r w:rsidRPr="001E6E9D">
        <w:t xml:space="preserve">14.2. seção de fatores de risco: </w:t>
      </w:r>
      <w:r w:rsidR="0011719B" w:rsidRPr="001E6E9D">
        <w:t>descrição, sem mitigação ou quaisquer declarações de caráter genérico, seguindo ordem decrescente de materialidade dos riscos, dos fatores de risco específicos em relação ao emissor, ao valor mobiliário ofertado, à Oferta Pública e ao terceiro garantidor, caso aplicável, considerados relevantes, assim entendidos aqueles que sejam capazes de afetar a decisão de investimento do potencial investidor, incluindo, mas não se limitando a:</w:t>
      </w:r>
      <w:bookmarkEnd w:id="319"/>
      <w:bookmarkEnd w:id="320"/>
      <w:bookmarkEnd w:id="321"/>
      <w:bookmarkEnd w:id="322"/>
    </w:p>
    <w:p w14:paraId="781D748F" w14:textId="430799FA" w:rsidR="00065DBC" w:rsidRPr="001E6E9D" w:rsidRDefault="00767873" w:rsidP="00DC7081">
      <w:pPr>
        <w:autoSpaceDE w:val="0"/>
        <w:autoSpaceDN w:val="0"/>
        <w:spacing w:after="160"/>
        <w:rPr>
          <w:rFonts w:asciiTheme="minorHAnsi" w:eastAsia="Times New Roman" w:hAnsiTheme="minorHAnsi" w:cstheme="minorHAnsi"/>
          <w:i/>
          <w:iCs/>
          <w:szCs w:val="20"/>
          <w:lang w:eastAsia="pt-BR"/>
        </w:rPr>
      </w:pPr>
      <w:r w:rsidRPr="001E6E9D">
        <w:rPr>
          <w:rFonts w:asciiTheme="minorHAnsi" w:eastAsia="Times New Roman" w:hAnsiTheme="minorHAnsi" w:cstheme="minorHAnsi"/>
          <w:i/>
          <w:iCs/>
          <w:szCs w:val="20"/>
          <w:lang w:eastAsia="pt-BR"/>
        </w:rPr>
        <w:t xml:space="preserve">Veja a Seção </w:t>
      </w:r>
      <w:r w:rsidR="000D5E35" w:rsidRPr="001E6E9D">
        <w:rPr>
          <w:rFonts w:asciiTheme="minorHAnsi" w:eastAsia="Times New Roman" w:hAnsiTheme="minorHAnsi" w:cstheme="minorHAnsi"/>
          <w:i/>
          <w:iCs/>
          <w:szCs w:val="20"/>
          <w:lang w:eastAsia="pt-BR"/>
        </w:rPr>
        <w:t>“</w:t>
      </w:r>
      <w:r w:rsidRPr="001E6E9D">
        <w:rPr>
          <w:rFonts w:asciiTheme="minorHAnsi" w:eastAsia="Times New Roman" w:hAnsiTheme="minorHAnsi" w:cstheme="minorHAnsi"/>
          <w:i/>
          <w:iCs/>
          <w:szCs w:val="20"/>
          <w:lang w:eastAsia="pt-BR"/>
        </w:rPr>
        <w:t xml:space="preserve">4. Fatores de Risco”, na página </w:t>
      </w:r>
      <w:r w:rsidR="00CB28AC" w:rsidRPr="001E6E9D">
        <w:rPr>
          <w:rFonts w:asciiTheme="minorHAnsi" w:eastAsia="Times New Roman" w:hAnsiTheme="minorHAnsi" w:cstheme="minorHAnsi"/>
          <w:bCs/>
          <w:i/>
          <w:iCs/>
          <w:szCs w:val="20"/>
          <w:lang w:eastAsia="pt-BR"/>
        </w:rPr>
        <w:fldChar w:fldCharType="begin"/>
      </w:r>
      <w:r w:rsidR="00CB28AC" w:rsidRPr="001E6E9D">
        <w:rPr>
          <w:rFonts w:asciiTheme="minorHAnsi" w:eastAsia="Times New Roman" w:hAnsiTheme="minorHAnsi" w:cstheme="minorHAnsi"/>
          <w:i/>
          <w:iCs/>
          <w:szCs w:val="20"/>
          <w:lang w:eastAsia="pt-BR"/>
        </w:rPr>
        <w:instrText xml:space="preserve"> PAGEREF _Ref158844927 \h </w:instrText>
      </w:r>
      <w:r w:rsidR="00CB28AC" w:rsidRPr="001E6E9D">
        <w:rPr>
          <w:rFonts w:asciiTheme="minorHAnsi" w:eastAsia="Times New Roman" w:hAnsiTheme="minorHAnsi" w:cstheme="minorHAnsi"/>
          <w:bCs/>
          <w:i/>
          <w:iCs/>
          <w:szCs w:val="20"/>
          <w:lang w:eastAsia="pt-BR"/>
        </w:rPr>
      </w:r>
      <w:r w:rsidR="00CB28AC" w:rsidRPr="001E6E9D">
        <w:rPr>
          <w:rFonts w:asciiTheme="minorHAnsi" w:eastAsia="Times New Roman" w:hAnsiTheme="minorHAnsi" w:cstheme="minorHAnsi"/>
          <w:bCs/>
          <w:i/>
          <w:iCs/>
          <w:szCs w:val="20"/>
          <w:lang w:eastAsia="pt-BR"/>
        </w:rPr>
        <w:fldChar w:fldCharType="separate"/>
      </w:r>
      <w:r w:rsidR="00720666">
        <w:rPr>
          <w:rFonts w:asciiTheme="minorHAnsi" w:eastAsia="Times New Roman" w:hAnsiTheme="minorHAnsi" w:cstheme="minorHAnsi"/>
          <w:i/>
          <w:iCs/>
          <w:noProof/>
          <w:szCs w:val="20"/>
          <w:lang w:eastAsia="pt-BR"/>
        </w:rPr>
        <w:t>45</w:t>
      </w:r>
      <w:r w:rsidR="00CB28AC" w:rsidRPr="001E6E9D">
        <w:rPr>
          <w:rFonts w:asciiTheme="minorHAnsi" w:eastAsia="Times New Roman" w:hAnsiTheme="minorHAnsi" w:cstheme="minorHAnsi"/>
          <w:bCs/>
          <w:i/>
          <w:iCs/>
          <w:szCs w:val="20"/>
          <w:lang w:eastAsia="pt-BR"/>
        </w:rPr>
        <w:fldChar w:fldCharType="end"/>
      </w:r>
      <w:r w:rsidRPr="001E6E9D">
        <w:rPr>
          <w:rFonts w:asciiTheme="minorHAnsi" w:eastAsia="Times New Roman" w:hAnsiTheme="minorHAnsi" w:cstheme="minorHAnsi"/>
          <w:i/>
          <w:iCs/>
          <w:szCs w:val="20"/>
          <w:lang w:eastAsia="pt-BR"/>
        </w:rPr>
        <w:t xml:space="preserve"> e seguintes deste Prospecto.</w:t>
      </w:r>
    </w:p>
    <w:p w14:paraId="2D08AFC7" w14:textId="5869535D" w:rsidR="00065DBC" w:rsidRPr="001E6E9D" w:rsidRDefault="00767873" w:rsidP="00DC7081">
      <w:pPr>
        <w:autoSpaceDE w:val="0"/>
        <w:autoSpaceDN w:val="0"/>
        <w:spacing w:after="160"/>
        <w:rPr>
          <w:rFonts w:asciiTheme="minorHAnsi" w:eastAsia="Times New Roman" w:hAnsiTheme="minorHAnsi" w:cstheme="minorHAnsi"/>
          <w:b/>
          <w:bCs/>
          <w:i/>
          <w:iCs/>
          <w:szCs w:val="20"/>
          <w:lang w:eastAsia="pt-BR"/>
        </w:rPr>
      </w:pPr>
      <w:r w:rsidRPr="001E6E9D">
        <w:rPr>
          <w:rFonts w:asciiTheme="minorHAnsi" w:eastAsia="Times New Roman" w:hAnsiTheme="minorHAnsi" w:cstheme="minorHAnsi"/>
          <w:b/>
          <w:bCs/>
          <w:i/>
          <w:iCs/>
          <w:szCs w:val="20"/>
          <w:lang w:eastAsia="pt-BR"/>
        </w:rPr>
        <w:t>a. possibilidade de resgate antecipado</w:t>
      </w:r>
      <w:r w:rsidR="0011719B" w:rsidRPr="001E6E9D">
        <w:rPr>
          <w:rFonts w:asciiTheme="minorHAnsi" w:eastAsia="Times New Roman" w:hAnsiTheme="minorHAnsi" w:cstheme="minorHAnsi"/>
          <w:b/>
          <w:bCs/>
          <w:i/>
          <w:iCs/>
          <w:szCs w:val="20"/>
          <w:lang w:eastAsia="pt-BR"/>
        </w:rPr>
        <w:t>,</w:t>
      </w:r>
      <w:r w:rsidRPr="001E6E9D">
        <w:rPr>
          <w:rFonts w:asciiTheme="minorHAnsi" w:eastAsia="Times New Roman" w:hAnsiTheme="minorHAnsi" w:cstheme="minorHAnsi"/>
          <w:b/>
          <w:bCs/>
          <w:i/>
          <w:iCs/>
          <w:szCs w:val="20"/>
          <w:lang w:eastAsia="pt-BR"/>
        </w:rPr>
        <w:t xml:space="preserve"> amortização antecipada </w:t>
      </w:r>
      <w:r w:rsidR="0011719B" w:rsidRPr="001E6E9D">
        <w:rPr>
          <w:rFonts w:asciiTheme="minorHAnsi" w:eastAsia="Times New Roman" w:hAnsiTheme="minorHAnsi" w:cstheme="minorHAnsi"/>
          <w:b/>
          <w:bCs/>
          <w:i/>
          <w:iCs/>
          <w:szCs w:val="20"/>
          <w:lang w:eastAsia="pt-BR"/>
        </w:rPr>
        <w:t>e/ou realização de oferta pública de resgate antecipado dos valores mobiliários de renda fixa objeto da oferta pública</w:t>
      </w:r>
      <w:r w:rsidRPr="001E6E9D">
        <w:rPr>
          <w:rFonts w:asciiTheme="minorHAnsi" w:eastAsia="Times New Roman" w:hAnsiTheme="minorHAnsi" w:cstheme="minorHAnsi"/>
          <w:b/>
          <w:bCs/>
          <w:i/>
          <w:iCs/>
          <w:szCs w:val="20"/>
          <w:lang w:eastAsia="pt-BR"/>
        </w:rPr>
        <w:t xml:space="preserve">, a exclusivo critério da emissora, incluindo a ocorrência de possíveis perdas financeiras para os investidores, inclusive </w:t>
      </w:r>
      <w:r w:rsidR="0011719B" w:rsidRPr="001E6E9D">
        <w:rPr>
          <w:rFonts w:asciiTheme="minorHAnsi" w:eastAsia="Times New Roman" w:hAnsiTheme="minorHAnsi" w:cstheme="minorHAnsi"/>
          <w:b/>
          <w:bCs/>
          <w:i/>
          <w:iCs/>
          <w:szCs w:val="20"/>
          <w:lang w:eastAsia="pt-BR"/>
        </w:rPr>
        <w:t>na hipótese de aumento ou incidência de</w:t>
      </w:r>
      <w:r w:rsidRPr="001E6E9D">
        <w:rPr>
          <w:rFonts w:asciiTheme="minorHAnsi" w:eastAsia="Times New Roman" w:hAnsiTheme="minorHAnsi" w:cstheme="minorHAnsi"/>
          <w:b/>
          <w:bCs/>
          <w:i/>
          <w:iCs/>
          <w:szCs w:val="20"/>
          <w:lang w:eastAsia="pt-BR"/>
        </w:rPr>
        <w:t xml:space="preserve"> tributação.</w:t>
      </w:r>
    </w:p>
    <w:p w14:paraId="2394FEBE" w14:textId="581C975C" w:rsidR="00065DBC" w:rsidRPr="001E6E9D" w:rsidRDefault="00767873" w:rsidP="00DC7081">
      <w:pPr>
        <w:autoSpaceDE w:val="0"/>
        <w:autoSpaceDN w:val="0"/>
        <w:spacing w:after="160"/>
        <w:rPr>
          <w:rFonts w:asciiTheme="minorHAnsi" w:eastAsia="Times New Roman" w:hAnsiTheme="minorHAnsi" w:cstheme="minorHAnsi"/>
          <w:i/>
          <w:iCs/>
          <w:szCs w:val="20"/>
          <w:lang w:eastAsia="pt-BR"/>
        </w:rPr>
      </w:pPr>
      <w:r w:rsidRPr="001E6E9D">
        <w:rPr>
          <w:rFonts w:asciiTheme="minorHAnsi" w:eastAsia="Times New Roman" w:hAnsiTheme="minorHAnsi" w:cstheme="minorHAnsi"/>
          <w:i/>
          <w:iCs/>
          <w:szCs w:val="20"/>
          <w:lang w:eastAsia="pt-BR"/>
        </w:rPr>
        <w:t xml:space="preserve">Veja a Seção </w:t>
      </w:r>
      <w:r w:rsidR="000D5E35" w:rsidRPr="001E6E9D">
        <w:rPr>
          <w:rFonts w:asciiTheme="minorHAnsi" w:eastAsia="Times New Roman" w:hAnsiTheme="minorHAnsi" w:cstheme="minorHAnsi"/>
          <w:i/>
          <w:iCs/>
          <w:szCs w:val="20"/>
          <w:lang w:eastAsia="pt-BR"/>
        </w:rPr>
        <w:t>“</w:t>
      </w:r>
      <w:r w:rsidRPr="001E6E9D">
        <w:rPr>
          <w:rFonts w:asciiTheme="minorHAnsi" w:eastAsia="Times New Roman" w:hAnsiTheme="minorHAnsi" w:cstheme="minorHAnsi"/>
          <w:i/>
          <w:iCs/>
          <w:szCs w:val="20"/>
          <w:lang w:eastAsia="pt-BR"/>
        </w:rPr>
        <w:t xml:space="preserve">4. Fatores de Risco”, na página </w:t>
      </w:r>
      <w:r w:rsidR="00CB28AC" w:rsidRPr="001E6E9D">
        <w:rPr>
          <w:rFonts w:asciiTheme="minorHAnsi" w:eastAsia="Times New Roman" w:hAnsiTheme="minorHAnsi" w:cstheme="minorHAnsi"/>
          <w:bCs/>
          <w:i/>
          <w:iCs/>
          <w:szCs w:val="20"/>
          <w:lang w:eastAsia="pt-BR"/>
        </w:rPr>
        <w:fldChar w:fldCharType="begin"/>
      </w:r>
      <w:r w:rsidR="00CB28AC" w:rsidRPr="001E6E9D">
        <w:rPr>
          <w:rFonts w:asciiTheme="minorHAnsi" w:eastAsia="Times New Roman" w:hAnsiTheme="minorHAnsi" w:cstheme="minorHAnsi"/>
          <w:i/>
          <w:iCs/>
          <w:szCs w:val="20"/>
          <w:lang w:eastAsia="pt-BR"/>
        </w:rPr>
        <w:instrText xml:space="preserve"> PAGEREF _Ref158844927 \h </w:instrText>
      </w:r>
      <w:r w:rsidR="00CB28AC" w:rsidRPr="001E6E9D">
        <w:rPr>
          <w:rFonts w:asciiTheme="minorHAnsi" w:eastAsia="Times New Roman" w:hAnsiTheme="minorHAnsi" w:cstheme="minorHAnsi"/>
          <w:bCs/>
          <w:i/>
          <w:iCs/>
          <w:szCs w:val="20"/>
          <w:lang w:eastAsia="pt-BR"/>
        </w:rPr>
      </w:r>
      <w:r w:rsidR="00CB28AC" w:rsidRPr="001E6E9D">
        <w:rPr>
          <w:rFonts w:asciiTheme="minorHAnsi" w:eastAsia="Times New Roman" w:hAnsiTheme="minorHAnsi" w:cstheme="minorHAnsi"/>
          <w:bCs/>
          <w:i/>
          <w:iCs/>
          <w:szCs w:val="20"/>
          <w:lang w:eastAsia="pt-BR"/>
        </w:rPr>
        <w:fldChar w:fldCharType="separate"/>
      </w:r>
      <w:r w:rsidR="00720666">
        <w:rPr>
          <w:rFonts w:asciiTheme="minorHAnsi" w:eastAsia="Times New Roman" w:hAnsiTheme="minorHAnsi" w:cstheme="minorHAnsi"/>
          <w:i/>
          <w:iCs/>
          <w:noProof/>
          <w:szCs w:val="20"/>
          <w:lang w:eastAsia="pt-BR"/>
        </w:rPr>
        <w:t>45</w:t>
      </w:r>
      <w:r w:rsidR="00CB28AC" w:rsidRPr="001E6E9D">
        <w:rPr>
          <w:rFonts w:asciiTheme="minorHAnsi" w:eastAsia="Times New Roman" w:hAnsiTheme="minorHAnsi" w:cstheme="minorHAnsi"/>
          <w:bCs/>
          <w:i/>
          <w:iCs/>
          <w:szCs w:val="20"/>
          <w:lang w:eastAsia="pt-BR"/>
        </w:rPr>
        <w:fldChar w:fldCharType="end"/>
      </w:r>
      <w:r w:rsidRPr="001E6E9D">
        <w:rPr>
          <w:rFonts w:asciiTheme="minorHAnsi" w:eastAsia="Times New Roman" w:hAnsiTheme="minorHAnsi" w:cstheme="minorHAnsi"/>
          <w:i/>
          <w:iCs/>
          <w:szCs w:val="20"/>
          <w:lang w:eastAsia="pt-BR"/>
        </w:rPr>
        <w:t xml:space="preserve"> e seguintes deste Prospecto.</w:t>
      </w:r>
    </w:p>
    <w:p w14:paraId="0B2C1B7D" w14:textId="5920B2EB" w:rsidR="00065DBC" w:rsidRPr="001E6E9D" w:rsidRDefault="00767873" w:rsidP="00DC7081">
      <w:pPr>
        <w:autoSpaceDE w:val="0"/>
        <w:autoSpaceDN w:val="0"/>
        <w:spacing w:after="160"/>
        <w:rPr>
          <w:rFonts w:asciiTheme="minorHAnsi" w:eastAsia="Times New Roman" w:hAnsiTheme="minorHAnsi" w:cstheme="minorHAnsi"/>
          <w:b/>
          <w:bCs/>
          <w:i/>
          <w:iCs/>
          <w:szCs w:val="20"/>
          <w:lang w:eastAsia="pt-BR"/>
        </w:rPr>
      </w:pPr>
      <w:r w:rsidRPr="001E6E9D">
        <w:rPr>
          <w:rFonts w:asciiTheme="minorHAnsi" w:eastAsia="Times New Roman" w:hAnsiTheme="minorHAnsi" w:cstheme="minorHAnsi"/>
          <w:b/>
          <w:bCs/>
          <w:i/>
          <w:iCs/>
          <w:szCs w:val="20"/>
          <w:lang w:eastAsia="pt-BR"/>
        </w:rPr>
        <w:t>b. o risco pertinente à eventual não colocação, ou colocação parcial, dos valores mobiliários objeto da oferta pública de renda fixa, bem como as consequências advindas da não colocação integral dos valores mobiliários ofertados.</w:t>
      </w:r>
    </w:p>
    <w:p w14:paraId="1BB1914D" w14:textId="5B3F9DDF" w:rsidR="00065DBC" w:rsidRPr="001E6E9D" w:rsidRDefault="00767873" w:rsidP="00DC7081">
      <w:pPr>
        <w:autoSpaceDE w:val="0"/>
        <w:autoSpaceDN w:val="0"/>
        <w:spacing w:after="160"/>
        <w:rPr>
          <w:rFonts w:asciiTheme="minorHAnsi" w:eastAsia="Times New Roman" w:hAnsiTheme="minorHAnsi" w:cstheme="minorHAnsi"/>
          <w:i/>
          <w:iCs/>
          <w:szCs w:val="20"/>
          <w:lang w:eastAsia="pt-BR"/>
        </w:rPr>
      </w:pPr>
      <w:r w:rsidRPr="001E6E9D">
        <w:rPr>
          <w:rFonts w:asciiTheme="minorHAnsi" w:eastAsia="Times New Roman" w:hAnsiTheme="minorHAnsi" w:cstheme="minorHAnsi"/>
          <w:i/>
          <w:iCs/>
          <w:szCs w:val="20"/>
          <w:lang w:eastAsia="pt-BR"/>
        </w:rPr>
        <w:t xml:space="preserve">Veja a Seção </w:t>
      </w:r>
      <w:r w:rsidR="000D5E35" w:rsidRPr="001E6E9D">
        <w:rPr>
          <w:rFonts w:asciiTheme="minorHAnsi" w:eastAsia="Times New Roman" w:hAnsiTheme="minorHAnsi" w:cstheme="minorHAnsi"/>
          <w:i/>
          <w:iCs/>
          <w:szCs w:val="20"/>
          <w:lang w:eastAsia="pt-BR"/>
        </w:rPr>
        <w:t>“</w:t>
      </w:r>
      <w:r w:rsidRPr="001E6E9D">
        <w:rPr>
          <w:rFonts w:asciiTheme="minorHAnsi" w:eastAsia="Times New Roman" w:hAnsiTheme="minorHAnsi" w:cstheme="minorHAnsi"/>
          <w:i/>
          <w:iCs/>
          <w:szCs w:val="20"/>
          <w:lang w:eastAsia="pt-BR"/>
        </w:rPr>
        <w:t xml:space="preserve">4. Fatores de Risco”, na página </w:t>
      </w:r>
      <w:r w:rsidR="00CB28AC" w:rsidRPr="001E6E9D">
        <w:rPr>
          <w:rFonts w:asciiTheme="minorHAnsi" w:eastAsia="Times New Roman" w:hAnsiTheme="minorHAnsi" w:cstheme="minorHAnsi"/>
          <w:bCs/>
          <w:i/>
          <w:iCs/>
          <w:szCs w:val="20"/>
          <w:lang w:eastAsia="pt-BR"/>
        </w:rPr>
        <w:fldChar w:fldCharType="begin"/>
      </w:r>
      <w:r w:rsidR="00CB28AC" w:rsidRPr="001E6E9D">
        <w:rPr>
          <w:rFonts w:asciiTheme="minorHAnsi" w:eastAsia="Times New Roman" w:hAnsiTheme="minorHAnsi" w:cstheme="minorHAnsi"/>
          <w:i/>
          <w:iCs/>
          <w:szCs w:val="20"/>
          <w:lang w:eastAsia="pt-BR"/>
        </w:rPr>
        <w:instrText xml:space="preserve"> PAGEREF _Ref158844927 \h </w:instrText>
      </w:r>
      <w:r w:rsidR="00CB28AC" w:rsidRPr="001E6E9D">
        <w:rPr>
          <w:rFonts w:asciiTheme="minorHAnsi" w:eastAsia="Times New Roman" w:hAnsiTheme="minorHAnsi" w:cstheme="minorHAnsi"/>
          <w:bCs/>
          <w:i/>
          <w:iCs/>
          <w:szCs w:val="20"/>
          <w:lang w:eastAsia="pt-BR"/>
        </w:rPr>
      </w:r>
      <w:r w:rsidR="00CB28AC" w:rsidRPr="001E6E9D">
        <w:rPr>
          <w:rFonts w:asciiTheme="minorHAnsi" w:eastAsia="Times New Roman" w:hAnsiTheme="minorHAnsi" w:cstheme="minorHAnsi"/>
          <w:bCs/>
          <w:i/>
          <w:iCs/>
          <w:szCs w:val="20"/>
          <w:lang w:eastAsia="pt-BR"/>
        </w:rPr>
        <w:fldChar w:fldCharType="separate"/>
      </w:r>
      <w:r w:rsidR="00720666">
        <w:rPr>
          <w:rFonts w:asciiTheme="minorHAnsi" w:eastAsia="Times New Roman" w:hAnsiTheme="minorHAnsi" w:cstheme="minorHAnsi"/>
          <w:i/>
          <w:iCs/>
          <w:noProof/>
          <w:szCs w:val="20"/>
          <w:lang w:eastAsia="pt-BR"/>
        </w:rPr>
        <w:t>45</w:t>
      </w:r>
      <w:r w:rsidR="00CB28AC" w:rsidRPr="001E6E9D">
        <w:rPr>
          <w:rFonts w:asciiTheme="minorHAnsi" w:eastAsia="Times New Roman" w:hAnsiTheme="minorHAnsi" w:cstheme="minorHAnsi"/>
          <w:bCs/>
          <w:i/>
          <w:iCs/>
          <w:szCs w:val="20"/>
          <w:lang w:eastAsia="pt-BR"/>
        </w:rPr>
        <w:fldChar w:fldCharType="end"/>
      </w:r>
      <w:r w:rsidRPr="001E6E9D">
        <w:rPr>
          <w:rFonts w:asciiTheme="minorHAnsi" w:eastAsia="Times New Roman" w:hAnsiTheme="minorHAnsi" w:cstheme="minorHAnsi"/>
          <w:i/>
          <w:iCs/>
          <w:szCs w:val="20"/>
          <w:lang w:eastAsia="pt-BR"/>
        </w:rPr>
        <w:t xml:space="preserve"> e seguintes deste Prospecto.</w:t>
      </w:r>
    </w:p>
    <w:p w14:paraId="2703C03A" w14:textId="77777777" w:rsidR="00065DBC" w:rsidRPr="001E6E9D" w:rsidRDefault="00767873" w:rsidP="00DC7081">
      <w:pPr>
        <w:pStyle w:val="Ttulo2"/>
      </w:pPr>
      <w:bookmarkStart w:id="328" w:name="_Ref178195050"/>
      <w:bookmarkStart w:id="329" w:name="_Toc178197426"/>
      <w:bookmarkStart w:id="330" w:name="_Ref178367344"/>
      <w:bookmarkStart w:id="331" w:name="_Toc178948920"/>
      <w:bookmarkStart w:id="332" w:name="_Toc184129259"/>
      <w:r w:rsidRPr="001E6E9D">
        <w:t>14.7. Informação sobre o quórum mínimo estabelecido para as deliberações das assembleias gerais de credores previstos nos documentos específicos que regem a descrição do valor mobiliário da oferta pública de renda fixa</w:t>
      </w:r>
      <w:bookmarkEnd w:id="328"/>
      <w:bookmarkEnd w:id="329"/>
      <w:bookmarkEnd w:id="330"/>
      <w:bookmarkEnd w:id="331"/>
      <w:bookmarkEnd w:id="332"/>
    </w:p>
    <w:p w14:paraId="46A472B1" w14:textId="5CD244D4" w:rsidR="00065DBC" w:rsidRPr="001E6E9D" w:rsidRDefault="00253AF3" w:rsidP="00DC7081">
      <w:pPr>
        <w:autoSpaceDE w:val="0"/>
        <w:autoSpaceDN w:val="0"/>
        <w:rPr>
          <w:rFonts w:asciiTheme="minorHAnsi" w:eastAsia="Arial Unicode MS" w:hAnsiTheme="minorHAnsi" w:cstheme="minorHAnsi"/>
          <w:szCs w:val="20"/>
        </w:rPr>
      </w:pPr>
      <w:r w:rsidRPr="001E6E9D">
        <w:rPr>
          <w:rFonts w:asciiTheme="minorHAnsi" w:eastAsia="Arial Unicode MS" w:hAnsiTheme="minorHAnsi" w:cstheme="minorHAnsi"/>
          <w:szCs w:val="20"/>
        </w:rPr>
        <w:t>Os Debenturistas poderão, a qualquer tempo, reunir-se em assembleia(s) geral(is), de acordo com o disposto no artigo 71 da Lei das Sociedades por Ações e na Resolução CVM nº 81, de 29 de março de 2022, conforme alterada, a fim de deliberarem sobre matérias de interesse da comunhão dos Debenturistas (</w:t>
      </w:r>
      <w:r w:rsidR="000D5E35" w:rsidRPr="001E6E9D">
        <w:rPr>
          <w:rFonts w:asciiTheme="minorHAnsi" w:eastAsia="Arial Unicode MS" w:hAnsiTheme="minorHAnsi" w:cstheme="minorHAnsi"/>
          <w:szCs w:val="20"/>
        </w:rPr>
        <w:t>“</w:t>
      </w:r>
      <w:r w:rsidRPr="001E6E9D">
        <w:rPr>
          <w:rFonts w:asciiTheme="minorHAnsi" w:eastAsia="Arial Unicode MS" w:hAnsiTheme="minorHAnsi" w:cstheme="minorHAnsi"/>
          <w:szCs w:val="20"/>
          <w:u w:val="single"/>
        </w:rPr>
        <w:t>Assembleia(s) Geral(is) de Debenturistas</w:t>
      </w:r>
      <w:r w:rsidRPr="001E6E9D">
        <w:rPr>
          <w:rFonts w:asciiTheme="minorHAnsi" w:eastAsia="Arial Unicode MS" w:hAnsiTheme="minorHAnsi" w:cstheme="minorHAnsi"/>
          <w:szCs w:val="20"/>
        </w:rPr>
        <w:t>”). As Assembleias Gerais de Debenturistas deverão ser realizadas de forma presencial e poderão ser, alternativamente, realizadas, de forma exclusivamente ou parcialmente digital, por conferência telefônica, vídeo conferência ou por qualquer outro meio de comunicação, conforme regulamentado pela CVM.</w:t>
      </w:r>
    </w:p>
    <w:p w14:paraId="40BED808" w14:textId="77777777" w:rsidR="00065DBC" w:rsidRPr="001E6E9D" w:rsidRDefault="00253AF3" w:rsidP="00DC7081">
      <w:pPr>
        <w:autoSpaceDE w:val="0"/>
        <w:autoSpaceDN w:val="0"/>
        <w:rPr>
          <w:rFonts w:asciiTheme="minorHAnsi" w:eastAsia="Arial Unicode MS" w:hAnsiTheme="minorHAnsi" w:cstheme="minorHAnsi"/>
          <w:szCs w:val="20"/>
        </w:rPr>
      </w:pPr>
      <w:r w:rsidRPr="001E6E9D">
        <w:rPr>
          <w:rFonts w:asciiTheme="minorHAnsi" w:eastAsia="Arial Unicode MS" w:hAnsiTheme="minorHAnsi" w:cstheme="minorHAnsi"/>
          <w:szCs w:val="20"/>
        </w:rPr>
        <w:t>Aplica-se à Assembleia Geral de Debenturistas, no que couber, o disposto na Lei das Sociedades por Ações sobre assembleia geral de acionistas.</w:t>
      </w:r>
    </w:p>
    <w:p w14:paraId="6744919A" w14:textId="77777777" w:rsidR="00065DBC" w:rsidRPr="001E6E9D" w:rsidRDefault="00253AF3" w:rsidP="00DC7081">
      <w:pPr>
        <w:pStyle w:val="Corpodetexto"/>
        <w:autoSpaceDE w:val="0"/>
        <w:autoSpaceDN w:val="0"/>
        <w:adjustRightInd w:val="0"/>
        <w:spacing w:after="200" w:line="240" w:lineRule="auto"/>
        <w:rPr>
          <w:rFonts w:asciiTheme="minorHAnsi" w:eastAsia="Arial Unicode MS" w:hAnsiTheme="minorHAnsi" w:cstheme="minorHAnsi"/>
          <w:b/>
          <w:sz w:val="20"/>
          <w:szCs w:val="20"/>
        </w:rPr>
      </w:pPr>
      <w:r w:rsidRPr="001E6E9D">
        <w:rPr>
          <w:rFonts w:asciiTheme="minorHAnsi" w:eastAsia="Arial Unicode MS" w:hAnsiTheme="minorHAnsi" w:cstheme="minorHAnsi"/>
          <w:b/>
          <w:sz w:val="20"/>
          <w:szCs w:val="20"/>
        </w:rPr>
        <w:t>Convocação</w:t>
      </w:r>
      <w:bookmarkStart w:id="333" w:name="_DV_M571"/>
      <w:bookmarkEnd w:id="333"/>
    </w:p>
    <w:p w14:paraId="31A48789" w14:textId="77777777"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r w:rsidRPr="001E6E9D">
        <w:rPr>
          <w:rFonts w:asciiTheme="minorHAnsi" w:eastAsia="Arial Unicode MS" w:hAnsiTheme="minorHAnsi" w:cstheme="minorHAnsi"/>
          <w:szCs w:val="20"/>
        </w:rPr>
        <w:t>As Assembleias Gerais de Debenturistas podem ser convocadas pelo Agente Fiduciário, pela Emissora, pela CVM ou por Debenturistas que representem, no mínimo, 10% (dez por cento) das Debêntures em Circulação.</w:t>
      </w:r>
      <w:bookmarkStart w:id="334" w:name="_DV_M572"/>
      <w:bookmarkEnd w:id="334"/>
    </w:p>
    <w:p w14:paraId="123C141C" w14:textId="5928F9DC"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r w:rsidRPr="001E6E9D">
        <w:rPr>
          <w:rFonts w:asciiTheme="minorHAnsi" w:eastAsia="Arial Unicode MS" w:hAnsiTheme="minorHAnsi" w:cstheme="minorHAnsi"/>
          <w:szCs w:val="20"/>
        </w:rPr>
        <w:t>A convocação se dará mediante anúncio publicado, pelo menos, 3 (três) vezes, no SPED ou no Jornal de Publicação, conforme aplicável, respeitadas outras regras relacionadas à publicação de anúncio de convocação de assembleias gerais constantes da Lei das Sociedades por Ações, da regulamentação aplicável e d</w:t>
      </w:r>
      <w:r w:rsidR="00C75E87" w:rsidRPr="001E6E9D">
        <w:rPr>
          <w:rFonts w:asciiTheme="minorHAnsi" w:eastAsia="Arial Unicode MS" w:hAnsiTheme="minorHAnsi" w:cstheme="minorHAnsi"/>
          <w:szCs w:val="20"/>
        </w:rPr>
        <w:t>a Escritura</w:t>
      </w:r>
      <w:r w:rsidRPr="001E6E9D">
        <w:rPr>
          <w:rFonts w:asciiTheme="minorHAnsi" w:eastAsia="Arial Unicode MS" w:hAnsiTheme="minorHAnsi" w:cstheme="minorHAnsi"/>
          <w:szCs w:val="20"/>
        </w:rPr>
        <w:t xml:space="preserve"> de Emissão.</w:t>
      </w:r>
      <w:bookmarkStart w:id="335" w:name="_DV_M573"/>
      <w:bookmarkEnd w:id="335"/>
    </w:p>
    <w:p w14:paraId="0C41BF71" w14:textId="77777777"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r w:rsidRPr="001E6E9D">
        <w:rPr>
          <w:rFonts w:asciiTheme="minorHAnsi" w:eastAsia="Arial Unicode MS" w:hAnsiTheme="minorHAnsi" w:cstheme="minorHAnsi"/>
          <w:szCs w:val="20"/>
        </w:rPr>
        <w:t>As Assembleias Gerais de Debenturistas deverão ser realizadas, (a) em primeira convocação, no prazo mínimo de 21 (vinte e um) dias contados da data da primeira publicação da convocação, ou, não se realizando a Assembleia Geral de Debenturistas, em primeira convocação, (b) em segunda convocação, em, no mínimo, 8 (oito) dias contados da data da publicação do novo anúncio de convocação.</w:t>
      </w:r>
      <w:bookmarkStart w:id="336" w:name="_DV_M574"/>
      <w:bookmarkEnd w:id="336"/>
    </w:p>
    <w:p w14:paraId="0816C0C0" w14:textId="140658D2"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r w:rsidRPr="001E6E9D">
        <w:rPr>
          <w:rFonts w:asciiTheme="minorHAnsi" w:eastAsia="Arial Unicode MS" w:hAnsiTheme="minorHAnsi" w:cstheme="minorHAnsi"/>
          <w:szCs w:val="20"/>
        </w:rPr>
        <w:t>As deliberações tomadas por Debenturistas no âmbito de sua competência legal, observados os quóruns estabelecidos n</w:t>
      </w:r>
      <w:r w:rsidR="00C75E87" w:rsidRPr="001E6E9D">
        <w:rPr>
          <w:rFonts w:asciiTheme="minorHAnsi" w:eastAsia="Arial Unicode MS" w:hAnsiTheme="minorHAnsi" w:cstheme="minorHAnsi"/>
          <w:szCs w:val="20"/>
        </w:rPr>
        <w:t>a Escritura</w:t>
      </w:r>
      <w:r w:rsidRPr="001E6E9D">
        <w:rPr>
          <w:rFonts w:asciiTheme="minorHAnsi" w:eastAsia="Arial Unicode MS" w:hAnsiTheme="minorHAnsi" w:cstheme="minorHAnsi"/>
          <w:szCs w:val="20"/>
        </w:rPr>
        <w:t xml:space="preserve"> de Emissão, serão existentes, válidas e eficazes perante a Emissora e obrigarão a todos os Debenturistas, independentemente de terem comparecido à Assembleia Geral de Debenturistas ou do voto proferido na referida Assembleia Geral de Debenturistas.</w:t>
      </w:r>
      <w:bookmarkStart w:id="337" w:name="_DV_M575"/>
      <w:bookmarkEnd w:id="337"/>
    </w:p>
    <w:p w14:paraId="064BFCA9" w14:textId="77777777" w:rsidR="00065DBC" w:rsidRPr="001E6E9D" w:rsidRDefault="00253AF3" w:rsidP="00DC7081">
      <w:pPr>
        <w:pStyle w:val="Level3"/>
        <w:numPr>
          <w:ilvl w:val="0"/>
          <w:numId w:val="0"/>
        </w:numPr>
        <w:tabs>
          <w:tab w:val="left" w:pos="-4253"/>
        </w:tabs>
        <w:spacing w:after="200" w:line="240" w:lineRule="auto"/>
        <w:rPr>
          <w:rFonts w:asciiTheme="minorHAnsi" w:eastAsia="Arial Unicode MS" w:hAnsiTheme="minorHAnsi" w:cstheme="minorHAnsi"/>
          <w:kern w:val="0"/>
          <w:szCs w:val="20"/>
          <w:lang w:val="pt-BR"/>
        </w:rPr>
      </w:pPr>
      <w:r w:rsidRPr="001E6E9D">
        <w:rPr>
          <w:rFonts w:asciiTheme="minorHAnsi" w:eastAsia="Arial Unicode MS" w:hAnsiTheme="minorHAnsi" w:cstheme="minorHAnsi"/>
          <w:kern w:val="0"/>
          <w:szCs w:val="20"/>
          <w:lang w:val="pt-BR"/>
        </w:rPr>
        <w:t>Para fins da vinculação da Emissora nos termos acima previstos, o Agente Fiduciário deverá, em até 3 (três) Dias Úteis após a realização de qualquer Assembleia Geral de Debenturistas da qual a Emissora não tenha participado, dar ciência à Emissora do teor das deliberações tomadas pelos Debenturistas.</w:t>
      </w:r>
    </w:p>
    <w:p w14:paraId="2BFEC208" w14:textId="1BC6C2A2"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r w:rsidRPr="001E6E9D">
        <w:rPr>
          <w:rFonts w:asciiTheme="minorHAnsi" w:eastAsia="Arial Unicode MS" w:hAnsiTheme="minorHAnsi" w:cstheme="minorHAnsi"/>
          <w:szCs w:val="20"/>
        </w:rPr>
        <w:t>Independentemente das formalidades previstas na legislação aplicável e n</w:t>
      </w:r>
      <w:r w:rsidR="00C75E87" w:rsidRPr="001E6E9D">
        <w:rPr>
          <w:rFonts w:asciiTheme="minorHAnsi" w:eastAsia="Arial Unicode MS" w:hAnsiTheme="minorHAnsi" w:cstheme="minorHAnsi"/>
          <w:szCs w:val="20"/>
        </w:rPr>
        <w:t>a Escritura</w:t>
      </w:r>
      <w:r w:rsidRPr="001E6E9D">
        <w:rPr>
          <w:rFonts w:asciiTheme="minorHAnsi" w:eastAsia="Arial Unicode MS" w:hAnsiTheme="minorHAnsi" w:cstheme="minorHAnsi"/>
          <w:szCs w:val="20"/>
        </w:rPr>
        <w:t xml:space="preserve"> para convocação, será considerada regular a Assembleia Geral de Debenturistas a que comparecerem os titulares de todas as Debêntures em Circulação.</w:t>
      </w:r>
      <w:bookmarkStart w:id="338" w:name="_DV_M576"/>
      <w:bookmarkEnd w:id="338"/>
    </w:p>
    <w:p w14:paraId="5E3E9941" w14:textId="77777777" w:rsidR="00065DBC" w:rsidRPr="001E6E9D" w:rsidRDefault="00253AF3" w:rsidP="00DC7081">
      <w:pPr>
        <w:pStyle w:val="Corpodetexto"/>
        <w:autoSpaceDE w:val="0"/>
        <w:autoSpaceDN w:val="0"/>
        <w:adjustRightInd w:val="0"/>
        <w:spacing w:after="200" w:line="240" w:lineRule="auto"/>
        <w:rPr>
          <w:rFonts w:asciiTheme="minorHAnsi" w:eastAsia="Arial Unicode MS" w:hAnsiTheme="minorHAnsi" w:cstheme="minorHAnsi"/>
          <w:b/>
          <w:sz w:val="20"/>
          <w:szCs w:val="20"/>
        </w:rPr>
      </w:pPr>
      <w:bookmarkStart w:id="339" w:name="_Ref114685965"/>
      <w:r w:rsidRPr="001E6E9D">
        <w:rPr>
          <w:rFonts w:asciiTheme="minorHAnsi" w:eastAsia="Arial Unicode MS" w:hAnsiTheme="minorHAnsi" w:cstheme="minorHAnsi"/>
          <w:b/>
          <w:sz w:val="20"/>
          <w:szCs w:val="20"/>
        </w:rPr>
        <w:t>Quórum de Instalação</w:t>
      </w:r>
      <w:bookmarkStart w:id="340" w:name="_DV_M577"/>
      <w:bookmarkEnd w:id="339"/>
      <w:bookmarkEnd w:id="340"/>
    </w:p>
    <w:p w14:paraId="2BBB1A16" w14:textId="77777777"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b/>
          <w:szCs w:val="20"/>
        </w:rPr>
      </w:pPr>
      <w:r w:rsidRPr="001E6E9D">
        <w:rPr>
          <w:rFonts w:asciiTheme="minorHAnsi" w:eastAsia="Arial Unicode MS" w:hAnsiTheme="minorHAnsi" w:cstheme="minorHAnsi"/>
          <w:szCs w:val="20"/>
        </w:rPr>
        <w:t xml:space="preserve">Nos termos do artigo 71, parágrafo terceiro, da Lei das Sociedades por Ações, </w:t>
      </w:r>
      <w:bookmarkStart w:id="341" w:name="_Ref370292879"/>
      <w:r w:rsidRPr="001E6E9D">
        <w:rPr>
          <w:rFonts w:asciiTheme="minorHAnsi" w:eastAsia="Arial Unicode MS" w:hAnsiTheme="minorHAnsi" w:cstheme="minorHAnsi"/>
          <w:szCs w:val="20"/>
        </w:rPr>
        <w:t>as Assembleias Gerais de Debenturistas se instalarão, em primeira convocação, com a presença de Debenturistas que representem mais de 50% (cinquenta por cento), no mínimo, das Debêntures em Circulação e, em segunda convocação, com qualquer quórum de Debêntures em Circulação.</w:t>
      </w:r>
      <w:bookmarkEnd w:id="341"/>
      <w:r w:rsidRPr="001E6E9D">
        <w:rPr>
          <w:rFonts w:asciiTheme="minorHAnsi" w:eastAsia="Arial Unicode MS" w:hAnsiTheme="minorHAnsi" w:cstheme="minorHAnsi"/>
          <w:szCs w:val="20"/>
        </w:rPr>
        <w:t xml:space="preserve"> </w:t>
      </w:r>
      <w:bookmarkStart w:id="342" w:name="_DV_M578"/>
      <w:bookmarkEnd w:id="342"/>
    </w:p>
    <w:p w14:paraId="334B5BEE" w14:textId="33257647"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r w:rsidRPr="001E6E9D">
        <w:rPr>
          <w:rFonts w:asciiTheme="minorHAnsi" w:eastAsia="Arial Unicode MS" w:hAnsiTheme="minorHAnsi" w:cstheme="minorHAnsi"/>
          <w:szCs w:val="20"/>
        </w:rPr>
        <w:t>Para efeito da constituição de todos e quaisquer dos quóruns de instalação ou deliberação das Assembleias Gerais de Debenturistas previstos n</w:t>
      </w:r>
      <w:r w:rsidR="00C75E87" w:rsidRPr="001E6E9D">
        <w:rPr>
          <w:rFonts w:asciiTheme="minorHAnsi" w:eastAsia="Arial Unicode MS" w:hAnsiTheme="minorHAnsi" w:cstheme="minorHAnsi"/>
          <w:szCs w:val="20"/>
        </w:rPr>
        <w:t>a Escritura</w:t>
      </w:r>
      <w:r w:rsidRPr="001E6E9D">
        <w:rPr>
          <w:rFonts w:asciiTheme="minorHAnsi" w:eastAsia="Arial Unicode MS" w:hAnsiTheme="minorHAnsi" w:cstheme="minorHAnsi"/>
          <w:szCs w:val="20"/>
        </w:rPr>
        <w:t xml:space="preserve"> de Emissão, </w:t>
      </w:r>
      <w:r w:rsidR="000D5E35" w:rsidRPr="001E6E9D">
        <w:rPr>
          <w:rFonts w:asciiTheme="minorHAnsi" w:eastAsia="Arial Unicode MS" w:hAnsiTheme="minorHAnsi" w:cstheme="minorHAnsi"/>
          <w:szCs w:val="20"/>
        </w:rPr>
        <w:t>“</w:t>
      </w:r>
      <w:r w:rsidRPr="001E6E9D">
        <w:rPr>
          <w:rFonts w:asciiTheme="minorHAnsi" w:eastAsia="Arial Unicode MS" w:hAnsiTheme="minorHAnsi" w:cstheme="minorHAnsi"/>
          <w:szCs w:val="20"/>
          <w:u w:val="single"/>
        </w:rPr>
        <w:t>Debêntures em Circulação</w:t>
      </w:r>
      <w:r w:rsidRPr="001E6E9D">
        <w:rPr>
          <w:rFonts w:asciiTheme="minorHAnsi" w:eastAsia="Arial Unicode MS" w:hAnsiTheme="minorHAnsi" w:cstheme="minorHAnsi"/>
          <w:szCs w:val="20"/>
        </w:rPr>
        <w:t>” significam todas as Debêntures subscritas e integralizadas e não resgatadas, excluídas as Debêntures (i) mantidas em tesouraria pela Emissora; ou (ii) de titularidade de: (a) sociedades controladas ou coligadas pela Emissora (diretas ou indiretas), (b) controladoras (diretas ou indiretas) da Emissora ou sociedades sob controle comum, e (c) administradores da</w:t>
      </w:r>
      <w:r w:rsidR="00197387" w:rsidRPr="001E6E9D">
        <w:rPr>
          <w:rFonts w:asciiTheme="minorHAnsi" w:eastAsia="Arial Unicode MS" w:hAnsiTheme="minorHAnsi" w:cstheme="minorHAnsi"/>
          <w:szCs w:val="20"/>
        </w:rPr>
        <w:t> </w:t>
      </w:r>
      <w:r w:rsidRPr="001E6E9D">
        <w:rPr>
          <w:rFonts w:asciiTheme="minorHAnsi" w:eastAsia="Arial Unicode MS" w:hAnsiTheme="minorHAnsi" w:cstheme="minorHAnsi"/>
          <w:szCs w:val="20"/>
        </w:rPr>
        <w:t>Emissora, incluindo, mas não se limitando a, pessoas direta ou indiretamente relacionadas a qualquer das</w:t>
      </w:r>
      <w:r w:rsidR="00197387" w:rsidRPr="001E6E9D">
        <w:rPr>
          <w:rFonts w:asciiTheme="minorHAnsi" w:eastAsia="Arial Unicode MS" w:hAnsiTheme="minorHAnsi" w:cstheme="minorHAnsi"/>
          <w:szCs w:val="20"/>
        </w:rPr>
        <w:t> </w:t>
      </w:r>
      <w:r w:rsidRPr="001E6E9D">
        <w:rPr>
          <w:rFonts w:asciiTheme="minorHAnsi" w:eastAsia="Arial Unicode MS" w:hAnsiTheme="minorHAnsi" w:cstheme="minorHAnsi"/>
          <w:szCs w:val="20"/>
        </w:rPr>
        <w:t>pessoas anteriormente mencionadas, incluindo seus cônjuges, companheiros ou parentes até o 2º (segundo)</w:t>
      </w:r>
      <w:r w:rsidR="00197387" w:rsidRPr="001E6E9D">
        <w:rPr>
          <w:rFonts w:asciiTheme="minorHAnsi" w:eastAsia="Arial Unicode MS" w:hAnsiTheme="minorHAnsi" w:cstheme="minorHAnsi"/>
          <w:szCs w:val="20"/>
        </w:rPr>
        <w:t> </w:t>
      </w:r>
      <w:r w:rsidRPr="001E6E9D">
        <w:rPr>
          <w:rFonts w:asciiTheme="minorHAnsi" w:eastAsia="Arial Unicode MS" w:hAnsiTheme="minorHAnsi" w:cstheme="minorHAnsi"/>
          <w:szCs w:val="20"/>
        </w:rPr>
        <w:t xml:space="preserve">grau. </w:t>
      </w:r>
      <w:bookmarkStart w:id="343" w:name="_DV_M579"/>
      <w:bookmarkEnd w:id="343"/>
    </w:p>
    <w:p w14:paraId="7DE034AD" w14:textId="77777777" w:rsidR="00065DBC" w:rsidRPr="001E6E9D" w:rsidRDefault="00253AF3" w:rsidP="00DC7081">
      <w:pPr>
        <w:pStyle w:val="Corpodetexto"/>
        <w:autoSpaceDE w:val="0"/>
        <w:autoSpaceDN w:val="0"/>
        <w:adjustRightInd w:val="0"/>
        <w:spacing w:after="200" w:line="240" w:lineRule="auto"/>
        <w:rPr>
          <w:rFonts w:asciiTheme="minorHAnsi" w:eastAsia="Arial Unicode MS" w:hAnsiTheme="minorHAnsi" w:cstheme="minorHAnsi"/>
          <w:b/>
          <w:bCs/>
          <w:sz w:val="20"/>
          <w:szCs w:val="20"/>
        </w:rPr>
      </w:pPr>
      <w:r w:rsidRPr="001E6E9D">
        <w:rPr>
          <w:rFonts w:asciiTheme="minorHAnsi" w:eastAsia="Arial Unicode MS" w:hAnsiTheme="minorHAnsi" w:cstheme="minorHAnsi"/>
          <w:b/>
          <w:bCs/>
          <w:sz w:val="20"/>
          <w:szCs w:val="20"/>
        </w:rPr>
        <w:t>Quórum de Deliberação</w:t>
      </w:r>
    </w:p>
    <w:p w14:paraId="634CD9D1" w14:textId="77777777"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bookmarkStart w:id="344" w:name="_DV_M580"/>
      <w:bookmarkStart w:id="345" w:name="_Ref130286717"/>
      <w:bookmarkEnd w:id="344"/>
      <w:r w:rsidRPr="001E6E9D">
        <w:rPr>
          <w:rFonts w:asciiTheme="minorHAnsi" w:eastAsia="Arial Unicode MS" w:hAnsiTheme="minorHAnsi" w:cstheme="minorHAnsi"/>
          <w:szCs w:val="20"/>
        </w:rPr>
        <w:t>Nas deliberações das Assembleias Gerais de Debenturistas, a cada Debênture em Circulação caberá um voto, admitida a constituição de mandatário, Debenturista ou não. Exceto pelo disposto na Cláusula 9.4.2 abaixo, ou pelos demais quóruns expressamente previstos em outras Cláusulas d</w:t>
      </w:r>
      <w:r w:rsidR="009A3F0E" w:rsidRPr="001E6E9D">
        <w:rPr>
          <w:rFonts w:asciiTheme="minorHAnsi" w:eastAsia="Arial Unicode MS" w:hAnsiTheme="minorHAnsi" w:cstheme="minorHAnsi"/>
          <w:szCs w:val="20"/>
        </w:rPr>
        <w:t>a</w:t>
      </w:r>
      <w:r w:rsidRPr="001E6E9D">
        <w:rPr>
          <w:rFonts w:asciiTheme="minorHAnsi" w:eastAsia="Arial Unicode MS" w:hAnsiTheme="minorHAnsi" w:cstheme="minorHAnsi"/>
          <w:szCs w:val="20"/>
        </w:rPr>
        <w:t xml:space="preserve"> Escritura de Emissão, qualquer matéria a ser deliberada pelos Debenturistas deverá ser aprovada, (a) em primeira convocação, por Debenturistas que representam, no mínimo, 50% (cinquenta por cento) mais um </w:t>
      </w:r>
      <w:bookmarkStart w:id="346" w:name="_Hlk64654872"/>
      <w:r w:rsidRPr="001E6E9D">
        <w:rPr>
          <w:rFonts w:asciiTheme="minorHAnsi" w:eastAsia="Arial Unicode MS" w:hAnsiTheme="minorHAnsi" w:cstheme="minorHAnsi"/>
          <w:szCs w:val="20"/>
        </w:rPr>
        <w:t xml:space="preserve">das Debêntures em Circulação; </w:t>
      </w:r>
      <w:bookmarkEnd w:id="346"/>
      <w:r w:rsidRPr="001E6E9D">
        <w:rPr>
          <w:rFonts w:asciiTheme="minorHAnsi" w:eastAsia="Arial Unicode MS" w:hAnsiTheme="minorHAnsi" w:cstheme="minorHAnsi"/>
          <w:szCs w:val="20"/>
        </w:rPr>
        <w:t>e (b) em segunda convocação, por Debenturistas que representam, no mínimo, 50% (cinquenta por cento) mais um dos presentes, desde que estejam presentes, no mínimo, 25% (vinte e cinco por cento) das Debêntures em Circulação</w:t>
      </w:r>
      <w:bookmarkStart w:id="347" w:name="_DV_M584"/>
      <w:bookmarkStart w:id="348" w:name="_Ref130286715"/>
      <w:bookmarkEnd w:id="345"/>
      <w:bookmarkEnd w:id="347"/>
      <w:r w:rsidRPr="001E6E9D">
        <w:rPr>
          <w:rFonts w:asciiTheme="minorHAnsi" w:hAnsiTheme="minorHAnsi" w:cstheme="minorHAnsi"/>
          <w:iCs/>
          <w:szCs w:val="20"/>
        </w:rPr>
        <w:t>.</w:t>
      </w:r>
    </w:p>
    <w:p w14:paraId="2714237C" w14:textId="46F1A7FC"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b/>
          <w:szCs w:val="20"/>
        </w:rPr>
      </w:pPr>
      <w:bookmarkStart w:id="349" w:name="_DV_M585"/>
      <w:bookmarkStart w:id="350" w:name="_Ref114687829"/>
      <w:bookmarkEnd w:id="348"/>
      <w:bookmarkEnd w:id="349"/>
      <w:r w:rsidRPr="001E6E9D">
        <w:rPr>
          <w:rFonts w:asciiTheme="minorHAnsi" w:eastAsia="Arial Unicode MS" w:hAnsiTheme="minorHAnsi" w:cstheme="minorHAnsi"/>
          <w:szCs w:val="20"/>
        </w:rPr>
        <w:t xml:space="preserve">Mediante proposta da Emissora, a Assembleia Geral de Debenturistas poderá, por deliberação favorável de Debenturistas que representam, no mínimo, 2/3 (dois terços) das Debêntures em Circulação, independentemente se em primeira ou segunda convocação, </w:t>
      </w:r>
      <w:bookmarkStart w:id="351" w:name="_DV_M586"/>
      <w:bookmarkStart w:id="352" w:name="_DV_M587"/>
      <w:bookmarkEnd w:id="351"/>
      <w:bookmarkEnd w:id="352"/>
      <w:r w:rsidRPr="001E6E9D">
        <w:rPr>
          <w:rFonts w:asciiTheme="minorHAnsi" w:eastAsia="Arial Unicode MS" w:hAnsiTheme="minorHAnsi" w:cstheme="minorHAnsi"/>
          <w:szCs w:val="20"/>
        </w:rPr>
        <w:t>aprovar qualquer modificação relativa às características das Debêntures que implique alteração: (i) da Atualização Monetária ou dos Juros Remuneratórios, (ii) das Datas de Pagamento dos Juros Remuneratórios ou de quaisquer valores previstos n</w:t>
      </w:r>
      <w:r w:rsidR="00C75E87" w:rsidRPr="001E6E9D">
        <w:rPr>
          <w:rFonts w:asciiTheme="minorHAnsi" w:eastAsia="Arial Unicode MS" w:hAnsiTheme="minorHAnsi" w:cstheme="minorHAnsi"/>
          <w:szCs w:val="20"/>
        </w:rPr>
        <w:t>a Escritura</w:t>
      </w:r>
      <w:r w:rsidRPr="001E6E9D">
        <w:rPr>
          <w:rFonts w:asciiTheme="minorHAnsi" w:eastAsia="Arial Unicode MS" w:hAnsiTheme="minorHAnsi" w:cstheme="minorHAnsi"/>
          <w:szCs w:val="20"/>
        </w:rPr>
        <w:t xml:space="preserve"> de Emissão, (iii) da Data de Vencimento e da vigência das Debêntures, (iv) dos valores, montantes e Datas de Amortização das Debêntures, (v) da redação de quaisquer dos Eventos de Inadimplemento, inclusive sua exclusão, exceto por alterações de redação nos Eventos de Inadimplemento necessárias para refletir as condições de eventual aprovação prévia (</w:t>
      </w:r>
      <w:r w:rsidRPr="001E6E9D">
        <w:rPr>
          <w:rFonts w:asciiTheme="minorHAnsi" w:eastAsia="Arial Unicode MS" w:hAnsiTheme="minorHAnsi" w:cstheme="minorHAnsi"/>
          <w:i/>
          <w:iCs/>
          <w:szCs w:val="20"/>
        </w:rPr>
        <w:t>waiver</w:t>
      </w:r>
      <w:r w:rsidRPr="001E6E9D">
        <w:rPr>
          <w:rFonts w:asciiTheme="minorHAnsi" w:eastAsia="Arial Unicode MS" w:hAnsiTheme="minorHAnsi" w:cstheme="minorHAnsi"/>
          <w:szCs w:val="20"/>
        </w:rPr>
        <w:t>) dos Debenturistas; (vi) da alteração dos quóruns de deliberação previstos n</w:t>
      </w:r>
      <w:r w:rsidR="00C75E87" w:rsidRPr="001E6E9D">
        <w:rPr>
          <w:rFonts w:asciiTheme="minorHAnsi" w:eastAsia="Arial Unicode MS" w:hAnsiTheme="minorHAnsi" w:cstheme="minorHAnsi"/>
          <w:szCs w:val="20"/>
        </w:rPr>
        <w:t>a Escritura</w:t>
      </w:r>
      <w:r w:rsidRPr="001E6E9D">
        <w:rPr>
          <w:rFonts w:asciiTheme="minorHAnsi" w:eastAsia="Arial Unicode MS" w:hAnsiTheme="minorHAnsi" w:cstheme="minorHAnsi"/>
          <w:szCs w:val="20"/>
        </w:rPr>
        <w:t xml:space="preserve"> de Emissão, (vii) das disposições </w:t>
      </w:r>
      <w:r w:rsidR="009A3F0E" w:rsidRPr="001E6E9D">
        <w:rPr>
          <w:rFonts w:asciiTheme="minorHAnsi" w:eastAsia="Arial Unicode MS" w:hAnsiTheme="minorHAnsi" w:cstheme="minorHAnsi"/>
          <w:szCs w:val="20"/>
        </w:rPr>
        <w:t>previstas na cláusula de Assembleia Geral de Debenturistas da Escritura de Emissão</w:t>
      </w:r>
      <w:r w:rsidRPr="001E6E9D">
        <w:rPr>
          <w:rFonts w:asciiTheme="minorHAnsi" w:eastAsia="Arial Unicode MS" w:hAnsiTheme="minorHAnsi" w:cstheme="minorHAnsi"/>
          <w:szCs w:val="20"/>
        </w:rPr>
        <w:t>, (viii) do objeto das Garantias Reais, da Fiança e do Aditivo ao Contrato de Suporte ou sua liberação ou redução, (ix) criação de evento de repactuação, (x) das disposições relativas a Resgate Antecipado Facultativo Total; (xi) Oferta de Resgate Antecipado; e (xii) das Garantias Reais (incluindo alterações no fluxo das contas bancárias objeto do Contrato de Cessão Fiduciária).</w:t>
      </w:r>
      <w:bookmarkEnd w:id="350"/>
      <w:r w:rsidRPr="001E6E9D">
        <w:rPr>
          <w:rFonts w:asciiTheme="minorHAnsi" w:eastAsia="Arial Unicode MS" w:hAnsiTheme="minorHAnsi" w:cstheme="minorHAnsi"/>
          <w:szCs w:val="20"/>
        </w:rPr>
        <w:t xml:space="preserve"> </w:t>
      </w:r>
    </w:p>
    <w:p w14:paraId="45755699" w14:textId="77777777"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b/>
          <w:szCs w:val="20"/>
        </w:rPr>
      </w:pPr>
      <w:bookmarkStart w:id="353" w:name="_Ref114687846"/>
      <w:r w:rsidRPr="001E6E9D">
        <w:rPr>
          <w:rFonts w:asciiTheme="minorHAnsi" w:eastAsia="Arial Unicode MS" w:hAnsiTheme="minorHAnsi" w:cstheme="minorHAnsi"/>
          <w:szCs w:val="20"/>
        </w:rPr>
        <w:t>Caso a Emissora, por qualquer motivo, solicite aos Debenturistas, antes da sua ocorrência, a concessão de renúncia prévia, definitiva ou perdão temporário (</w:t>
      </w:r>
      <w:r w:rsidRPr="001E6E9D">
        <w:rPr>
          <w:rFonts w:asciiTheme="minorHAnsi" w:eastAsia="Arial Unicode MS" w:hAnsiTheme="minorHAnsi" w:cstheme="minorHAnsi"/>
          <w:i/>
          <w:iCs/>
          <w:szCs w:val="20"/>
        </w:rPr>
        <w:t>waiver</w:t>
      </w:r>
      <w:r w:rsidRPr="001E6E9D">
        <w:rPr>
          <w:rFonts w:asciiTheme="minorHAnsi" w:eastAsia="Arial Unicode MS" w:hAnsiTheme="minorHAnsi" w:cstheme="minorHAnsi"/>
          <w:szCs w:val="20"/>
        </w:rPr>
        <w:t xml:space="preserve">): (i) aos </w:t>
      </w:r>
      <w:r w:rsidRPr="001E6E9D">
        <w:rPr>
          <w:rFonts w:asciiTheme="minorHAnsi" w:eastAsia="Arial Unicode MS" w:hAnsiTheme="minorHAnsi" w:cstheme="minorHAnsi"/>
          <w:szCs w:val="20"/>
          <w:u w:val="single"/>
        </w:rPr>
        <w:t>Eventos de Inadimplemento Automático</w:t>
      </w:r>
      <w:r w:rsidRPr="001E6E9D">
        <w:rPr>
          <w:rFonts w:asciiTheme="minorHAnsi" w:eastAsia="Arial Unicode MS" w:hAnsiTheme="minorHAnsi" w:cstheme="minorHAnsi"/>
          <w:szCs w:val="20"/>
        </w:rPr>
        <w:t xml:space="preserve">, tal solicitação poderá ser aprovada por Debenturistas, reunidos em Assembleia Geral de Debenturistas, que representem, no mínimo, 2/3 (dois terços) das Debêntures em Circulação, independentemente se em primeira ou segunda convocação; e (ii) para os </w:t>
      </w:r>
      <w:r w:rsidRPr="001E6E9D">
        <w:rPr>
          <w:rFonts w:asciiTheme="minorHAnsi" w:eastAsia="Arial Unicode MS" w:hAnsiTheme="minorHAnsi" w:cstheme="minorHAnsi"/>
          <w:szCs w:val="20"/>
          <w:u w:val="single"/>
        </w:rPr>
        <w:t>Eventos de Inadimplemento Não Automático</w:t>
      </w:r>
      <w:r w:rsidRPr="001E6E9D">
        <w:rPr>
          <w:rFonts w:asciiTheme="minorHAnsi" w:eastAsia="Arial Unicode MS" w:hAnsiTheme="minorHAnsi" w:cstheme="minorHAnsi"/>
          <w:szCs w:val="20"/>
        </w:rPr>
        <w:t>, tal solicitação poderá ser aprovada por Debenturistas que representem, no mínimo, (a) em primeira convocação, por Debenturistas que representam, no mínimo, 50% (cinquenta por cento) mais um das Debêntures em Circulação; e (b) em segunda convocação, por Debenturistas que representam, no mínimo, 50% (cinquenta por cento) mais um dos presentes, desde que estejam presentes, no mínimo, 25% (vinte e cinco por cento) das Debêntures em Circulação</w:t>
      </w:r>
      <w:r w:rsidRPr="001E6E9D">
        <w:rPr>
          <w:rFonts w:asciiTheme="minorHAnsi" w:hAnsiTheme="minorHAnsi" w:cstheme="minorHAnsi"/>
          <w:iCs/>
          <w:szCs w:val="20"/>
        </w:rPr>
        <w:t>,</w:t>
      </w:r>
      <w:r w:rsidRPr="001E6E9D">
        <w:rPr>
          <w:rFonts w:asciiTheme="minorHAnsi" w:eastAsia="Arial Unicode MS" w:hAnsiTheme="minorHAnsi" w:cstheme="minorHAnsi"/>
          <w:szCs w:val="20"/>
        </w:rPr>
        <w:t xml:space="preserve"> salvo se previsto quórum mais elevado na hipótese de Evento de Inadimplemento em discussão, caso em que este deverá ser observado.</w:t>
      </w:r>
      <w:bookmarkStart w:id="354" w:name="_DV_M589"/>
      <w:bookmarkEnd w:id="353"/>
      <w:bookmarkEnd w:id="354"/>
    </w:p>
    <w:p w14:paraId="1CA3569F" w14:textId="77777777"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bookmarkStart w:id="355" w:name="_Ref114687817"/>
      <w:r w:rsidRPr="001E6E9D">
        <w:rPr>
          <w:rFonts w:asciiTheme="minorHAnsi" w:eastAsia="Arial Unicode MS" w:hAnsiTheme="minorHAnsi" w:cstheme="minorHAnsi"/>
          <w:szCs w:val="20"/>
        </w:rPr>
        <w:t>Será obrigatória a presença dos representantes legais da Emissora nas Assembleias Gerais de Debenturistas convocadas pela Emissora, enquanto que nas assembleias convocadas pelos Debenturistas ou pelo Agente Fiduciário, a presença dos representantes legais da Emissora será facultativa, a não ser quando ela seja solicitada pelos Debenturistas ou pelo Agente Fiduciário, conforme o caso, hipótese em que será obrigatória.</w:t>
      </w:r>
      <w:bookmarkStart w:id="356" w:name="_DV_M590"/>
      <w:bookmarkEnd w:id="355"/>
      <w:bookmarkEnd w:id="356"/>
    </w:p>
    <w:p w14:paraId="21FBD17F" w14:textId="77777777"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r w:rsidRPr="001E6E9D">
        <w:rPr>
          <w:rFonts w:asciiTheme="minorHAnsi" w:eastAsia="Arial Unicode MS" w:hAnsiTheme="minorHAnsi" w:cstheme="minorHAnsi"/>
          <w:szCs w:val="20"/>
        </w:rPr>
        <w:t>O Agente Fiduciário deverá comparecer às Assembleias Gerais de Debenturistas para prestar a quaisquer dos Debenturistas as informações que lhe forem solicitadas.</w:t>
      </w:r>
      <w:bookmarkStart w:id="357" w:name="_Toc367387498"/>
      <w:bookmarkStart w:id="358" w:name="_Toc367387692"/>
      <w:bookmarkStart w:id="359" w:name="_Toc367389078"/>
      <w:bookmarkStart w:id="360" w:name="_Toc375090294"/>
      <w:bookmarkStart w:id="361" w:name="_Toc368667940"/>
    </w:p>
    <w:p w14:paraId="33F56F40" w14:textId="11E2DAFE" w:rsidR="00065DBC" w:rsidRPr="001E6E9D" w:rsidRDefault="00253AF3" w:rsidP="00DC7081">
      <w:pPr>
        <w:pStyle w:val="PargrafodaLista"/>
        <w:autoSpaceDE w:val="0"/>
        <w:autoSpaceDN w:val="0"/>
        <w:adjustRightInd w:val="0"/>
        <w:ind w:left="0"/>
        <w:contextualSpacing w:val="0"/>
        <w:rPr>
          <w:rFonts w:asciiTheme="minorHAnsi" w:eastAsia="Arial Unicode MS" w:hAnsiTheme="minorHAnsi" w:cstheme="minorHAnsi"/>
          <w:szCs w:val="20"/>
        </w:rPr>
      </w:pPr>
      <w:r w:rsidRPr="001E6E9D">
        <w:rPr>
          <w:rFonts w:asciiTheme="minorHAnsi" w:eastAsia="Arial Unicode MS" w:hAnsiTheme="minorHAnsi" w:cstheme="minorHAnsi"/>
          <w:szCs w:val="20"/>
        </w:rPr>
        <w:t>As deliberações tomadas pelos Debenturistas em Assembleias Gerais de Debenturistas no âmbito de sua competência legal, observados os quóruns n</w:t>
      </w:r>
      <w:r w:rsidR="00C75E87" w:rsidRPr="001E6E9D">
        <w:rPr>
          <w:rFonts w:asciiTheme="minorHAnsi" w:eastAsia="Arial Unicode MS" w:hAnsiTheme="minorHAnsi" w:cstheme="minorHAnsi"/>
          <w:szCs w:val="20"/>
        </w:rPr>
        <w:t>a Escritura</w:t>
      </w:r>
      <w:r w:rsidRPr="001E6E9D">
        <w:rPr>
          <w:rFonts w:asciiTheme="minorHAnsi" w:eastAsia="Arial Unicode MS" w:hAnsiTheme="minorHAnsi" w:cstheme="minorHAnsi"/>
          <w:szCs w:val="20"/>
        </w:rPr>
        <w:t xml:space="preserve"> de Emissão, vincularão a Emissora e obrigarão todos os Debenturistas, independentemente de terem comparecido à Assembleia Geral de Debenturistas ou do voto proferido nas respectivas Assembleias Gerais de Debenturistas, inclusive para fins de manifestação do Agente Fiduciário, em nome dos Debenturistas, em eventual deliberação de credores a ser tomada nos termos dos Contratos de Garantia, do Aditivo ao Contrato de Administração de Contas, do Aditivo ao Contrato de Suporte, do Aditivo ao Contrato de Cessão Condicional e do Aditivo ao Contrato de Compartilhamento, conforme aplicável.</w:t>
      </w:r>
    </w:p>
    <w:p w14:paraId="13B07A0B" w14:textId="77777777" w:rsidR="00065DBC" w:rsidRPr="001E6E9D" w:rsidRDefault="00253AF3" w:rsidP="00DC7081">
      <w:pPr>
        <w:rPr>
          <w:rFonts w:asciiTheme="minorHAnsi" w:eastAsia="Arial Unicode MS" w:hAnsiTheme="minorHAnsi" w:cstheme="minorHAnsi"/>
          <w:b/>
          <w:szCs w:val="20"/>
        </w:rPr>
      </w:pPr>
      <w:r w:rsidRPr="001E6E9D">
        <w:rPr>
          <w:rFonts w:asciiTheme="minorHAnsi" w:eastAsia="Arial Unicode MS" w:hAnsiTheme="minorHAnsi" w:cstheme="minorHAnsi"/>
          <w:b/>
          <w:szCs w:val="20"/>
        </w:rPr>
        <w:t>Mesa Diretora</w:t>
      </w:r>
      <w:bookmarkStart w:id="362" w:name="_DV_M392"/>
      <w:bookmarkStart w:id="363" w:name="_Toc367387693"/>
      <w:bookmarkEnd w:id="357"/>
      <w:bookmarkEnd w:id="358"/>
      <w:bookmarkEnd w:id="359"/>
      <w:bookmarkEnd w:id="360"/>
      <w:bookmarkEnd w:id="361"/>
      <w:bookmarkEnd w:id="362"/>
    </w:p>
    <w:p w14:paraId="4AB42487" w14:textId="63ED84F5" w:rsidR="004F7937" w:rsidRPr="001E6E9D" w:rsidRDefault="00253AF3" w:rsidP="003E3FF8">
      <w:pPr>
        <w:pStyle w:val="PargrafodaLista"/>
        <w:autoSpaceDE w:val="0"/>
        <w:autoSpaceDN w:val="0"/>
        <w:adjustRightInd w:val="0"/>
        <w:ind w:left="0"/>
        <w:contextualSpacing w:val="0"/>
        <w:rPr>
          <w:rFonts w:asciiTheme="minorHAnsi" w:eastAsiaTheme="majorEastAsia" w:hAnsiTheme="minorHAnsi" w:cstheme="minorHAnsi"/>
          <w:szCs w:val="20"/>
        </w:rPr>
      </w:pPr>
      <w:r w:rsidRPr="001E6E9D">
        <w:rPr>
          <w:rFonts w:asciiTheme="minorHAnsi" w:eastAsia="Arial Unicode MS" w:hAnsiTheme="minorHAnsi" w:cstheme="minorHAnsi"/>
          <w:szCs w:val="20"/>
        </w:rPr>
        <w:t>A presidência e secretaria das Assembleias Gerais de Debenturistas caberão aos representantes eleitos por Debenturistas presentes (podendo, para tal finalidade, ser eleito, pelos Debenturistas, o representante do Agente Fiduciário ou da Emissora presente em qualquer Assembleia Geral de Debenturistas) ou àqueles que forem designados pela CVM.</w:t>
      </w:r>
      <w:bookmarkStart w:id="364" w:name="_DV_M393"/>
      <w:bookmarkStart w:id="365" w:name="_DV_M591"/>
      <w:bookmarkEnd w:id="323"/>
      <w:bookmarkEnd w:id="324"/>
      <w:bookmarkEnd w:id="325"/>
      <w:bookmarkEnd w:id="326"/>
      <w:bookmarkEnd w:id="327"/>
      <w:bookmarkEnd w:id="363"/>
      <w:bookmarkEnd w:id="364"/>
      <w:bookmarkEnd w:id="365"/>
    </w:p>
    <w:sectPr w:rsidR="004F7937" w:rsidRPr="001E6E9D" w:rsidSect="003E3FF8">
      <w:pgSz w:w="11906" w:h="16840" w:code="9"/>
      <w:pgMar w:top="851" w:right="567" w:bottom="851" w:left="2268"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26AE0" w14:textId="77777777" w:rsidR="002D25D0" w:rsidRDefault="002D25D0" w:rsidP="0053704D">
      <w:pPr>
        <w:spacing w:after="0"/>
      </w:pPr>
      <w:r>
        <w:separator/>
      </w:r>
    </w:p>
  </w:endnote>
  <w:endnote w:type="continuationSeparator" w:id="0">
    <w:p w14:paraId="7BFDB7A7" w14:textId="77777777" w:rsidR="002D25D0" w:rsidRDefault="002D25D0" w:rsidP="0053704D">
      <w:pPr>
        <w:spacing w:after="0"/>
      </w:pPr>
      <w:r>
        <w:continuationSeparator/>
      </w:r>
    </w:p>
  </w:endnote>
  <w:endnote w:type="continuationNotice" w:id="1">
    <w:p w14:paraId="4D077E3A" w14:textId="77777777" w:rsidR="002D25D0" w:rsidRDefault="002D25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Negrito">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Optimum">
    <w:altName w:val="Calibri"/>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eelawadee">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Yu Gothic"/>
    <w:charset w:val="80"/>
    <w:family w:val="auto"/>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Bold">
    <w:altName w:val="Arial"/>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ource Sans Pro 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ITCAvantGardePro-Demi">
    <w:altName w:val="Calibri"/>
    <w:charset w:val="00"/>
    <w:family w:val="auto"/>
    <w:pitch w:val="default"/>
  </w:font>
  <w:font w:name="Minion Pro">
    <w:charset w:val="00"/>
    <w:family w:val="auto"/>
    <w:pitch w:val="default"/>
  </w:font>
  <w:font w:name="Swis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T108t00">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8DA3B" w14:textId="77777777" w:rsidR="002D25D0" w:rsidRPr="00227E32" w:rsidRDefault="002D25D0" w:rsidP="00775FAA">
    <w:pPr>
      <w:jc w:val="right"/>
      <w:rPr>
        <w:rFonts w:cstheme="minorHAnsi"/>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63E65" w14:textId="77777777" w:rsidR="002D25D0" w:rsidRPr="00227E32" w:rsidRDefault="002D25D0" w:rsidP="00775FAA">
    <w:pPr>
      <w:jc w:val="right"/>
      <w:rPr>
        <w:rFonts w:cstheme="minorHAnsi"/>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8083260"/>
      <w:docPartObj>
        <w:docPartGallery w:val="Page Numbers (Bottom of Page)"/>
        <w:docPartUnique/>
      </w:docPartObj>
    </w:sdtPr>
    <w:sdtEndPr/>
    <w:sdtContent>
      <w:p w14:paraId="5C7E8A37" w14:textId="24C63C26" w:rsidR="002D25D0" w:rsidRDefault="002D25D0">
        <w:pPr>
          <w:pStyle w:val="Rodap"/>
          <w:jc w:val="center"/>
        </w:pPr>
        <w:r>
          <w:fldChar w:fldCharType="begin"/>
        </w:r>
        <w:r>
          <w:instrText>PAGE   \* MERGEFORMAT</w:instrText>
        </w:r>
        <w:r>
          <w:fldChar w:fldCharType="separate"/>
        </w:r>
        <w:r>
          <w:rPr>
            <w:noProof/>
          </w:rPr>
          <w:t>ii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94381874"/>
      <w:docPartObj>
        <w:docPartGallery w:val="Page Numbers (Bottom of Page)"/>
        <w:docPartUnique/>
      </w:docPartObj>
    </w:sdtPr>
    <w:sdtEndPr/>
    <w:sdtContent>
      <w:p w14:paraId="7BDB6FAA" w14:textId="5D4D2577" w:rsidR="002D25D0" w:rsidRPr="005D2021" w:rsidRDefault="002D25D0" w:rsidP="005D2021">
        <w:pPr>
          <w:pStyle w:val="Rodap"/>
          <w:jc w:val="center"/>
          <w:rPr>
            <w:sz w:val="18"/>
            <w:szCs w:val="18"/>
          </w:rPr>
        </w:pPr>
        <w:r w:rsidRPr="0093395C">
          <w:rPr>
            <w:sz w:val="18"/>
            <w:szCs w:val="18"/>
          </w:rPr>
          <w:fldChar w:fldCharType="begin"/>
        </w:r>
        <w:r w:rsidRPr="0093395C">
          <w:rPr>
            <w:sz w:val="18"/>
            <w:szCs w:val="18"/>
          </w:rPr>
          <w:instrText>PAGE   \* MERGEFORMAT</w:instrText>
        </w:r>
        <w:r w:rsidRPr="0093395C">
          <w:rPr>
            <w:sz w:val="18"/>
            <w:szCs w:val="18"/>
          </w:rPr>
          <w:fldChar w:fldCharType="separate"/>
        </w:r>
        <w:r>
          <w:rPr>
            <w:noProof/>
            <w:sz w:val="18"/>
            <w:szCs w:val="18"/>
          </w:rPr>
          <w:t>272</w:t>
        </w:r>
        <w:r w:rsidRPr="0093395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1668A" w14:textId="77777777" w:rsidR="002D25D0" w:rsidRDefault="002D25D0" w:rsidP="0053704D">
      <w:pPr>
        <w:spacing w:after="0"/>
      </w:pPr>
      <w:r>
        <w:separator/>
      </w:r>
    </w:p>
  </w:footnote>
  <w:footnote w:type="continuationSeparator" w:id="0">
    <w:p w14:paraId="6237940D" w14:textId="77777777" w:rsidR="002D25D0" w:rsidRDefault="002D25D0" w:rsidP="0053704D">
      <w:pPr>
        <w:spacing w:after="0"/>
      </w:pPr>
      <w:r>
        <w:continuationSeparator/>
      </w:r>
    </w:p>
  </w:footnote>
  <w:footnote w:type="continuationNotice" w:id="1">
    <w:p w14:paraId="38D07B03" w14:textId="77777777" w:rsidR="002D25D0" w:rsidRDefault="002D25D0">
      <w:pPr>
        <w:spacing w:after="0"/>
      </w:pPr>
    </w:p>
  </w:footnote>
  <w:footnote w:id="2">
    <w:p w14:paraId="07353AD7" w14:textId="77777777" w:rsidR="002D25D0" w:rsidRPr="00E424AD" w:rsidRDefault="002D25D0" w:rsidP="00E424AD">
      <w:pPr>
        <w:pStyle w:val="Textodenotaderodap"/>
        <w:jc w:val="both"/>
        <w:rPr>
          <w:sz w:val="12"/>
          <w:szCs w:val="12"/>
        </w:rPr>
      </w:pPr>
      <w:r w:rsidRPr="00E424AD">
        <w:rPr>
          <w:rStyle w:val="Refdenotaderodap"/>
          <w:sz w:val="12"/>
          <w:szCs w:val="12"/>
        </w:rPr>
        <w:footnoteRef/>
      </w:r>
      <w:r w:rsidRPr="00E424AD">
        <w:rPr>
          <w:sz w:val="12"/>
          <w:szCs w:val="12"/>
        </w:rPr>
        <w:t xml:space="preserve"> Para fins de apuração do ICSD, a “Variação da Necessidade de Capital de Giro” significa a diferença entre a Necessidade de Capital de Giro de um determinado Ano de Referência e a Necessidade de Capital de Giro do ano anterior. Igualmente, a “Necessidade de Capital de Giro” significa a o resultado do somatório das contas contábeis “Contas a Receber” e “Impostos/Tributos a Recuperar” (exceto PIS/COFINS) (classificadas dentro de “Ativos Circulantes”), subtraída do somatório das contas contábeis “Fornecedores”, “Obrigações Tributárias e Trabalhistas” e “Impostos/Tributos a Recolher” (exceto PIS/COFINS) (classificadas dentro de “Passivos Circulantes”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4309" w14:textId="1A7421DE" w:rsidR="002D25D0" w:rsidRDefault="002D25D0">
    <w:pPr>
      <w:pStyle w:val="Cabealho"/>
    </w:pPr>
    <w:r>
      <w:rPr>
        <w:noProof/>
      </w:rPr>
      <w:drawing>
        <wp:anchor distT="0" distB="0" distL="114300" distR="114300" simplePos="0" relativeHeight="251658240" behindDoc="0" locked="0" layoutInCell="1" allowOverlap="1" wp14:anchorId="7443EF6D" wp14:editId="3EC1B157">
          <wp:simplePos x="0" y="0"/>
          <wp:positionH relativeFrom="column">
            <wp:posOffset>-1439545</wp:posOffset>
          </wp:positionH>
          <wp:positionV relativeFrom="paragraph">
            <wp:posOffset>0</wp:posOffset>
          </wp:positionV>
          <wp:extent cx="1084174" cy="10692000"/>
          <wp:effectExtent l="0" t="0" r="1905"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O ENERGY TARJA V_NOME TARJA V.png"/>
                  <pic:cNvPicPr/>
                </pic:nvPicPr>
                <pic:blipFill>
                  <a:blip r:embed="rId1">
                    <a:extLst>
                      <a:ext uri="{28A0092B-C50C-407E-A947-70E740481C1C}">
                        <a14:useLocalDpi xmlns:a14="http://schemas.microsoft.com/office/drawing/2010/main" val="0"/>
                      </a:ext>
                    </a:extLst>
                  </a:blip>
                  <a:stretch>
                    <a:fillRect/>
                  </a:stretch>
                </pic:blipFill>
                <pic:spPr>
                  <a:xfrm>
                    <a:off x="0" y="0"/>
                    <a:ext cx="1084174"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72449" w14:textId="77777777" w:rsidR="002D25D0" w:rsidRDefault="002D25D0">
    <w:pPr>
      <w:pStyle w:val="Cabealho"/>
    </w:pPr>
    <w:r>
      <w:rPr>
        <w:noProof/>
      </w:rPr>
      <w:drawing>
        <wp:anchor distT="0" distB="0" distL="114300" distR="114300" simplePos="0" relativeHeight="251660288" behindDoc="1" locked="0" layoutInCell="1" allowOverlap="1" wp14:anchorId="2757BA9F" wp14:editId="617F5BC8">
          <wp:simplePos x="0" y="1556426"/>
          <wp:positionH relativeFrom="page">
            <wp:align>left</wp:align>
          </wp:positionH>
          <wp:positionV relativeFrom="page">
            <wp:align>top</wp:align>
          </wp:positionV>
          <wp:extent cx="1080000" cy="7560000"/>
          <wp:effectExtent l="0" t="0" r="6350" b="317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O ENERGY TARJA V_NOME TARJA V.png"/>
                  <pic:cNvPicPr/>
                </pic:nvPicPr>
                <pic:blipFill>
                  <a:blip r:embed="rId1">
                    <a:extLst>
                      <a:ext uri="{28A0092B-C50C-407E-A947-70E740481C1C}">
                        <a14:useLocalDpi xmlns:a14="http://schemas.microsoft.com/office/drawing/2010/main" val="0"/>
                      </a:ext>
                    </a:extLst>
                  </a:blip>
                  <a:stretch>
                    <a:fillRect/>
                  </a:stretch>
                </pic:blipFill>
                <pic:spPr>
                  <a:xfrm>
                    <a:off x="0" y="0"/>
                    <a:ext cx="10800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4758D" w14:textId="77777777" w:rsidR="002D25D0" w:rsidRDefault="002D25D0">
    <w:pPr>
      <w:pStyle w:val="Cabealho"/>
    </w:pPr>
    <w:r>
      <w:rPr>
        <w:noProof/>
      </w:rPr>
      <w:drawing>
        <wp:anchor distT="0" distB="0" distL="114300" distR="114300" simplePos="0" relativeHeight="251662336" behindDoc="0" locked="0" layoutInCell="1" allowOverlap="1" wp14:anchorId="3F8E9AA2" wp14:editId="5CCF0EB8">
          <wp:simplePos x="0" y="0"/>
          <wp:positionH relativeFrom="column">
            <wp:posOffset>-1439545</wp:posOffset>
          </wp:positionH>
          <wp:positionV relativeFrom="paragraph">
            <wp:posOffset>0</wp:posOffset>
          </wp:positionV>
          <wp:extent cx="1084174" cy="10692000"/>
          <wp:effectExtent l="0" t="0" r="1905"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O ENERGY TARJA V_NOME TARJA V.png"/>
                  <pic:cNvPicPr/>
                </pic:nvPicPr>
                <pic:blipFill>
                  <a:blip r:embed="rId1">
                    <a:extLst>
                      <a:ext uri="{28A0092B-C50C-407E-A947-70E740481C1C}">
                        <a14:useLocalDpi xmlns:a14="http://schemas.microsoft.com/office/drawing/2010/main" val="0"/>
                      </a:ext>
                    </a:extLst>
                  </a:blip>
                  <a:stretch>
                    <a:fillRect/>
                  </a:stretch>
                </pic:blipFill>
                <pic:spPr>
                  <a:xfrm>
                    <a:off x="0" y="0"/>
                    <a:ext cx="1084174"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A2BB67"/>
    <w:multiLevelType w:val="hybridMultilevel"/>
    <w:tmpl w:val="FFFFFFFF"/>
    <w:lvl w:ilvl="0" w:tplc="40A2EEA0">
      <w:start w:val="1"/>
      <w:numFmt w:val="lowerLetter"/>
      <w:lvlText w:val=""/>
      <w:lvlJc w:val="left"/>
    </w:lvl>
    <w:lvl w:ilvl="1" w:tplc="EEE0CB6A">
      <w:numFmt w:val="decimal"/>
      <w:lvlText w:val=""/>
      <w:lvlJc w:val="left"/>
    </w:lvl>
    <w:lvl w:ilvl="2" w:tplc="5EF69468">
      <w:numFmt w:val="decimal"/>
      <w:lvlText w:val=""/>
      <w:lvlJc w:val="left"/>
    </w:lvl>
    <w:lvl w:ilvl="3" w:tplc="C5724B8E">
      <w:numFmt w:val="decimal"/>
      <w:lvlText w:val=""/>
      <w:lvlJc w:val="left"/>
    </w:lvl>
    <w:lvl w:ilvl="4" w:tplc="DE84230C">
      <w:numFmt w:val="decimal"/>
      <w:lvlText w:val=""/>
      <w:lvlJc w:val="left"/>
    </w:lvl>
    <w:lvl w:ilvl="5" w:tplc="EEE0AF3C">
      <w:numFmt w:val="decimal"/>
      <w:lvlText w:val=""/>
      <w:lvlJc w:val="left"/>
    </w:lvl>
    <w:lvl w:ilvl="6" w:tplc="342010F4">
      <w:numFmt w:val="decimal"/>
      <w:lvlText w:val=""/>
      <w:lvlJc w:val="left"/>
    </w:lvl>
    <w:lvl w:ilvl="7" w:tplc="E3721564">
      <w:numFmt w:val="decimal"/>
      <w:lvlText w:val=""/>
      <w:lvlJc w:val="left"/>
    </w:lvl>
    <w:lvl w:ilvl="8" w:tplc="E0F6FF7A">
      <w:numFmt w:val="decimal"/>
      <w:lvlText w:val=""/>
      <w:lvlJc w:val="left"/>
    </w:lvl>
  </w:abstractNum>
  <w:abstractNum w:abstractNumId="1" w15:restartNumberingAfterBreak="0">
    <w:nsid w:val="FFFFFF89"/>
    <w:multiLevelType w:val="singleLevel"/>
    <w:tmpl w:val="23C82CC4"/>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0000003"/>
    <w:multiLevelType w:val="hybridMultilevel"/>
    <w:tmpl w:val="ECFAC6E0"/>
    <w:lvl w:ilvl="0" w:tplc="0DB40746">
      <w:start w:val="1"/>
      <w:numFmt w:val="decimal"/>
      <w:lvlText w:val="2.%1."/>
      <w:lvlJc w:val="left"/>
      <w:pPr>
        <w:tabs>
          <w:tab w:val="num" w:pos="1648"/>
        </w:tabs>
      </w:pPr>
      <w:rPr>
        <w:rFonts w:ascii="Verdana" w:hAnsi="Verdana" w:cs="Times New Roman" w:hint="default"/>
        <w:b/>
        <w:i w:val="0"/>
        <w:sz w:val="20"/>
        <w:szCs w:val="20"/>
      </w:rPr>
    </w:lvl>
    <w:lvl w:ilvl="1" w:tplc="5C605338">
      <w:start w:val="1"/>
      <w:numFmt w:val="lowerLetter"/>
      <w:lvlText w:val="%2."/>
      <w:lvlJc w:val="left"/>
      <w:pPr>
        <w:tabs>
          <w:tab w:val="num" w:pos="928"/>
        </w:tabs>
        <w:ind w:left="928" w:hanging="360"/>
      </w:pPr>
      <w:rPr>
        <w:rFonts w:cs="Times New Roman"/>
      </w:rPr>
    </w:lvl>
    <w:lvl w:ilvl="2" w:tplc="F544F606">
      <w:start w:val="1"/>
      <w:numFmt w:val="lowerRoman"/>
      <w:lvlText w:val="%3."/>
      <w:lvlJc w:val="right"/>
      <w:pPr>
        <w:tabs>
          <w:tab w:val="num" w:pos="1648"/>
        </w:tabs>
        <w:ind w:left="1648" w:hanging="180"/>
      </w:pPr>
      <w:rPr>
        <w:rFonts w:cs="Times New Roman"/>
      </w:rPr>
    </w:lvl>
    <w:lvl w:ilvl="3" w:tplc="016CECDA">
      <w:start w:val="1"/>
      <w:numFmt w:val="decimal"/>
      <w:lvlText w:val="%4."/>
      <w:lvlJc w:val="left"/>
      <w:pPr>
        <w:tabs>
          <w:tab w:val="num" w:pos="2368"/>
        </w:tabs>
        <w:ind w:left="2368" w:hanging="360"/>
      </w:pPr>
      <w:rPr>
        <w:rFonts w:cs="Times New Roman"/>
      </w:rPr>
    </w:lvl>
    <w:lvl w:ilvl="4" w:tplc="2E444206">
      <w:start w:val="1"/>
      <w:numFmt w:val="lowerLetter"/>
      <w:lvlText w:val="%5."/>
      <w:lvlJc w:val="left"/>
      <w:pPr>
        <w:tabs>
          <w:tab w:val="num" w:pos="3088"/>
        </w:tabs>
        <w:ind w:left="3088" w:hanging="360"/>
      </w:pPr>
      <w:rPr>
        <w:rFonts w:cs="Times New Roman"/>
      </w:rPr>
    </w:lvl>
    <w:lvl w:ilvl="5" w:tplc="5986E94E">
      <w:start w:val="1"/>
      <w:numFmt w:val="lowerRoman"/>
      <w:lvlText w:val="%6."/>
      <w:lvlJc w:val="right"/>
      <w:pPr>
        <w:tabs>
          <w:tab w:val="num" w:pos="3808"/>
        </w:tabs>
        <w:ind w:left="3808" w:hanging="180"/>
      </w:pPr>
      <w:rPr>
        <w:rFonts w:cs="Times New Roman"/>
      </w:rPr>
    </w:lvl>
    <w:lvl w:ilvl="6" w:tplc="FA1209D2">
      <w:start w:val="1"/>
      <w:numFmt w:val="decimal"/>
      <w:lvlText w:val="%7."/>
      <w:lvlJc w:val="left"/>
      <w:pPr>
        <w:tabs>
          <w:tab w:val="num" w:pos="4528"/>
        </w:tabs>
        <w:ind w:left="4528" w:hanging="360"/>
      </w:pPr>
      <w:rPr>
        <w:rFonts w:cs="Times New Roman"/>
      </w:rPr>
    </w:lvl>
    <w:lvl w:ilvl="7" w:tplc="376E02FC">
      <w:start w:val="1"/>
      <w:numFmt w:val="lowerLetter"/>
      <w:lvlText w:val="%8."/>
      <w:lvlJc w:val="left"/>
      <w:pPr>
        <w:tabs>
          <w:tab w:val="num" w:pos="5248"/>
        </w:tabs>
        <w:ind w:left="5248" w:hanging="360"/>
      </w:pPr>
      <w:rPr>
        <w:rFonts w:cs="Times New Roman"/>
      </w:rPr>
    </w:lvl>
    <w:lvl w:ilvl="8" w:tplc="D8FCDD28">
      <w:start w:val="1"/>
      <w:numFmt w:val="lowerRoman"/>
      <w:lvlText w:val="%9."/>
      <w:lvlJc w:val="right"/>
      <w:pPr>
        <w:tabs>
          <w:tab w:val="num" w:pos="5968"/>
        </w:tabs>
        <w:ind w:left="5968" w:hanging="180"/>
      </w:pPr>
      <w:rPr>
        <w:rFonts w:cs="Times New Roman"/>
      </w:rPr>
    </w:lvl>
  </w:abstractNum>
  <w:abstractNum w:abstractNumId="3" w15:restartNumberingAfterBreak="0">
    <w:nsid w:val="00000004"/>
    <w:multiLevelType w:val="hybridMultilevel"/>
    <w:tmpl w:val="59D0FBA8"/>
    <w:lvl w:ilvl="0" w:tplc="E104D838">
      <w:start w:val="1"/>
      <w:numFmt w:val="decimal"/>
      <w:pStyle w:val="StyleHeading1Before0pt"/>
      <w:lvlText w:val="%1."/>
      <w:lvlJc w:val="left"/>
      <w:pPr>
        <w:tabs>
          <w:tab w:val="num" w:pos="454"/>
        </w:tabs>
        <w:ind w:left="454" w:hanging="454"/>
      </w:pPr>
      <w:rPr>
        <w:rFonts w:cs="Times New Roman" w:hint="eastAsia"/>
      </w:rPr>
    </w:lvl>
    <w:lvl w:ilvl="1" w:tplc="5A20128C">
      <w:start w:val="1"/>
      <w:numFmt w:val="lowerLetter"/>
      <w:lvlText w:val="%2)"/>
      <w:lvlJc w:val="left"/>
      <w:pPr>
        <w:tabs>
          <w:tab w:val="num" w:pos="1420"/>
        </w:tabs>
        <w:ind w:left="1420" w:hanging="340"/>
      </w:pPr>
      <w:rPr>
        <w:rFonts w:ascii="Times" w:hAnsi="Times" w:cs="Times New Roman" w:hint="default"/>
        <w:b w:val="0"/>
        <w:i w:val="0"/>
        <w:color w:val="auto"/>
        <w:sz w:val="24"/>
        <w:szCs w:val="24"/>
      </w:rPr>
    </w:lvl>
    <w:lvl w:ilvl="2" w:tplc="DF4014BA">
      <w:start w:val="1"/>
      <w:numFmt w:val="lowerRoman"/>
      <w:lvlText w:val="%3."/>
      <w:lvlJc w:val="right"/>
      <w:pPr>
        <w:tabs>
          <w:tab w:val="num" w:pos="2160"/>
        </w:tabs>
        <w:ind w:left="2160" w:hanging="180"/>
      </w:pPr>
      <w:rPr>
        <w:rFonts w:cs="Times New Roman"/>
      </w:rPr>
    </w:lvl>
    <w:lvl w:ilvl="3" w:tplc="A2A8A1A6">
      <w:start w:val="1"/>
      <w:numFmt w:val="decimal"/>
      <w:lvlText w:val="%4."/>
      <w:lvlJc w:val="left"/>
      <w:pPr>
        <w:tabs>
          <w:tab w:val="num" w:pos="2880"/>
        </w:tabs>
        <w:ind w:left="2880" w:hanging="360"/>
      </w:pPr>
      <w:rPr>
        <w:rFonts w:cs="Times New Roman"/>
      </w:rPr>
    </w:lvl>
    <w:lvl w:ilvl="4" w:tplc="D4E00D66">
      <w:start w:val="1"/>
      <w:numFmt w:val="lowerLetter"/>
      <w:lvlText w:val="%5."/>
      <w:lvlJc w:val="left"/>
      <w:pPr>
        <w:tabs>
          <w:tab w:val="num" w:pos="3600"/>
        </w:tabs>
        <w:ind w:left="3600" w:hanging="360"/>
      </w:pPr>
      <w:rPr>
        <w:rFonts w:cs="Times New Roman"/>
      </w:rPr>
    </w:lvl>
    <w:lvl w:ilvl="5" w:tplc="74B02790">
      <w:start w:val="1"/>
      <w:numFmt w:val="lowerRoman"/>
      <w:lvlText w:val="%6."/>
      <w:lvlJc w:val="right"/>
      <w:pPr>
        <w:tabs>
          <w:tab w:val="num" w:pos="4320"/>
        </w:tabs>
        <w:ind w:left="4320" w:hanging="180"/>
      </w:pPr>
      <w:rPr>
        <w:rFonts w:cs="Times New Roman"/>
      </w:rPr>
    </w:lvl>
    <w:lvl w:ilvl="6" w:tplc="13223C6E">
      <w:start w:val="1"/>
      <w:numFmt w:val="decimal"/>
      <w:lvlText w:val="%7."/>
      <w:lvlJc w:val="left"/>
      <w:pPr>
        <w:tabs>
          <w:tab w:val="num" w:pos="5040"/>
        </w:tabs>
        <w:ind w:left="5040" w:hanging="360"/>
      </w:pPr>
      <w:rPr>
        <w:rFonts w:cs="Times New Roman"/>
      </w:rPr>
    </w:lvl>
    <w:lvl w:ilvl="7" w:tplc="B91ACAF8">
      <w:start w:val="1"/>
      <w:numFmt w:val="lowerLetter"/>
      <w:lvlText w:val="%8."/>
      <w:lvlJc w:val="left"/>
      <w:pPr>
        <w:tabs>
          <w:tab w:val="num" w:pos="5760"/>
        </w:tabs>
        <w:ind w:left="5760" w:hanging="360"/>
      </w:pPr>
      <w:rPr>
        <w:rFonts w:cs="Times New Roman"/>
      </w:rPr>
    </w:lvl>
    <w:lvl w:ilvl="8" w:tplc="23084384">
      <w:start w:val="1"/>
      <w:numFmt w:val="lowerRoman"/>
      <w:lvlText w:val="%9."/>
      <w:lvlJc w:val="right"/>
      <w:pPr>
        <w:tabs>
          <w:tab w:val="num" w:pos="6480"/>
        </w:tabs>
        <w:ind w:left="6480" w:hanging="180"/>
      </w:pPr>
      <w:rPr>
        <w:rFonts w:cs="Times New Roman"/>
      </w:rPr>
    </w:lvl>
  </w:abstractNum>
  <w:abstractNum w:abstractNumId="4" w15:restartNumberingAfterBreak="0">
    <w:nsid w:val="00000005"/>
    <w:multiLevelType w:val="multilevel"/>
    <w:tmpl w:val="36888BE2"/>
    <w:lvl w:ilvl="0">
      <w:start w:val="1"/>
      <w:numFmt w:val="decimal"/>
      <w:lvlText w:val="%1."/>
      <w:lvlJc w:val="left"/>
      <w:pPr>
        <w:ind w:left="0" w:firstLine="0"/>
      </w:pPr>
      <w:rPr>
        <w:rFonts w:hint="default"/>
        <w:b/>
        <w:bCs/>
        <w:i w:val="0"/>
        <w:iCs w:val="0"/>
        <w:sz w:val="24"/>
        <w:szCs w:val="24"/>
      </w:rPr>
    </w:lvl>
    <w:lvl w:ilvl="1">
      <w:start w:val="1"/>
      <w:numFmt w:val="decimal"/>
      <w:lvlText w:val="%1.%2."/>
      <w:lvlJc w:val="left"/>
      <w:pPr>
        <w:ind w:left="0" w:firstLine="0"/>
      </w:pPr>
      <w:rPr>
        <w:rFonts w:hint="default"/>
        <w:b w:val="0"/>
        <w:bCs w:val="0"/>
        <w:i w:val="0"/>
        <w:iCs w:val="0"/>
        <w:sz w:val="20"/>
        <w:szCs w:val="20"/>
      </w:rPr>
    </w:lvl>
    <w:lvl w:ilvl="2">
      <w:start w:val="1"/>
      <w:numFmt w:val="decimal"/>
      <w:lvlText w:val="%1.%2.%3."/>
      <w:lvlJc w:val="left"/>
      <w:pPr>
        <w:ind w:left="0" w:firstLine="0"/>
      </w:pPr>
      <w:rPr>
        <w:rFonts w:ascii="Segoe UI" w:hAnsi="Segoe UI" w:cs="Segoe UI" w:hint="default"/>
        <w:b w:val="0"/>
        <w:bCs w:val="0"/>
        <w:i w:val="0"/>
        <w:iCs w:val="0"/>
        <w:strike w:val="0"/>
        <w:sz w:val="20"/>
        <w:szCs w:val="20"/>
      </w:rPr>
    </w:lvl>
    <w:lvl w:ilvl="3">
      <w:start w:val="1"/>
      <w:numFmt w:val="decimal"/>
      <w:lvlText w:val="%1.%2.%3.%4."/>
      <w:lvlJc w:val="left"/>
      <w:pPr>
        <w:ind w:left="0" w:firstLine="0"/>
      </w:pPr>
      <w:rPr>
        <w:rFonts w:hint="default"/>
        <w:b w:val="0"/>
        <w:bCs w:val="0"/>
        <w:i w:val="0"/>
        <w:iCs w:val="0"/>
        <w:sz w:val="20"/>
        <w:szCs w:val="20"/>
      </w:rPr>
    </w:lvl>
    <w:lvl w:ilvl="4">
      <w:start w:val="1"/>
      <w:numFmt w:val="decimal"/>
      <w:lvlText w:val="%1.%2.%3.%4.%5."/>
      <w:lvlJc w:val="left"/>
      <w:pPr>
        <w:ind w:left="0" w:firstLine="0"/>
      </w:pPr>
      <w:rPr>
        <w:rFonts w:hint="default"/>
        <w:b w:val="0"/>
        <w:bCs w:val="0"/>
        <w:i w:val="0"/>
        <w:iCs w:val="0"/>
        <w:sz w:val="20"/>
        <w:szCs w:val="20"/>
      </w:rPr>
    </w:lvl>
    <w:lvl w:ilvl="5">
      <w:start w:val="1"/>
      <w:numFmt w:val="none"/>
      <w:lvlText w:val="6.20.1"/>
      <w:lvlJc w:val="left"/>
      <w:pPr>
        <w:ind w:left="0" w:firstLine="0"/>
      </w:pPr>
      <w:rPr>
        <w:rFonts w:hint="default"/>
        <w:b w:val="0"/>
        <w:bCs w:val="0"/>
        <w:i w:val="0"/>
        <w:iCs w:val="0"/>
        <w:sz w:val="20"/>
        <w:szCs w:val="20"/>
      </w:rPr>
    </w:lvl>
    <w:lvl w:ilvl="6">
      <w:start w:val="1"/>
      <w:numFmt w:val="decimal"/>
      <w:lvlText w:val="%1.%2.%3"/>
      <w:lvlJc w:val="left"/>
      <w:pPr>
        <w:ind w:left="0" w:firstLine="0"/>
      </w:pPr>
      <w:rPr>
        <w:rFonts w:hint="default"/>
        <w:b w:val="0"/>
        <w:bCs w:val="0"/>
        <w:i w:val="0"/>
        <w:iCs w:val="0"/>
        <w:sz w:val="20"/>
        <w:szCs w:val="20"/>
      </w:rPr>
    </w:lvl>
    <w:lvl w:ilvl="7">
      <w:start w:val="1"/>
      <w:numFmt w:val="decimal"/>
      <w:lvlText w:val="%1.%2.%3.%4.%5.%6.%7.%8."/>
      <w:lvlJc w:val="left"/>
      <w:pPr>
        <w:ind w:left="0" w:firstLine="0"/>
      </w:pPr>
      <w:rPr>
        <w:rFonts w:hint="default"/>
        <w:b w:val="0"/>
        <w:bCs w:val="0"/>
        <w:i w:val="0"/>
        <w:iCs w:val="0"/>
        <w:sz w:val="20"/>
        <w:szCs w:val="20"/>
      </w:rPr>
    </w:lvl>
    <w:lvl w:ilvl="8">
      <w:start w:val="1"/>
      <w:numFmt w:val="decimal"/>
      <w:lvlText w:val="%1.%2.%3.%4.%5.%6.%7.%8.%9."/>
      <w:lvlJc w:val="left"/>
      <w:pPr>
        <w:ind w:left="0" w:firstLine="0"/>
      </w:pPr>
      <w:rPr>
        <w:rFonts w:hint="default"/>
        <w:b w:val="0"/>
        <w:bCs w:val="0"/>
        <w:i w:val="0"/>
        <w:iCs w:val="0"/>
        <w:sz w:val="26"/>
        <w:szCs w:val="26"/>
      </w:rPr>
    </w:lvl>
  </w:abstractNum>
  <w:abstractNum w:abstractNumId="5" w15:restartNumberingAfterBreak="0">
    <w:nsid w:val="00000007"/>
    <w:multiLevelType w:val="hybridMultilevel"/>
    <w:tmpl w:val="6CC4F86C"/>
    <w:lvl w:ilvl="0" w:tplc="E9B2DFC4">
      <w:start w:val="1"/>
      <w:numFmt w:val="decimal"/>
      <w:pStyle w:val="NormalNumerada"/>
      <w:lvlText w:val="(%1)"/>
      <w:lvlJc w:val="left"/>
      <w:pPr>
        <w:tabs>
          <w:tab w:val="num" w:pos="360"/>
        </w:tabs>
        <w:ind w:left="360" w:hanging="360"/>
      </w:pPr>
      <w:rPr>
        <w:rFonts w:ascii="Arial" w:hAnsi="Arial" w:cs="Times New Roman" w:hint="default"/>
      </w:rPr>
    </w:lvl>
    <w:lvl w:ilvl="1" w:tplc="1F462D70">
      <w:start w:val="1"/>
      <w:numFmt w:val="lowerRoman"/>
      <w:lvlText w:val="%2."/>
      <w:lvlJc w:val="left"/>
      <w:pPr>
        <w:tabs>
          <w:tab w:val="num" w:pos="1440"/>
        </w:tabs>
        <w:ind w:left="1440" w:hanging="360"/>
      </w:pPr>
      <w:rPr>
        <w:rFonts w:cs="Times New Roman" w:hint="eastAsia"/>
      </w:rPr>
    </w:lvl>
    <w:lvl w:ilvl="2" w:tplc="7154FF72">
      <w:start w:val="1"/>
      <w:numFmt w:val="lowerRoman"/>
      <w:lvlText w:val="%3."/>
      <w:lvlJc w:val="right"/>
      <w:pPr>
        <w:tabs>
          <w:tab w:val="num" w:pos="2160"/>
        </w:tabs>
        <w:ind w:left="2160" w:hanging="180"/>
      </w:pPr>
      <w:rPr>
        <w:rFonts w:cs="Times New Roman"/>
      </w:rPr>
    </w:lvl>
    <w:lvl w:ilvl="3" w:tplc="7D1035C4">
      <w:start w:val="1"/>
      <w:numFmt w:val="decimal"/>
      <w:lvlText w:val="%4."/>
      <w:lvlJc w:val="left"/>
      <w:pPr>
        <w:tabs>
          <w:tab w:val="num" w:pos="2880"/>
        </w:tabs>
        <w:ind w:left="2880" w:hanging="360"/>
      </w:pPr>
      <w:rPr>
        <w:rFonts w:cs="Times New Roman"/>
      </w:rPr>
    </w:lvl>
    <w:lvl w:ilvl="4" w:tplc="2CE84452">
      <w:start w:val="1"/>
      <w:numFmt w:val="lowerLetter"/>
      <w:lvlText w:val="%5."/>
      <w:lvlJc w:val="left"/>
      <w:pPr>
        <w:tabs>
          <w:tab w:val="num" w:pos="3600"/>
        </w:tabs>
        <w:ind w:left="3600" w:hanging="360"/>
      </w:pPr>
      <w:rPr>
        <w:rFonts w:cs="Times New Roman"/>
      </w:rPr>
    </w:lvl>
    <w:lvl w:ilvl="5" w:tplc="734A7FF2">
      <w:start w:val="1"/>
      <w:numFmt w:val="lowerRoman"/>
      <w:lvlText w:val="%6."/>
      <w:lvlJc w:val="right"/>
      <w:pPr>
        <w:tabs>
          <w:tab w:val="num" w:pos="4320"/>
        </w:tabs>
        <w:ind w:left="4320" w:hanging="180"/>
      </w:pPr>
      <w:rPr>
        <w:rFonts w:cs="Times New Roman"/>
      </w:rPr>
    </w:lvl>
    <w:lvl w:ilvl="6" w:tplc="F1F2875C">
      <w:start w:val="1"/>
      <w:numFmt w:val="decimal"/>
      <w:lvlText w:val="%7."/>
      <w:lvlJc w:val="left"/>
      <w:pPr>
        <w:tabs>
          <w:tab w:val="num" w:pos="5040"/>
        </w:tabs>
        <w:ind w:left="5040" w:hanging="360"/>
      </w:pPr>
      <w:rPr>
        <w:rFonts w:cs="Times New Roman"/>
      </w:rPr>
    </w:lvl>
    <w:lvl w:ilvl="7" w:tplc="35263C54">
      <w:start w:val="1"/>
      <w:numFmt w:val="lowerLetter"/>
      <w:lvlText w:val="%8."/>
      <w:lvlJc w:val="left"/>
      <w:pPr>
        <w:tabs>
          <w:tab w:val="num" w:pos="5760"/>
        </w:tabs>
        <w:ind w:left="5760" w:hanging="360"/>
      </w:pPr>
      <w:rPr>
        <w:rFonts w:cs="Times New Roman"/>
      </w:rPr>
    </w:lvl>
    <w:lvl w:ilvl="8" w:tplc="DD4EAB94">
      <w:start w:val="1"/>
      <w:numFmt w:val="lowerRoman"/>
      <w:lvlText w:val="%9."/>
      <w:lvlJc w:val="right"/>
      <w:pPr>
        <w:tabs>
          <w:tab w:val="num" w:pos="6480"/>
        </w:tabs>
        <w:ind w:left="6480" w:hanging="180"/>
      </w:pPr>
      <w:rPr>
        <w:rFonts w:cs="Times New Roman"/>
      </w:rPr>
    </w:lvl>
  </w:abstractNum>
  <w:abstractNum w:abstractNumId="6" w15:restartNumberingAfterBreak="0">
    <w:nsid w:val="0000000C"/>
    <w:multiLevelType w:val="multilevel"/>
    <w:tmpl w:val="55144C5A"/>
    <w:lvl w:ilvl="0">
      <w:start w:val="1"/>
      <w:numFmt w:val="decimal"/>
      <w:pStyle w:val="STDNvelUm"/>
      <w:lvlText w:val="%1."/>
      <w:lvlJc w:val="left"/>
      <w:pPr>
        <w:tabs>
          <w:tab w:val="num" w:pos="471"/>
        </w:tabs>
        <w:ind w:left="471" w:hanging="471"/>
      </w:pPr>
      <w:rPr>
        <w:rFonts w:ascii="Arial" w:hAnsi="Arial" w:cs="Times New Roman" w:hint="default"/>
        <w:b/>
        <w:smallCaps/>
        <w:dstrike w:val="0"/>
        <w:color w:val="CD0000"/>
        <w:sz w:val="28"/>
        <w:szCs w:val="28"/>
        <w:vertAlign w:val="baseline"/>
      </w:rPr>
    </w:lvl>
    <w:lvl w:ilvl="1">
      <w:start w:val="1"/>
      <w:numFmt w:val="decimal"/>
      <w:pStyle w:val="STDNvelDois"/>
      <w:lvlText w:val="%1.%2."/>
      <w:lvlJc w:val="left"/>
      <w:pPr>
        <w:tabs>
          <w:tab w:val="num" w:pos="471"/>
        </w:tabs>
        <w:ind w:left="1151" w:hanging="680"/>
      </w:pPr>
      <w:rPr>
        <w:rFonts w:ascii="Arial" w:hAnsi="Arial" w:cs="Times New Roman" w:hint="default"/>
        <w:b/>
        <w:smallCaps/>
        <w:color w:val="CD0000"/>
        <w:sz w:val="24"/>
        <w:szCs w:val="24"/>
      </w:rPr>
    </w:lvl>
    <w:lvl w:ilvl="2">
      <w:start w:val="1"/>
      <w:numFmt w:val="decimal"/>
      <w:pStyle w:val="STDNvelTrs"/>
      <w:lvlText w:val="%1.%2.%3."/>
      <w:lvlJc w:val="left"/>
      <w:pPr>
        <w:tabs>
          <w:tab w:val="num" w:pos="374"/>
        </w:tabs>
        <w:ind w:left="1281" w:hanging="907"/>
      </w:pPr>
      <w:rPr>
        <w:rFonts w:ascii="Arial" w:hAnsi="Arial" w:cs="Times New Roman" w:hint="default"/>
        <w:b/>
        <w:smallCaps/>
        <w:color w:val="CD0000"/>
        <w:sz w:val="24"/>
        <w:szCs w:val="24"/>
      </w:rPr>
    </w:lvl>
    <w:lvl w:ilvl="3">
      <w:start w:val="1"/>
      <w:numFmt w:val="decimal"/>
      <w:pStyle w:val="STDNvelQuatro"/>
      <w:lvlText w:val="%1.%2.%3.%4."/>
      <w:lvlJc w:val="left"/>
      <w:pPr>
        <w:tabs>
          <w:tab w:val="num" w:pos="1718"/>
        </w:tabs>
        <w:ind w:left="1718" w:hanging="1247"/>
      </w:pPr>
      <w:rPr>
        <w:rFonts w:ascii="Arial" w:hAnsi="Arial" w:cs="Times New Roman" w:hint="default"/>
        <w:b/>
        <w:smallCaps/>
        <w:color w:val="CD0000"/>
        <w:sz w:val="24"/>
        <w:szCs w:val="24"/>
      </w:rPr>
    </w:lvl>
    <w:lvl w:ilvl="4">
      <w:start w:val="1"/>
      <w:numFmt w:val="lowerLetter"/>
      <w:lvlText w:val="(%5)"/>
      <w:lvlJc w:val="left"/>
      <w:pPr>
        <w:tabs>
          <w:tab w:val="num" w:pos="1800"/>
        </w:tabs>
        <w:ind w:left="1800" w:hanging="360"/>
      </w:pPr>
      <w:rPr>
        <w:rFonts w:cs="Times New Roman" w:hint="eastAsia"/>
      </w:rPr>
    </w:lvl>
    <w:lvl w:ilvl="5">
      <w:start w:val="1"/>
      <w:numFmt w:val="lowerRoman"/>
      <w:lvlText w:val="(%6)"/>
      <w:lvlJc w:val="left"/>
      <w:pPr>
        <w:tabs>
          <w:tab w:val="num" w:pos="2160"/>
        </w:tabs>
        <w:ind w:left="2160" w:hanging="360"/>
      </w:pPr>
      <w:rPr>
        <w:rFonts w:cs="Times New Roman" w:hint="eastAsia"/>
      </w:rPr>
    </w:lvl>
    <w:lvl w:ilvl="6">
      <w:start w:val="1"/>
      <w:numFmt w:val="decimal"/>
      <w:lvlText w:val="%7."/>
      <w:lvlJc w:val="left"/>
      <w:pPr>
        <w:tabs>
          <w:tab w:val="num" w:pos="2520"/>
        </w:tabs>
        <w:ind w:left="2520" w:hanging="360"/>
      </w:pPr>
      <w:rPr>
        <w:rFonts w:cs="Times New Roman" w:hint="eastAsia"/>
      </w:rPr>
    </w:lvl>
    <w:lvl w:ilvl="7">
      <w:start w:val="1"/>
      <w:numFmt w:val="lowerLetter"/>
      <w:lvlText w:val="%8."/>
      <w:lvlJc w:val="left"/>
      <w:pPr>
        <w:tabs>
          <w:tab w:val="num" w:pos="2880"/>
        </w:tabs>
        <w:ind w:left="2880" w:hanging="360"/>
      </w:pPr>
      <w:rPr>
        <w:rFonts w:cs="Times New Roman" w:hint="eastAsia"/>
      </w:rPr>
    </w:lvl>
    <w:lvl w:ilvl="8">
      <w:start w:val="1"/>
      <w:numFmt w:val="lowerRoman"/>
      <w:lvlText w:val="%9."/>
      <w:lvlJc w:val="left"/>
      <w:pPr>
        <w:tabs>
          <w:tab w:val="num" w:pos="3240"/>
        </w:tabs>
        <w:ind w:left="3240" w:hanging="360"/>
      </w:pPr>
      <w:rPr>
        <w:rFonts w:cs="Times New Roman" w:hint="eastAsia"/>
      </w:rPr>
    </w:lvl>
  </w:abstractNum>
  <w:abstractNum w:abstractNumId="7" w15:restartNumberingAfterBreak="0">
    <w:nsid w:val="00000010"/>
    <w:multiLevelType w:val="hybridMultilevel"/>
    <w:tmpl w:val="73EA3BEA"/>
    <w:lvl w:ilvl="0" w:tplc="E57A2EE6">
      <w:start w:val="1"/>
      <w:numFmt w:val="lowerRoman"/>
      <w:lvlText w:val="(%1)"/>
      <w:lvlJc w:val="left"/>
      <w:pPr>
        <w:ind w:left="360" w:hanging="360"/>
      </w:pPr>
      <w:rPr>
        <w:rFonts w:hint="default"/>
        <w:b w:val="0"/>
        <w:bCs w:val="0"/>
        <w:i w:val="0"/>
        <w:sz w:val="20"/>
        <w:szCs w:val="20"/>
      </w:rPr>
    </w:lvl>
    <w:lvl w:ilvl="1" w:tplc="90F8165A">
      <w:start w:val="1"/>
      <w:numFmt w:val="none"/>
      <w:lvlText w:val="r.2)"/>
      <w:lvlJc w:val="left"/>
      <w:pPr>
        <w:tabs>
          <w:tab w:val="num" w:pos="1440"/>
        </w:tabs>
        <w:ind w:left="1440" w:hanging="360"/>
      </w:pPr>
      <w:rPr>
        <w:rFonts w:cs="Times New Roman" w:hint="eastAsia"/>
      </w:rPr>
    </w:lvl>
    <w:lvl w:ilvl="2" w:tplc="EAEACACE">
      <w:start w:val="1"/>
      <w:numFmt w:val="lowerRoman"/>
      <w:lvlText w:val="%3."/>
      <w:lvlJc w:val="right"/>
      <w:pPr>
        <w:tabs>
          <w:tab w:val="num" w:pos="2160"/>
        </w:tabs>
        <w:ind w:left="2160" w:hanging="180"/>
      </w:pPr>
      <w:rPr>
        <w:rFonts w:cs="Times New Roman"/>
      </w:rPr>
    </w:lvl>
    <w:lvl w:ilvl="3" w:tplc="CE7885F2">
      <w:start w:val="1"/>
      <w:numFmt w:val="decimal"/>
      <w:lvlText w:val="%4."/>
      <w:lvlJc w:val="left"/>
      <w:pPr>
        <w:tabs>
          <w:tab w:val="num" w:pos="2880"/>
        </w:tabs>
        <w:ind w:left="2880" w:hanging="360"/>
      </w:pPr>
      <w:rPr>
        <w:rFonts w:cs="Times New Roman"/>
      </w:rPr>
    </w:lvl>
    <w:lvl w:ilvl="4" w:tplc="3BE29F2A">
      <w:start w:val="1"/>
      <w:numFmt w:val="lowerLetter"/>
      <w:lvlText w:val="%5."/>
      <w:lvlJc w:val="left"/>
      <w:pPr>
        <w:tabs>
          <w:tab w:val="num" w:pos="3600"/>
        </w:tabs>
        <w:ind w:left="3600" w:hanging="360"/>
      </w:pPr>
      <w:rPr>
        <w:rFonts w:cs="Times New Roman"/>
      </w:rPr>
    </w:lvl>
    <w:lvl w:ilvl="5" w:tplc="9356B036">
      <w:start w:val="1"/>
      <w:numFmt w:val="lowerRoman"/>
      <w:lvlText w:val="%6."/>
      <w:lvlJc w:val="right"/>
      <w:pPr>
        <w:tabs>
          <w:tab w:val="num" w:pos="4320"/>
        </w:tabs>
        <w:ind w:left="4320" w:hanging="180"/>
      </w:pPr>
      <w:rPr>
        <w:rFonts w:cs="Times New Roman"/>
      </w:rPr>
    </w:lvl>
    <w:lvl w:ilvl="6" w:tplc="735E6838">
      <w:start w:val="1"/>
      <w:numFmt w:val="decimal"/>
      <w:lvlText w:val="%7."/>
      <w:lvlJc w:val="left"/>
      <w:pPr>
        <w:tabs>
          <w:tab w:val="num" w:pos="5040"/>
        </w:tabs>
        <w:ind w:left="5040" w:hanging="360"/>
      </w:pPr>
      <w:rPr>
        <w:rFonts w:cs="Times New Roman"/>
      </w:rPr>
    </w:lvl>
    <w:lvl w:ilvl="7" w:tplc="C5862EF0">
      <w:start w:val="1"/>
      <w:numFmt w:val="lowerLetter"/>
      <w:lvlText w:val="%8."/>
      <w:lvlJc w:val="left"/>
      <w:pPr>
        <w:tabs>
          <w:tab w:val="num" w:pos="5760"/>
        </w:tabs>
        <w:ind w:left="5760" w:hanging="360"/>
      </w:pPr>
      <w:rPr>
        <w:rFonts w:cs="Times New Roman"/>
      </w:rPr>
    </w:lvl>
    <w:lvl w:ilvl="8" w:tplc="037AD074">
      <w:start w:val="1"/>
      <w:numFmt w:val="lowerRoman"/>
      <w:lvlText w:val="%9."/>
      <w:lvlJc w:val="right"/>
      <w:pPr>
        <w:tabs>
          <w:tab w:val="num" w:pos="6480"/>
        </w:tabs>
        <w:ind w:left="6480" w:hanging="180"/>
      </w:pPr>
      <w:rPr>
        <w:rFonts w:cs="Times New Roman"/>
      </w:rPr>
    </w:lvl>
  </w:abstractNum>
  <w:abstractNum w:abstractNumId="8" w15:restartNumberingAfterBreak="0">
    <w:nsid w:val="00000012"/>
    <w:multiLevelType w:val="hybridMultilevel"/>
    <w:tmpl w:val="A0125CB4"/>
    <w:lvl w:ilvl="0" w:tplc="AFDAC47A">
      <w:start w:val="1"/>
      <w:numFmt w:val="lowerRoman"/>
      <w:lvlText w:val="(%1)"/>
      <w:lvlJc w:val="left"/>
      <w:pPr>
        <w:tabs>
          <w:tab w:val="num" w:pos="360"/>
        </w:tabs>
        <w:ind w:left="360" w:hanging="360"/>
      </w:pPr>
      <w:rPr>
        <w:rFonts w:hint="default"/>
        <w:b w:val="0"/>
        <w:i w:val="0"/>
        <w:sz w:val="16"/>
        <w:szCs w:val="16"/>
      </w:rPr>
    </w:lvl>
    <w:lvl w:ilvl="1" w:tplc="0D642F8A">
      <w:start w:val="1"/>
      <w:numFmt w:val="none"/>
      <w:lvlText w:val="r.2)"/>
      <w:lvlJc w:val="left"/>
      <w:pPr>
        <w:tabs>
          <w:tab w:val="num" w:pos="1440"/>
        </w:tabs>
        <w:ind w:left="1440" w:hanging="360"/>
      </w:pPr>
      <w:rPr>
        <w:rFonts w:cs="Times New Roman" w:hint="eastAsia"/>
      </w:rPr>
    </w:lvl>
    <w:lvl w:ilvl="2" w:tplc="220EB668">
      <w:start w:val="1"/>
      <w:numFmt w:val="lowerRoman"/>
      <w:lvlText w:val="%3."/>
      <w:lvlJc w:val="right"/>
      <w:pPr>
        <w:tabs>
          <w:tab w:val="num" w:pos="2160"/>
        </w:tabs>
        <w:ind w:left="2160" w:hanging="180"/>
      </w:pPr>
      <w:rPr>
        <w:rFonts w:cs="Times New Roman"/>
      </w:rPr>
    </w:lvl>
    <w:lvl w:ilvl="3" w:tplc="5DBA34CE">
      <w:start w:val="1"/>
      <w:numFmt w:val="decimal"/>
      <w:lvlText w:val="%4."/>
      <w:lvlJc w:val="left"/>
      <w:pPr>
        <w:tabs>
          <w:tab w:val="num" w:pos="2880"/>
        </w:tabs>
        <w:ind w:left="2880" w:hanging="360"/>
      </w:pPr>
      <w:rPr>
        <w:rFonts w:cs="Times New Roman"/>
      </w:rPr>
    </w:lvl>
    <w:lvl w:ilvl="4" w:tplc="31D63A04">
      <w:start w:val="1"/>
      <w:numFmt w:val="lowerLetter"/>
      <w:lvlText w:val="%5."/>
      <w:lvlJc w:val="left"/>
      <w:pPr>
        <w:tabs>
          <w:tab w:val="num" w:pos="3600"/>
        </w:tabs>
        <w:ind w:left="3600" w:hanging="360"/>
      </w:pPr>
      <w:rPr>
        <w:rFonts w:cs="Times New Roman"/>
      </w:rPr>
    </w:lvl>
    <w:lvl w:ilvl="5" w:tplc="F304AAF0">
      <w:start w:val="1"/>
      <w:numFmt w:val="lowerRoman"/>
      <w:lvlText w:val="%6."/>
      <w:lvlJc w:val="right"/>
      <w:pPr>
        <w:tabs>
          <w:tab w:val="num" w:pos="4320"/>
        </w:tabs>
        <w:ind w:left="4320" w:hanging="180"/>
      </w:pPr>
      <w:rPr>
        <w:rFonts w:cs="Times New Roman"/>
      </w:rPr>
    </w:lvl>
    <w:lvl w:ilvl="6" w:tplc="530A3FB4">
      <w:start w:val="1"/>
      <w:numFmt w:val="decimal"/>
      <w:lvlText w:val="%7."/>
      <w:lvlJc w:val="left"/>
      <w:pPr>
        <w:tabs>
          <w:tab w:val="num" w:pos="5040"/>
        </w:tabs>
        <w:ind w:left="5040" w:hanging="360"/>
      </w:pPr>
      <w:rPr>
        <w:rFonts w:cs="Times New Roman"/>
      </w:rPr>
    </w:lvl>
    <w:lvl w:ilvl="7" w:tplc="690C57F2">
      <w:start w:val="1"/>
      <w:numFmt w:val="lowerLetter"/>
      <w:lvlText w:val="%8."/>
      <w:lvlJc w:val="left"/>
      <w:pPr>
        <w:tabs>
          <w:tab w:val="num" w:pos="5760"/>
        </w:tabs>
        <w:ind w:left="5760" w:hanging="360"/>
      </w:pPr>
      <w:rPr>
        <w:rFonts w:cs="Times New Roman"/>
      </w:rPr>
    </w:lvl>
    <w:lvl w:ilvl="8" w:tplc="729C2F38">
      <w:start w:val="1"/>
      <w:numFmt w:val="lowerRoman"/>
      <w:lvlText w:val="%9."/>
      <w:lvlJc w:val="right"/>
      <w:pPr>
        <w:tabs>
          <w:tab w:val="num" w:pos="6480"/>
        </w:tabs>
        <w:ind w:left="6480" w:hanging="180"/>
      </w:pPr>
      <w:rPr>
        <w:rFonts w:cs="Times New Roman"/>
      </w:rPr>
    </w:lvl>
  </w:abstractNum>
  <w:abstractNum w:abstractNumId="9" w15:restartNumberingAfterBreak="0">
    <w:nsid w:val="00000015"/>
    <w:multiLevelType w:val="hybridMultilevel"/>
    <w:tmpl w:val="DA30E394"/>
    <w:lvl w:ilvl="0" w:tplc="AE6E5642">
      <w:start w:val="1"/>
      <w:numFmt w:val="lowerLetter"/>
      <w:lvlText w:val="(%1)"/>
      <w:lvlJc w:val="left"/>
      <w:pPr>
        <w:tabs>
          <w:tab w:val="num" w:pos="750"/>
        </w:tabs>
        <w:ind w:left="750" w:hanging="390"/>
      </w:pPr>
      <w:rPr>
        <w:rFonts w:cs="Times New Roman" w:hint="eastAsia"/>
      </w:rPr>
    </w:lvl>
    <w:lvl w:ilvl="1" w:tplc="814CBB7E">
      <w:start w:val="1"/>
      <w:numFmt w:val="lowerLetter"/>
      <w:lvlText w:val="%2."/>
      <w:lvlJc w:val="left"/>
      <w:pPr>
        <w:tabs>
          <w:tab w:val="num" w:pos="1440"/>
        </w:tabs>
        <w:ind w:left="1440" w:hanging="360"/>
      </w:pPr>
      <w:rPr>
        <w:rFonts w:cs="Times New Roman"/>
      </w:rPr>
    </w:lvl>
    <w:lvl w:ilvl="2" w:tplc="6406BB6E">
      <w:start w:val="1"/>
      <w:numFmt w:val="lowerRoman"/>
      <w:lvlText w:val="%3."/>
      <w:lvlJc w:val="right"/>
      <w:pPr>
        <w:tabs>
          <w:tab w:val="num" w:pos="2160"/>
        </w:tabs>
        <w:ind w:left="2160" w:hanging="180"/>
      </w:pPr>
      <w:rPr>
        <w:rFonts w:cs="Times New Roman"/>
      </w:rPr>
    </w:lvl>
    <w:lvl w:ilvl="3" w:tplc="F7C25EC2">
      <w:start w:val="1"/>
      <w:numFmt w:val="decimal"/>
      <w:lvlText w:val="%4."/>
      <w:lvlJc w:val="left"/>
      <w:pPr>
        <w:tabs>
          <w:tab w:val="num" w:pos="2880"/>
        </w:tabs>
        <w:ind w:left="2880" w:hanging="360"/>
      </w:pPr>
      <w:rPr>
        <w:rFonts w:cs="Times New Roman"/>
      </w:rPr>
    </w:lvl>
    <w:lvl w:ilvl="4" w:tplc="C9FE9F0A">
      <w:start w:val="1"/>
      <w:numFmt w:val="lowerLetter"/>
      <w:lvlText w:val="%5."/>
      <w:lvlJc w:val="left"/>
      <w:pPr>
        <w:tabs>
          <w:tab w:val="num" w:pos="3600"/>
        </w:tabs>
        <w:ind w:left="3600" w:hanging="360"/>
      </w:pPr>
      <w:rPr>
        <w:rFonts w:cs="Times New Roman"/>
      </w:rPr>
    </w:lvl>
    <w:lvl w:ilvl="5" w:tplc="E1065C4E">
      <w:start w:val="1"/>
      <w:numFmt w:val="lowerRoman"/>
      <w:lvlText w:val="%6."/>
      <w:lvlJc w:val="right"/>
      <w:pPr>
        <w:tabs>
          <w:tab w:val="num" w:pos="4320"/>
        </w:tabs>
        <w:ind w:left="4320" w:hanging="180"/>
      </w:pPr>
      <w:rPr>
        <w:rFonts w:cs="Times New Roman"/>
      </w:rPr>
    </w:lvl>
    <w:lvl w:ilvl="6" w:tplc="80C45100">
      <w:start w:val="1"/>
      <w:numFmt w:val="decimal"/>
      <w:lvlText w:val="%7."/>
      <w:lvlJc w:val="left"/>
      <w:pPr>
        <w:tabs>
          <w:tab w:val="num" w:pos="5040"/>
        </w:tabs>
        <w:ind w:left="5040" w:hanging="360"/>
      </w:pPr>
      <w:rPr>
        <w:rFonts w:cs="Times New Roman"/>
      </w:rPr>
    </w:lvl>
    <w:lvl w:ilvl="7" w:tplc="F8D8F7A6">
      <w:start w:val="1"/>
      <w:numFmt w:val="lowerLetter"/>
      <w:lvlText w:val="%8."/>
      <w:lvlJc w:val="left"/>
      <w:pPr>
        <w:tabs>
          <w:tab w:val="num" w:pos="5760"/>
        </w:tabs>
        <w:ind w:left="5760" w:hanging="360"/>
      </w:pPr>
      <w:rPr>
        <w:rFonts w:cs="Times New Roman"/>
      </w:rPr>
    </w:lvl>
    <w:lvl w:ilvl="8" w:tplc="6144EBA8">
      <w:start w:val="1"/>
      <w:numFmt w:val="lowerRoman"/>
      <w:lvlText w:val="%9."/>
      <w:lvlJc w:val="right"/>
      <w:pPr>
        <w:tabs>
          <w:tab w:val="num" w:pos="6480"/>
        </w:tabs>
        <w:ind w:left="6480" w:hanging="180"/>
      </w:pPr>
      <w:rPr>
        <w:rFonts w:cs="Times New Roman"/>
      </w:rPr>
    </w:lvl>
  </w:abstractNum>
  <w:abstractNum w:abstractNumId="10" w15:restartNumberingAfterBreak="0">
    <w:nsid w:val="00000016"/>
    <w:multiLevelType w:val="hybridMultilevel"/>
    <w:tmpl w:val="D3EEF3B4"/>
    <w:lvl w:ilvl="0" w:tplc="865C1E4E">
      <w:start w:val="1"/>
      <w:numFmt w:val="lowerLetter"/>
      <w:lvlText w:val="(%1)"/>
      <w:lvlJc w:val="left"/>
      <w:pPr>
        <w:tabs>
          <w:tab w:val="num" w:pos="2573"/>
        </w:tabs>
        <w:ind w:left="2573" w:hanging="435"/>
      </w:pPr>
      <w:rPr>
        <w:rFonts w:cs="Times New Roman" w:hint="eastAsia"/>
        <w:b w:val="0"/>
        <w:sz w:val="20"/>
        <w:szCs w:val="20"/>
      </w:rPr>
    </w:lvl>
    <w:lvl w:ilvl="1" w:tplc="FA541A4A">
      <w:start w:val="1"/>
      <w:numFmt w:val="lowerLetter"/>
      <w:lvlText w:val="%2."/>
      <w:lvlJc w:val="left"/>
      <w:pPr>
        <w:tabs>
          <w:tab w:val="num" w:pos="2160"/>
        </w:tabs>
        <w:ind w:left="2160" w:hanging="360"/>
      </w:pPr>
      <w:rPr>
        <w:rFonts w:cs="Times New Roman"/>
      </w:rPr>
    </w:lvl>
    <w:lvl w:ilvl="2" w:tplc="E236DFC2">
      <w:start w:val="1"/>
      <w:numFmt w:val="lowerRoman"/>
      <w:lvlText w:val="%3."/>
      <w:lvlJc w:val="right"/>
      <w:pPr>
        <w:tabs>
          <w:tab w:val="num" w:pos="2880"/>
        </w:tabs>
        <w:ind w:left="2880" w:hanging="180"/>
      </w:pPr>
      <w:rPr>
        <w:rFonts w:cs="Times New Roman"/>
      </w:rPr>
    </w:lvl>
    <w:lvl w:ilvl="3" w:tplc="A3C41F9E">
      <w:start w:val="1"/>
      <w:numFmt w:val="decimal"/>
      <w:lvlText w:val="%4."/>
      <w:lvlJc w:val="left"/>
      <w:pPr>
        <w:tabs>
          <w:tab w:val="num" w:pos="3600"/>
        </w:tabs>
        <w:ind w:left="3600" w:hanging="360"/>
      </w:pPr>
      <w:rPr>
        <w:rFonts w:cs="Times New Roman"/>
      </w:rPr>
    </w:lvl>
    <w:lvl w:ilvl="4" w:tplc="36244C20">
      <w:start w:val="1"/>
      <w:numFmt w:val="lowerLetter"/>
      <w:lvlText w:val="%5."/>
      <w:lvlJc w:val="left"/>
      <w:pPr>
        <w:tabs>
          <w:tab w:val="num" w:pos="4320"/>
        </w:tabs>
        <w:ind w:left="4320" w:hanging="360"/>
      </w:pPr>
      <w:rPr>
        <w:rFonts w:cs="Times New Roman"/>
      </w:rPr>
    </w:lvl>
    <w:lvl w:ilvl="5" w:tplc="BA08561A">
      <w:start w:val="1"/>
      <w:numFmt w:val="lowerRoman"/>
      <w:lvlText w:val="%6."/>
      <w:lvlJc w:val="right"/>
      <w:pPr>
        <w:tabs>
          <w:tab w:val="num" w:pos="5040"/>
        </w:tabs>
        <w:ind w:left="5040" w:hanging="180"/>
      </w:pPr>
      <w:rPr>
        <w:rFonts w:cs="Times New Roman"/>
      </w:rPr>
    </w:lvl>
    <w:lvl w:ilvl="6" w:tplc="8BFE0852">
      <w:start w:val="1"/>
      <w:numFmt w:val="decimal"/>
      <w:lvlText w:val="%7."/>
      <w:lvlJc w:val="left"/>
      <w:pPr>
        <w:tabs>
          <w:tab w:val="num" w:pos="5760"/>
        </w:tabs>
        <w:ind w:left="5760" w:hanging="360"/>
      </w:pPr>
      <w:rPr>
        <w:rFonts w:cs="Times New Roman"/>
      </w:rPr>
    </w:lvl>
    <w:lvl w:ilvl="7" w:tplc="8CB8F028">
      <w:start w:val="1"/>
      <w:numFmt w:val="lowerLetter"/>
      <w:lvlText w:val="%8."/>
      <w:lvlJc w:val="left"/>
      <w:pPr>
        <w:tabs>
          <w:tab w:val="num" w:pos="6480"/>
        </w:tabs>
        <w:ind w:left="6480" w:hanging="360"/>
      </w:pPr>
      <w:rPr>
        <w:rFonts w:cs="Times New Roman"/>
      </w:rPr>
    </w:lvl>
    <w:lvl w:ilvl="8" w:tplc="D42C1AB8">
      <w:start w:val="1"/>
      <w:numFmt w:val="lowerRoman"/>
      <w:lvlText w:val="%9."/>
      <w:lvlJc w:val="right"/>
      <w:pPr>
        <w:tabs>
          <w:tab w:val="num" w:pos="7200"/>
        </w:tabs>
        <w:ind w:left="7200" w:hanging="180"/>
      </w:pPr>
      <w:rPr>
        <w:rFonts w:cs="Times New Roman"/>
      </w:rPr>
    </w:lvl>
  </w:abstractNum>
  <w:abstractNum w:abstractNumId="11" w15:restartNumberingAfterBreak="0">
    <w:nsid w:val="0000001C"/>
    <w:multiLevelType w:val="multilevel"/>
    <w:tmpl w:val="4E4897EC"/>
    <w:lvl w:ilvl="0">
      <w:start w:val="1"/>
      <w:numFmt w:val="upperRoman"/>
      <w:pStyle w:val="PargrafodaLista1"/>
      <w:lvlText w:val="CLÁUSULA %1."/>
      <w:lvlJc w:val="center"/>
      <w:pPr>
        <w:tabs>
          <w:tab w:val="num" w:pos="0"/>
        </w:tabs>
        <w:ind w:firstLine="288"/>
      </w:pPr>
      <w:rPr>
        <w:rFonts w:cs="Times New Roman" w:hint="eastAsia"/>
        <w:b w:val="0"/>
        <w:i w:val="0"/>
      </w:rPr>
    </w:lvl>
    <w:lvl w:ilvl="1">
      <w:start w:val="1"/>
      <w:numFmt w:val="decimal"/>
      <w:pStyle w:val="ContratoN3"/>
      <w:lvlText w:val="%1.%2."/>
      <w:lvlJc w:val="left"/>
      <w:pPr>
        <w:tabs>
          <w:tab w:val="num" w:pos="1134"/>
        </w:tabs>
      </w:pPr>
      <w:rPr>
        <w:rFonts w:cs="Times New Roman" w:hint="eastAsia"/>
      </w:rPr>
    </w:lvl>
    <w:lvl w:ilvl="2">
      <w:start w:val="1"/>
      <w:numFmt w:val="decimal"/>
      <w:pStyle w:val="EstiloContratoN1PretoVersalete"/>
      <w:lvlText w:val="%1.%2.%3."/>
      <w:lvlJc w:val="left"/>
      <w:pPr>
        <w:tabs>
          <w:tab w:val="num" w:pos="1854"/>
        </w:tabs>
        <w:ind w:left="1638" w:hanging="504"/>
      </w:pPr>
      <w:rPr>
        <w:rFonts w:ascii="Times New Roman Negrito" w:hAnsi="Times New Roman Negrito" w:cs="Times New Roman" w:hint="default"/>
      </w:rPr>
    </w:lvl>
    <w:lvl w:ilvl="3">
      <w:start w:val="1"/>
      <w:numFmt w:val="decimal"/>
      <w:lvlText w:val="%1.%2.%3.%4."/>
      <w:lvlJc w:val="left"/>
      <w:pPr>
        <w:tabs>
          <w:tab w:val="num" w:pos="1440"/>
        </w:tabs>
        <w:ind w:left="1368" w:hanging="648"/>
      </w:pPr>
      <w:rPr>
        <w:rFonts w:cs="Times New Roman" w:hint="eastAsia"/>
      </w:rPr>
    </w:lvl>
    <w:lvl w:ilvl="4">
      <w:start w:val="1"/>
      <w:numFmt w:val="decimal"/>
      <w:lvlText w:val="%1.%2.%3.%4.%5."/>
      <w:lvlJc w:val="left"/>
      <w:pPr>
        <w:tabs>
          <w:tab w:val="num" w:pos="2160"/>
        </w:tabs>
        <w:ind w:left="1872" w:hanging="792"/>
      </w:pPr>
      <w:rPr>
        <w:rFonts w:cs="Times New Roman" w:hint="eastAsia"/>
      </w:rPr>
    </w:lvl>
    <w:lvl w:ilvl="5">
      <w:start w:val="1"/>
      <w:numFmt w:val="decimal"/>
      <w:lvlText w:val="%1.%2.%3.%4.%5.%6."/>
      <w:lvlJc w:val="left"/>
      <w:pPr>
        <w:tabs>
          <w:tab w:val="num" w:pos="2520"/>
        </w:tabs>
        <w:ind w:left="2376" w:hanging="936"/>
      </w:pPr>
      <w:rPr>
        <w:rFonts w:cs="Times New Roman" w:hint="eastAsia"/>
      </w:rPr>
    </w:lvl>
    <w:lvl w:ilvl="6">
      <w:start w:val="1"/>
      <w:numFmt w:val="decimal"/>
      <w:lvlText w:val="%1.%2.%3.%4.%5.%6.%7."/>
      <w:lvlJc w:val="left"/>
      <w:pPr>
        <w:tabs>
          <w:tab w:val="num" w:pos="3240"/>
        </w:tabs>
        <w:ind w:left="2880" w:hanging="1080"/>
      </w:pPr>
      <w:rPr>
        <w:rFonts w:cs="Times New Roman" w:hint="eastAsia"/>
      </w:rPr>
    </w:lvl>
    <w:lvl w:ilvl="7">
      <w:start w:val="1"/>
      <w:numFmt w:val="decimal"/>
      <w:lvlText w:val="%1.%2.%3.%4.%5.%6.%7.%8."/>
      <w:lvlJc w:val="left"/>
      <w:pPr>
        <w:tabs>
          <w:tab w:val="num" w:pos="3600"/>
        </w:tabs>
        <w:ind w:left="3384" w:hanging="1224"/>
      </w:pPr>
      <w:rPr>
        <w:rFonts w:cs="Times New Roman" w:hint="eastAsia"/>
      </w:rPr>
    </w:lvl>
    <w:lvl w:ilvl="8">
      <w:start w:val="1"/>
      <w:numFmt w:val="decimal"/>
      <w:lvlText w:val="%1.%2.%3.%4.%5.%6.%7.%8.%9."/>
      <w:lvlJc w:val="left"/>
      <w:pPr>
        <w:tabs>
          <w:tab w:val="num" w:pos="4320"/>
        </w:tabs>
        <w:ind w:left="3960" w:hanging="1440"/>
      </w:pPr>
      <w:rPr>
        <w:rFonts w:cs="Times New Roman" w:hint="eastAsia"/>
      </w:rPr>
    </w:lvl>
  </w:abstractNum>
  <w:abstractNum w:abstractNumId="12" w15:restartNumberingAfterBreak="0">
    <w:nsid w:val="0000002A"/>
    <w:multiLevelType w:val="multilevel"/>
    <w:tmpl w:val="FFFFFFFF"/>
    <w:lvl w:ilvl="0">
      <w:start w:val="1"/>
      <w:numFmt w:val="decimal"/>
      <w:pStyle w:val="Legal3L1"/>
      <w:lvlText w:val="Article %1."/>
      <w:lvlJc w:val="left"/>
      <w:pPr>
        <w:tabs>
          <w:tab w:val="num" w:pos="720"/>
        </w:tabs>
      </w:pPr>
      <w:rPr>
        <w:rFonts w:ascii="Times New Roman" w:hAnsi="Times New Roman" w:cs="Times New Roman"/>
        <w:b/>
        <w:i w:val="0"/>
        <w:caps/>
        <w:smallCaps w:val="0"/>
        <w:vanish w:val="0"/>
        <w:color w:val="auto"/>
        <w:sz w:val="24"/>
        <w:u w:val="none"/>
      </w:rPr>
    </w:lvl>
    <w:lvl w:ilvl="1">
      <w:start w:val="1"/>
      <w:numFmt w:val="decimal"/>
      <w:pStyle w:val="Legal3L2"/>
      <w:isLgl/>
      <w:lvlText w:val="%1.%2"/>
      <w:lvlJc w:val="left"/>
      <w:pPr>
        <w:tabs>
          <w:tab w:val="num" w:pos="7525"/>
        </w:tabs>
        <w:ind w:left="6085" w:firstLine="720"/>
      </w:pPr>
      <w:rPr>
        <w:rFonts w:ascii="Times New Roman" w:hAnsi="Times New Roman" w:cs="Times New Roman"/>
        <w:b/>
        <w:i w:val="0"/>
        <w:caps w:val="0"/>
        <w:vanish w:val="0"/>
        <w:color w:val="auto"/>
        <w:sz w:val="24"/>
        <w:u w:val="none"/>
      </w:rPr>
    </w:lvl>
    <w:lvl w:ilvl="2">
      <w:start w:val="1"/>
      <w:numFmt w:val="decimal"/>
      <w:pStyle w:val="Legal3L3"/>
      <w:isLgl/>
      <w:lvlText w:val="%1.%2.%3"/>
      <w:lvlJc w:val="left"/>
      <w:pPr>
        <w:tabs>
          <w:tab w:val="num" w:pos="4950"/>
        </w:tabs>
        <w:ind w:left="2790" w:firstLine="1440"/>
      </w:pPr>
      <w:rPr>
        <w:rFonts w:ascii="Times New Roman" w:hAnsi="Times New Roman" w:cs="Times New Roman"/>
        <w:b/>
        <w:i w:val="0"/>
        <w:caps w:val="0"/>
        <w:vanish w:val="0"/>
        <w:color w:val="auto"/>
        <w:sz w:val="24"/>
        <w:u w:val="none"/>
      </w:rPr>
    </w:lvl>
    <w:lvl w:ilvl="3">
      <w:start w:val="1"/>
      <w:numFmt w:val="lowerLetter"/>
      <w:pStyle w:val="Legal3L4"/>
      <w:lvlText w:val="(%4)"/>
      <w:lvlJc w:val="left"/>
      <w:pPr>
        <w:tabs>
          <w:tab w:val="num" w:pos="2880"/>
        </w:tabs>
        <w:ind w:firstLine="2160"/>
      </w:pPr>
      <w:rPr>
        <w:rFonts w:ascii="Times New Roman" w:hAnsi="Times New Roman" w:cs="Times New Roman"/>
        <w:b w:val="0"/>
        <w:i w:val="0"/>
        <w:caps w:val="0"/>
        <w:vanish w:val="0"/>
        <w:color w:val="auto"/>
        <w:sz w:val="24"/>
        <w:u w:val="none"/>
      </w:rPr>
    </w:lvl>
    <w:lvl w:ilvl="4">
      <w:start w:val="1"/>
      <w:numFmt w:val="lowerRoman"/>
      <w:pStyle w:val="Legal3L5"/>
      <w:lvlText w:val="(%5)"/>
      <w:lvlJc w:val="left"/>
      <w:pPr>
        <w:tabs>
          <w:tab w:val="num" w:pos="3600"/>
        </w:tabs>
        <w:ind w:left="1440" w:firstLine="1440"/>
      </w:pPr>
      <w:rPr>
        <w:rFonts w:ascii="Times New Roman" w:hAnsi="Times New Roman" w:cs="Times New Roman"/>
        <w:b w:val="0"/>
        <w:i w:val="0"/>
        <w:caps w:val="0"/>
        <w:vanish w:val="0"/>
        <w:color w:val="auto"/>
        <w:sz w:val="24"/>
        <w:u w:val="none"/>
      </w:rPr>
    </w:lvl>
    <w:lvl w:ilvl="5">
      <w:start w:val="1"/>
      <w:numFmt w:val="upperLetter"/>
      <w:pStyle w:val="Legal3L6"/>
      <w:lvlText w:val="(%6)"/>
      <w:lvlJc w:val="left"/>
      <w:pPr>
        <w:tabs>
          <w:tab w:val="num" w:pos="4320"/>
        </w:tabs>
        <w:ind w:left="2160" w:firstLine="1440"/>
      </w:pPr>
      <w:rPr>
        <w:rFonts w:ascii="Times New Roman" w:hAnsi="Times New Roman" w:cs="Times New Roman"/>
        <w:b w:val="0"/>
        <w:i w:val="0"/>
        <w:caps w:val="0"/>
        <w:vanish w:val="0"/>
        <w:color w:val="auto"/>
        <w:sz w:val="24"/>
        <w:u w:val="none"/>
      </w:rPr>
    </w:lvl>
    <w:lvl w:ilvl="6">
      <w:start w:val="1"/>
      <w:numFmt w:val="upperRoman"/>
      <w:pStyle w:val="Legal3L7"/>
      <w:lvlText w:val="(%7)"/>
      <w:lvlJc w:val="left"/>
      <w:pPr>
        <w:tabs>
          <w:tab w:val="num" w:pos="5040"/>
        </w:tabs>
        <w:ind w:left="2880" w:firstLine="1440"/>
      </w:pPr>
      <w:rPr>
        <w:rFonts w:ascii="Times New Roman" w:hAnsi="Times New Roman" w:cs="Times New Roman"/>
        <w:b w:val="0"/>
        <w:i w:val="0"/>
        <w:caps w:val="0"/>
        <w:vanish w:val="0"/>
        <w:color w:val="auto"/>
        <w:sz w:val="24"/>
        <w:u w:val="none"/>
      </w:rPr>
    </w:lvl>
    <w:lvl w:ilvl="7">
      <w:start w:val="1"/>
      <w:numFmt w:val="lowerRoman"/>
      <w:pStyle w:val="Legal3L8"/>
      <w:lvlText w:val="%8."/>
      <w:lvlJc w:val="left"/>
      <w:pPr>
        <w:tabs>
          <w:tab w:val="num" w:pos="5760"/>
        </w:tabs>
        <w:ind w:left="3600" w:firstLine="1440"/>
      </w:pPr>
      <w:rPr>
        <w:rFonts w:cs="Times New Roman"/>
        <w:b w:val="0"/>
        <w:i w:val="0"/>
        <w:caps w:val="0"/>
        <w:vanish w:val="0"/>
        <w:color w:val="auto"/>
        <w:u w:val="none"/>
      </w:rPr>
    </w:lvl>
    <w:lvl w:ilvl="8">
      <w:start w:val="1"/>
      <w:numFmt w:val="decimal"/>
      <w:pStyle w:val="Legal3L9"/>
      <w:lvlText w:val="%9."/>
      <w:lvlJc w:val="left"/>
      <w:pPr>
        <w:tabs>
          <w:tab w:val="num" w:pos="6480"/>
        </w:tabs>
        <w:ind w:left="4320" w:firstLine="1440"/>
      </w:pPr>
      <w:rPr>
        <w:rFonts w:cs="Times New Roman"/>
        <w:b w:val="0"/>
        <w:i w:val="0"/>
        <w:caps w:val="0"/>
        <w:vanish w:val="0"/>
        <w:color w:val="auto"/>
        <w:u w:val="none"/>
      </w:rPr>
    </w:lvl>
  </w:abstractNum>
  <w:abstractNum w:abstractNumId="13" w15:restartNumberingAfterBreak="0">
    <w:nsid w:val="0000003E"/>
    <w:multiLevelType w:val="hybridMultilevel"/>
    <w:tmpl w:val="FFFFFFFF"/>
    <w:lvl w:ilvl="0" w:tplc="FA342374">
      <w:start w:val="1"/>
      <w:numFmt w:val="upperRoman"/>
      <w:lvlText w:val="%1."/>
      <w:lvlJc w:val="left"/>
      <w:pPr>
        <w:ind w:left="1004" w:hanging="720"/>
      </w:pPr>
      <w:rPr>
        <w:rFonts w:cs="Times New Roman" w:hint="eastAsia"/>
        <w:b w:val="0"/>
      </w:rPr>
    </w:lvl>
    <w:lvl w:ilvl="1" w:tplc="6758346E">
      <w:start w:val="1"/>
      <w:numFmt w:val="lowerLetter"/>
      <w:lvlText w:val="%2."/>
      <w:lvlJc w:val="left"/>
      <w:pPr>
        <w:ind w:left="1440" w:hanging="360"/>
      </w:pPr>
      <w:rPr>
        <w:rFonts w:cs="Times New Roman"/>
      </w:rPr>
    </w:lvl>
    <w:lvl w:ilvl="2" w:tplc="B7361804">
      <w:start w:val="1"/>
      <w:numFmt w:val="lowerRoman"/>
      <w:lvlText w:val="%3."/>
      <w:lvlJc w:val="right"/>
      <w:pPr>
        <w:ind w:left="2160" w:hanging="180"/>
      </w:pPr>
      <w:rPr>
        <w:rFonts w:cs="Times New Roman"/>
      </w:rPr>
    </w:lvl>
    <w:lvl w:ilvl="3" w:tplc="CEF64B96">
      <w:start w:val="1"/>
      <w:numFmt w:val="decimal"/>
      <w:lvlText w:val="%4."/>
      <w:lvlJc w:val="left"/>
      <w:pPr>
        <w:ind w:left="2880" w:hanging="360"/>
      </w:pPr>
      <w:rPr>
        <w:rFonts w:cs="Times New Roman"/>
      </w:rPr>
    </w:lvl>
    <w:lvl w:ilvl="4" w:tplc="40CAFF74">
      <w:start w:val="1"/>
      <w:numFmt w:val="lowerLetter"/>
      <w:lvlText w:val="%5."/>
      <w:lvlJc w:val="left"/>
      <w:pPr>
        <w:ind w:left="3600" w:hanging="360"/>
      </w:pPr>
      <w:rPr>
        <w:rFonts w:cs="Times New Roman"/>
      </w:rPr>
    </w:lvl>
    <w:lvl w:ilvl="5" w:tplc="C6703576">
      <w:start w:val="1"/>
      <w:numFmt w:val="lowerRoman"/>
      <w:lvlText w:val="%6."/>
      <w:lvlJc w:val="right"/>
      <w:pPr>
        <w:ind w:left="4320" w:hanging="180"/>
      </w:pPr>
      <w:rPr>
        <w:rFonts w:cs="Times New Roman"/>
      </w:rPr>
    </w:lvl>
    <w:lvl w:ilvl="6" w:tplc="595A2E0A">
      <w:start w:val="1"/>
      <w:numFmt w:val="decimal"/>
      <w:lvlText w:val="%7."/>
      <w:lvlJc w:val="left"/>
      <w:pPr>
        <w:ind w:left="5040" w:hanging="360"/>
      </w:pPr>
      <w:rPr>
        <w:rFonts w:cs="Times New Roman"/>
      </w:rPr>
    </w:lvl>
    <w:lvl w:ilvl="7" w:tplc="A5C06492">
      <w:start w:val="1"/>
      <w:numFmt w:val="lowerLetter"/>
      <w:lvlText w:val="%8."/>
      <w:lvlJc w:val="left"/>
      <w:pPr>
        <w:ind w:left="5760" w:hanging="360"/>
      </w:pPr>
      <w:rPr>
        <w:rFonts w:cs="Times New Roman"/>
      </w:rPr>
    </w:lvl>
    <w:lvl w:ilvl="8" w:tplc="CF22CB30">
      <w:start w:val="1"/>
      <w:numFmt w:val="lowerRoman"/>
      <w:lvlText w:val="%9."/>
      <w:lvlJc w:val="right"/>
      <w:pPr>
        <w:ind w:left="6480" w:hanging="180"/>
      </w:pPr>
      <w:rPr>
        <w:rFonts w:cs="Times New Roman"/>
      </w:rPr>
    </w:lvl>
  </w:abstractNum>
  <w:abstractNum w:abstractNumId="14" w15:restartNumberingAfterBreak="0">
    <w:nsid w:val="0000006E"/>
    <w:multiLevelType w:val="hybridMultilevel"/>
    <w:tmpl w:val="FFFFFFFF"/>
    <w:lvl w:ilvl="0" w:tplc="206C48B4">
      <w:start w:val="1"/>
      <w:numFmt w:val="lowerLetter"/>
      <w:lvlText w:val="%1)"/>
      <w:lvlJc w:val="left"/>
      <w:pPr>
        <w:ind w:left="720" w:hanging="360"/>
      </w:pPr>
      <w:rPr>
        <w:rFonts w:ascii="Arial" w:hAnsi="Arial" w:cs="Arial" w:hint="default"/>
        <w:sz w:val="22"/>
      </w:rPr>
    </w:lvl>
    <w:lvl w:ilvl="1" w:tplc="7D860078">
      <w:start w:val="1"/>
      <w:numFmt w:val="lowerLetter"/>
      <w:lvlText w:val="%2."/>
      <w:lvlJc w:val="left"/>
      <w:pPr>
        <w:ind w:left="1440" w:hanging="360"/>
      </w:pPr>
      <w:rPr>
        <w:rFonts w:cs="Times New Roman"/>
      </w:rPr>
    </w:lvl>
    <w:lvl w:ilvl="2" w:tplc="743EF102">
      <w:start w:val="1"/>
      <w:numFmt w:val="lowerRoman"/>
      <w:lvlText w:val="%3."/>
      <w:lvlJc w:val="right"/>
      <w:pPr>
        <w:ind w:left="2160" w:hanging="180"/>
      </w:pPr>
      <w:rPr>
        <w:rFonts w:cs="Times New Roman"/>
      </w:rPr>
    </w:lvl>
    <w:lvl w:ilvl="3" w:tplc="956CB4F0">
      <w:start w:val="1"/>
      <w:numFmt w:val="decimal"/>
      <w:lvlText w:val="%4."/>
      <w:lvlJc w:val="left"/>
      <w:pPr>
        <w:ind w:left="2880" w:hanging="360"/>
      </w:pPr>
      <w:rPr>
        <w:rFonts w:cs="Times New Roman"/>
      </w:rPr>
    </w:lvl>
    <w:lvl w:ilvl="4" w:tplc="116A78E4">
      <w:start w:val="1"/>
      <w:numFmt w:val="lowerLetter"/>
      <w:lvlText w:val="%5."/>
      <w:lvlJc w:val="left"/>
      <w:pPr>
        <w:ind w:left="3600" w:hanging="360"/>
      </w:pPr>
      <w:rPr>
        <w:rFonts w:cs="Times New Roman"/>
      </w:rPr>
    </w:lvl>
    <w:lvl w:ilvl="5" w:tplc="59AA6504">
      <w:start w:val="1"/>
      <w:numFmt w:val="lowerRoman"/>
      <w:lvlText w:val="%6."/>
      <w:lvlJc w:val="right"/>
      <w:pPr>
        <w:ind w:left="4320" w:hanging="180"/>
      </w:pPr>
      <w:rPr>
        <w:rFonts w:cs="Times New Roman"/>
      </w:rPr>
    </w:lvl>
    <w:lvl w:ilvl="6" w:tplc="D1288178">
      <w:start w:val="1"/>
      <w:numFmt w:val="decimal"/>
      <w:lvlText w:val="%7."/>
      <w:lvlJc w:val="left"/>
      <w:pPr>
        <w:ind w:left="5040" w:hanging="360"/>
      </w:pPr>
      <w:rPr>
        <w:rFonts w:cs="Times New Roman"/>
      </w:rPr>
    </w:lvl>
    <w:lvl w:ilvl="7" w:tplc="5A82A648">
      <w:start w:val="1"/>
      <w:numFmt w:val="lowerLetter"/>
      <w:lvlText w:val="%8."/>
      <w:lvlJc w:val="left"/>
      <w:pPr>
        <w:ind w:left="5760" w:hanging="360"/>
      </w:pPr>
      <w:rPr>
        <w:rFonts w:cs="Times New Roman"/>
      </w:rPr>
    </w:lvl>
    <w:lvl w:ilvl="8" w:tplc="BB6EE458">
      <w:start w:val="1"/>
      <w:numFmt w:val="lowerRoman"/>
      <w:lvlText w:val="%9."/>
      <w:lvlJc w:val="right"/>
      <w:pPr>
        <w:ind w:left="6480" w:hanging="180"/>
      </w:pPr>
      <w:rPr>
        <w:rFonts w:cs="Times New Roman"/>
      </w:rPr>
    </w:lvl>
  </w:abstractNum>
  <w:abstractNum w:abstractNumId="15" w15:restartNumberingAfterBreak="0">
    <w:nsid w:val="00000071"/>
    <w:multiLevelType w:val="hybridMultilevel"/>
    <w:tmpl w:val="FFFFFFFF"/>
    <w:lvl w:ilvl="0" w:tplc="53B0113E">
      <w:start w:val="1"/>
      <w:numFmt w:val="upperRoman"/>
      <w:lvlText w:val="%1."/>
      <w:lvlJc w:val="right"/>
      <w:pPr>
        <w:ind w:left="720" w:hanging="360"/>
      </w:pPr>
      <w:rPr>
        <w:rFonts w:cs="Times New Roman"/>
      </w:rPr>
    </w:lvl>
    <w:lvl w:ilvl="1" w:tplc="EAEC18BE">
      <w:start w:val="1"/>
      <w:numFmt w:val="lowerLetter"/>
      <w:lvlText w:val="%2)"/>
      <w:lvlJc w:val="left"/>
      <w:pPr>
        <w:ind w:left="1440" w:hanging="360"/>
      </w:pPr>
      <w:rPr>
        <w:rFonts w:cs="Times New Roman" w:hint="eastAsia"/>
      </w:rPr>
    </w:lvl>
    <w:lvl w:ilvl="2" w:tplc="8490186E">
      <w:start w:val="1"/>
      <w:numFmt w:val="lowerRoman"/>
      <w:lvlText w:val="%3."/>
      <w:lvlJc w:val="right"/>
      <w:pPr>
        <w:ind w:left="2160" w:hanging="180"/>
      </w:pPr>
      <w:rPr>
        <w:rFonts w:cs="Times New Roman"/>
      </w:rPr>
    </w:lvl>
    <w:lvl w:ilvl="3" w:tplc="934C4528">
      <w:start w:val="1"/>
      <w:numFmt w:val="decimal"/>
      <w:lvlText w:val="%4."/>
      <w:lvlJc w:val="left"/>
      <w:pPr>
        <w:ind w:left="2880" w:hanging="360"/>
      </w:pPr>
      <w:rPr>
        <w:rFonts w:cs="Times New Roman"/>
      </w:rPr>
    </w:lvl>
    <w:lvl w:ilvl="4" w:tplc="6D82A23A">
      <w:start w:val="1"/>
      <w:numFmt w:val="lowerLetter"/>
      <w:lvlText w:val="%5."/>
      <w:lvlJc w:val="left"/>
      <w:pPr>
        <w:ind w:left="3600" w:hanging="360"/>
      </w:pPr>
      <w:rPr>
        <w:rFonts w:cs="Times New Roman"/>
      </w:rPr>
    </w:lvl>
    <w:lvl w:ilvl="5" w:tplc="19CE7C12">
      <w:start w:val="1"/>
      <w:numFmt w:val="lowerRoman"/>
      <w:lvlText w:val="%6."/>
      <w:lvlJc w:val="right"/>
      <w:pPr>
        <w:ind w:left="4320" w:hanging="180"/>
      </w:pPr>
      <w:rPr>
        <w:rFonts w:cs="Times New Roman"/>
      </w:rPr>
    </w:lvl>
    <w:lvl w:ilvl="6" w:tplc="48E60BA2">
      <w:start w:val="1"/>
      <w:numFmt w:val="decimal"/>
      <w:lvlText w:val="%7."/>
      <w:lvlJc w:val="left"/>
      <w:pPr>
        <w:ind w:left="5040" w:hanging="360"/>
      </w:pPr>
      <w:rPr>
        <w:rFonts w:cs="Times New Roman"/>
      </w:rPr>
    </w:lvl>
    <w:lvl w:ilvl="7" w:tplc="CBAABEDE">
      <w:start w:val="1"/>
      <w:numFmt w:val="lowerLetter"/>
      <w:lvlText w:val="%8."/>
      <w:lvlJc w:val="left"/>
      <w:pPr>
        <w:ind w:left="5760" w:hanging="360"/>
      </w:pPr>
      <w:rPr>
        <w:rFonts w:cs="Times New Roman"/>
      </w:rPr>
    </w:lvl>
    <w:lvl w:ilvl="8" w:tplc="05AE46C4">
      <w:start w:val="1"/>
      <w:numFmt w:val="lowerRoman"/>
      <w:lvlText w:val="%9."/>
      <w:lvlJc w:val="right"/>
      <w:pPr>
        <w:ind w:left="6480" w:hanging="180"/>
      </w:pPr>
      <w:rPr>
        <w:rFonts w:cs="Times New Roman"/>
      </w:rPr>
    </w:lvl>
  </w:abstractNum>
  <w:abstractNum w:abstractNumId="16" w15:restartNumberingAfterBreak="0">
    <w:nsid w:val="00000073"/>
    <w:multiLevelType w:val="hybridMultilevel"/>
    <w:tmpl w:val="D9D0953E"/>
    <w:lvl w:ilvl="0" w:tplc="565EAADE">
      <w:start w:val="1"/>
      <w:numFmt w:val="upperRoman"/>
      <w:lvlText w:val="%1."/>
      <w:lvlJc w:val="left"/>
      <w:pPr>
        <w:ind w:left="720" w:hanging="360"/>
      </w:pPr>
      <w:rPr>
        <w:rFonts w:cs="Times New Roman" w:hint="eastAsia"/>
        <w:b w:val="0"/>
      </w:rPr>
    </w:lvl>
    <w:lvl w:ilvl="1" w:tplc="8856D82E">
      <w:start w:val="1"/>
      <w:numFmt w:val="lowerLetter"/>
      <w:lvlText w:val="%2."/>
      <w:lvlJc w:val="left"/>
      <w:pPr>
        <w:ind w:left="1440" w:hanging="360"/>
      </w:pPr>
      <w:rPr>
        <w:rFonts w:cs="Times New Roman"/>
      </w:rPr>
    </w:lvl>
    <w:lvl w:ilvl="2" w:tplc="082A9266">
      <w:start w:val="1"/>
      <w:numFmt w:val="lowerRoman"/>
      <w:lvlText w:val="%3."/>
      <w:lvlJc w:val="right"/>
      <w:pPr>
        <w:ind w:left="2160" w:hanging="180"/>
      </w:pPr>
      <w:rPr>
        <w:rFonts w:cs="Times New Roman"/>
      </w:rPr>
    </w:lvl>
    <w:lvl w:ilvl="3" w:tplc="E092E9AC">
      <w:start w:val="1"/>
      <w:numFmt w:val="decimal"/>
      <w:lvlText w:val="%4."/>
      <w:lvlJc w:val="left"/>
      <w:pPr>
        <w:ind w:left="2880" w:hanging="360"/>
      </w:pPr>
      <w:rPr>
        <w:rFonts w:cs="Times New Roman"/>
      </w:rPr>
    </w:lvl>
    <w:lvl w:ilvl="4" w:tplc="EE48C688">
      <w:start w:val="1"/>
      <w:numFmt w:val="lowerLetter"/>
      <w:lvlText w:val="%5."/>
      <w:lvlJc w:val="left"/>
      <w:pPr>
        <w:ind w:left="3600" w:hanging="360"/>
      </w:pPr>
      <w:rPr>
        <w:rFonts w:cs="Times New Roman"/>
      </w:rPr>
    </w:lvl>
    <w:lvl w:ilvl="5" w:tplc="F59AD07E">
      <w:start w:val="1"/>
      <w:numFmt w:val="lowerRoman"/>
      <w:lvlText w:val="%6."/>
      <w:lvlJc w:val="right"/>
      <w:pPr>
        <w:ind w:left="4320" w:hanging="180"/>
      </w:pPr>
      <w:rPr>
        <w:rFonts w:cs="Times New Roman"/>
      </w:rPr>
    </w:lvl>
    <w:lvl w:ilvl="6" w:tplc="30707D58">
      <w:start w:val="1"/>
      <w:numFmt w:val="decimal"/>
      <w:lvlText w:val="%7."/>
      <w:lvlJc w:val="left"/>
      <w:pPr>
        <w:ind w:left="5040" w:hanging="360"/>
      </w:pPr>
      <w:rPr>
        <w:rFonts w:cs="Times New Roman"/>
      </w:rPr>
    </w:lvl>
    <w:lvl w:ilvl="7" w:tplc="397E0B5C">
      <w:start w:val="1"/>
      <w:numFmt w:val="lowerLetter"/>
      <w:lvlText w:val="%8."/>
      <w:lvlJc w:val="left"/>
      <w:pPr>
        <w:ind w:left="5760" w:hanging="360"/>
      </w:pPr>
      <w:rPr>
        <w:rFonts w:cs="Times New Roman"/>
      </w:rPr>
    </w:lvl>
    <w:lvl w:ilvl="8" w:tplc="4754B1A8">
      <w:start w:val="1"/>
      <w:numFmt w:val="lowerRoman"/>
      <w:lvlText w:val="%9."/>
      <w:lvlJc w:val="right"/>
      <w:pPr>
        <w:ind w:left="6480" w:hanging="180"/>
      </w:pPr>
      <w:rPr>
        <w:rFonts w:cs="Times New Roman"/>
      </w:rPr>
    </w:lvl>
  </w:abstractNum>
  <w:abstractNum w:abstractNumId="17" w15:restartNumberingAfterBreak="0">
    <w:nsid w:val="0000008E"/>
    <w:multiLevelType w:val="multilevel"/>
    <w:tmpl w:val="D3C0FE20"/>
    <w:lvl w:ilvl="0">
      <w:start w:val="1"/>
      <w:numFmt w:val="decimal"/>
      <w:lvlText w:val="%1"/>
      <w:lvlJc w:val="left"/>
      <w:pPr>
        <w:tabs>
          <w:tab w:val="num" w:pos="680"/>
        </w:tabs>
        <w:ind w:left="680" w:hanging="680"/>
      </w:pPr>
      <w:rPr>
        <w:rFonts w:ascii="Segoe UI" w:hAnsi="Segoe UI" w:cs="Segoe UI" w:hint="default"/>
        <w:b/>
        <w:i w:val="0"/>
        <w:caps w:val="0"/>
        <w:strike w:val="0"/>
        <w:dstrike w:val="0"/>
        <w:vanish w:val="0"/>
        <w:color w:val="000000"/>
        <w:sz w:val="20"/>
        <w:szCs w:val="20"/>
        <w:vertAlign w:val="baseline"/>
      </w:rPr>
    </w:lvl>
    <w:lvl w:ilvl="1">
      <w:start w:val="1"/>
      <w:numFmt w:val="decimal"/>
      <w:lvlText w:val="%1.%2"/>
      <w:lvlJc w:val="left"/>
      <w:pPr>
        <w:tabs>
          <w:tab w:val="num" w:pos="680"/>
        </w:tabs>
        <w:ind w:left="680" w:hanging="680"/>
      </w:pPr>
      <w:rPr>
        <w:rFonts w:ascii="Verdana" w:hAnsi="Verdana" w:cs="Segoe UI" w:hint="default"/>
        <w:b/>
        <w:i w:val="0"/>
        <w:caps w:val="0"/>
        <w:strike w:val="0"/>
        <w:dstrike w:val="0"/>
        <w:vanish w:val="0"/>
        <w:color w:val="000000"/>
        <w:sz w:val="20"/>
        <w:szCs w:val="20"/>
        <w:vertAlign w:val="baseline"/>
      </w:rPr>
    </w:lvl>
    <w:lvl w:ilvl="2">
      <w:start w:val="1"/>
      <w:numFmt w:val="decimal"/>
      <w:lvlText w:val="%1.%2.%3"/>
      <w:lvlJc w:val="left"/>
      <w:pPr>
        <w:tabs>
          <w:tab w:val="num" w:pos="1107"/>
        </w:tabs>
        <w:ind w:left="1107" w:hanging="681"/>
      </w:pPr>
      <w:rPr>
        <w:rFonts w:ascii="Verdana" w:hAnsi="Verdana" w:cs="Segoe UI" w:hint="default"/>
        <w:b/>
        <w:i w:val="0"/>
        <w:caps w:val="0"/>
        <w:strike w:val="0"/>
        <w:dstrike w:val="0"/>
        <w:vanish w:val="0"/>
        <w:color w:val="000000"/>
        <w:sz w:val="20"/>
        <w:szCs w:val="20"/>
        <w:vertAlign w:val="baseline"/>
      </w:rPr>
    </w:lvl>
    <w:lvl w:ilvl="3">
      <w:start w:val="1"/>
      <w:numFmt w:val="lowerRoman"/>
      <w:lvlText w:val="(%4)"/>
      <w:lvlJc w:val="left"/>
      <w:pPr>
        <w:tabs>
          <w:tab w:val="num" w:pos="2041"/>
        </w:tabs>
        <w:ind w:left="2041" w:hanging="680"/>
      </w:pPr>
      <w:rPr>
        <w:rFonts w:ascii="Verdana" w:hAnsi="Verdana" w:cs="Segoe UI" w:hint="default"/>
        <w:b w:val="0"/>
        <w:i w:val="0"/>
        <w:caps w:val="0"/>
        <w:strike w:val="0"/>
        <w:dstrike w:val="0"/>
        <w:vanish w:val="0"/>
        <w:color w:val="000000"/>
        <w:sz w:val="20"/>
        <w:vertAlign w:val="baseline"/>
      </w:rPr>
    </w:lvl>
    <w:lvl w:ilvl="4">
      <w:start w:val="1"/>
      <w:numFmt w:val="lowerLetter"/>
      <w:lvlText w:val="(%5)"/>
      <w:lvlJc w:val="left"/>
      <w:pPr>
        <w:tabs>
          <w:tab w:val="num" w:pos="2721"/>
        </w:tabs>
        <w:ind w:left="2721" w:hanging="680"/>
      </w:pPr>
      <w:rPr>
        <w:rFonts w:ascii="Segoe UI" w:hAnsi="Segoe UI" w:cs="Segoe UI" w:hint="default"/>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hint="default"/>
        <w:b w:val="0"/>
        <w:caps w:val="0"/>
        <w:strike w:val="0"/>
        <w:dstrike w:val="0"/>
        <w:vanish w:val="0"/>
        <w:color w:val="000000"/>
        <w:sz w:val="20"/>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1B64BD4"/>
    <w:multiLevelType w:val="multilevel"/>
    <w:tmpl w:val="7DA46C7C"/>
    <w:lvl w:ilvl="0">
      <w:start w:val="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25D6633"/>
    <w:multiLevelType w:val="hybridMultilevel"/>
    <w:tmpl w:val="DB8E716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027D272F"/>
    <w:multiLevelType w:val="multilevel"/>
    <w:tmpl w:val="8570C170"/>
    <w:lvl w:ilvl="0">
      <w:start w:val="1"/>
      <w:numFmt w:val="decimal"/>
      <w:lvlText w:val="%1."/>
      <w:lvlJc w:val="left"/>
      <w:pPr>
        <w:ind w:left="0" w:firstLine="0"/>
      </w:pPr>
      <w:rPr>
        <w:rFonts w:hint="default"/>
        <w:b/>
        <w:bCs/>
        <w:i w:val="0"/>
        <w:iCs w:val="0"/>
        <w:sz w:val="20"/>
        <w:szCs w:val="20"/>
      </w:rPr>
    </w:lvl>
    <w:lvl w:ilvl="1">
      <w:start w:val="1"/>
      <w:numFmt w:val="decimal"/>
      <w:lvlText w:val="%1.%2."/>
      <w:lvlJc w:val="left"/>
      <w:pPr>
        <w:ind w:left="0" w:firstLine="0"/>
      </w:pPr>
      <w:rPr>
        <w:rFonts w:hint="default"/>
        <w:b w:val="0"/>
        <w:bCs w:val="0"/>
        <w:i w:val="0"/>
        <w:iCs w:val="0"/>
        <w:sz w:val="20"/>
        <w:szCs w:val="20"/>
      </w:rPr>
    </w:lvl>
    <w:lvl w:ilvl="2">
      <w:start w:val="1"/>
      <w:numFmt w:val="decimal"/>
      <w:lvlText w:val="%1.%2.%3."/>
      <w:lvlJc w:val="left"/>
      <w:pPr>
        <w:ind w:left="0" w:firstLine="0"/>
      </w:pPr>
      <w:rPr>
        <w:rFonts w:hint="default"/>
        <w:b w:val="0"/>
        <w:bCs w:val="0"/>
        <w:i w:val="0"/>
        <w:iCs w:val="0"/>
        <w:strike w:val="0"/>
        <w:sz w:val="20"/>
        <w:szCs w:val="20"/>
      </w:rPr>
    </w:lvl>
    <w:lvl w:ilvl="3">
      <w:start w:val="1"/>
      <w:numFmt w:val="decimal"/>
      <w:lvlText w:val="%1.%2.%3.%4."/>
      <w:lvlJc w:val="left"/>
      <w:pPr>
        <w:ind w:left="0" w:firstLine="0"/>
      </w:pPr>
      <w:rPr>
        <w:rFonts w:hint="default"/>
        <w:b w:val="0"/>
        <w:bCs w:val="0"/>
        <w:i w:val="0"/>
        <w:iCs w:val="0"/>
        <w:sz w:val="20"/>
        <w:szCs w:val="20"/>
      </w:rPr>
    </w:lvl>
    <w:lvl w:ilvl="4">
      <w:start w:val="1"/>
      <w:numFmt w:val="decimal"/>
      <w:lvlText w:val="%1.%2.%3.%4.%5."/>
      <w:lvlJc w:val="left"/>
      <w:pPr>
        <w:ind w:left="0" w:firstLine="0"/>
      </w:pPr>
      <w:rPr>
        <w:rFonts w:hint="default"/>
        <w:b w:val="0"/>
        <w:bCs w:val="0"/>
        <w:i w:val="0"/>
        <w:iCs w:val="0"/>
        <w:sz w:val="20"/>
        <w:szCs w:val="20"/>
      </w:rPr>
    </w:lvl>
    <w:lvl w:ilvl="5">
      <w:start w:val="1"/>
      <w:numFmt w:val="none"/>
      <w:lvlText w:val="6.20.1"/>
      <w:lvlJc w:val="left"/>
      <w:pPr>
        <w:ind w:left="0" w:firstLine="0"/>
      </w:pPr>
      <w:rPr>
        <w:rFonts w:hint="default"/>
        <w:b w:val="0"/>
        <w:bCs w:val="0"/>
        <w:i w:val="0"/>
        <w:iCs w:val="0"/>
        <w:sz w:val="20"/>
        <w:szCs w:val="20"/>
      </w:rPr>
    </w:lvl>
    <w:lvl w:ilvl="6">
      <w:start w:val="1"/>
      <w:numFmt w:val="decimal"/>
      <w:lvlText w:val="%1.%2.%3"/>
      <w:lvlJc w:val="left"/>
      <w:pPr>
        <w:ind w:left="0" w:firstLine="0"/>
      </w:pPr>
      <w:rPr>
        <w:rFonts w:hint="default"/>
        <w:b w:val="0"/>
        <w:bCs w:val="0"/>
        <w:i w:val="0"/>
        <w:iCs w:val="0"/>
        <w:sz w:val="20"/>
        <w:szCs w:val="20"/>
      </w:rPr>
    </w:lvl>
    <w:lvl w:ilvl="7">
      <w:start w:val="1"/>
      <w:numFmt w:val="decimal"/>
      <w:lvlText w:val="%1.%2.%3.%4.%5.%6.%7.%8."/>
      <w:lvlJc w:val="left"/>
      <w:pPr>
        <w:ind w:left="0" w:firstLine="0"/>
      </w:pPr>
      <w:rPr>
        <w:rFonts w:hint="default"/>
        <w:b w:val="0"/>
        <w:bCs w:val="0"/>
        <w:i w:val="0"/>
        <w:iCs w:val="0"/>
        <w:sz w:val="20"/>
        <w:szCs w:val="20"/>
      </w:rPr>
    </w:lvl>
    <w:lvl w:ilvl="8">
      <w:start w:val="1"/>
      <w:numFmt w:val="decimal"/>
      <w:lvlText w:val="%1.%2.%3.%4.%5.%6.%7.%8.%9."/>
      <w:lvlJc w:val="left"/>
      <w:pPr>
        <w:ind w:left="0" w:firstLine="0"/>
      </w:pPr>
      <w:rPr>
        <w:rFonts w:hint="default"/>
        <w:b w:val="0"/>
        <w:bCs w:val="0"/>
        <w:i w:val="0"/>
        <w:iCs w:val="0"/>
        <w:sz w:val="26"/>
        <w:szCs w:val="26"/>
      </w:rPr>
    </w:lvl>
  </w:abstractNum>
  <w:abstractNum w:abstractNumId="21" w15:restartNumberingAfterBreak="0">
    <w:nsid w:val="034D5751"/>
    <w:multiLevelType w:val="multilevel"/>
    <w:tmpl w:val="6DCED902"/>
    <w:lvl w:ilvl="0">
      <w:start w:val="9"/>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val="0"/>
        <w:bCs/>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04013AA4"/>
    <w:multiLevelType w:val="hybridMultilevel"/>
    <w:tmpl w:val="5762DC58"/>
    <w:lvl w:ilvl="0" w:tplc="BFCEE01C">
      <w:start w:val="1"/>
      <w:numFmt w:val="upperRoman"/>
      <w:pStyle w:val="INCISOS"/>
      <w:lvlText w:val="%1."/>
      <w:lvlJc w:val="left"/>
      <w:pPr>
        <w:tabs>
          <w:tab w:val="num" w:pos="644"/>
        </w:tabs>
        <w:ind w:left="644"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specVanish w:val="0"/>
      </w:rPr>
    </w:lvl>
    <w:lvl w:ilvl="1" w:tplc="276A511E">
      <w:start w:val="1"/>
      <w:numFmt w:val="none"/>
      <w:lvlText w:val="r.2)"/>
      <w:lvlJc w:val="left"/>
      <w:pPr>
        <w:tabs>
          <w:tab w:val="num" w:pos="1724"/>
        </w:tabs>
        <w:ind w:left="1724" w:hanging="360"/>
      </w:pPr>
      <w:rPr>
        <w:rFonts w:cs="Times New Roman" w:hint="eastAsia"/>
      </w:rPr>
    </w:lvl>
    <w:lvl w:ilvl="2" w:tplc="3FCA80C2">
      <w:start w:val="1"/>
      <w:numFmt w:val="lowerRoman"/>
      <w:lvlText w:val="%3."/>
      <w:lvlJc w:val="right"/>
      <w:pPr>
        <w:tabs>
          <w:tab w:val="num" w:pos="2444"/>
        </w:tabs>
        <w:ind w:left="2444" w:hanging="180"/>
      </w:pPr>
      <w:rPr>
        <w:rFonts w:cs="Times New Roman"/>
      </w:rPr>
    </w:lvl>
    <w:lvl w:ilvl="3" w:tplc="150A795C">
      <w:start w:val="1"/>
      <w:numFmt w:val="decimal"/>
      <w:lvlText w:val="%4."/>
      <w:lvlJc w:val="left"/>
      <w:pPr>
        <w:tabs>
          <w:tab w:val="num" w:pos="3164"/>
        </w:tabs>
        <w:ind w:left="3164" w:hanging="360"/>
      </w:pPr>
      <w:rPr>
        <w:rFonts w:cs="Times New Roman"/>
      </w:rPr>
    </w:lvl>
    <w:lvl w:ilvl="4" w:tplc="25D4C3C0">
      <w:start w:val="1"/>
      <w:numFmt w:val="lowerLetter"/>
      <w:lvlText w:val="%5."/>
      <w:lvlJc w:val="left"/>
      <w:pPr>
        <w:tabs>
          <w:tab w:val="num" w:pos="3884"/>
        </w:tabs>
        <w:ind w:left="3884" w:hanging="360"/>
      </w:pPr>
      <w:rPr>
        <w:rFonts w:cs="Times New Roman"/>
      </w:rPr>
    </w:lvl>
    <w:lvl w:ilvl="5" w:tplc="59DE2312">
      <w:start w:val="1"/>
      <w:numFmt w:val="lowerRoman"/>
      <w:lvlText w:val="%6."/>
      <w:lvlJc w:val="right"/>
      <w:pPr>
        <w:tabs>
          <w:tab w:val="num" w:pos="4604"/>
        </w:tabs>
        <w:ind w:left="4604" w:hanging="180"/>
      </w:pPr>
      <w:rPr>
        <w:rFonts w:cs="Times New Roman"/>
      </w:rPr>
    </w:lvl>
    <w:lvl w:ilvl="6" w:tplc="D64A75E0">
      <w:start w:val="1"/>
      <w:numFmt w:val="decimal"/>
      <w:lvlText w:val="%7."/>
      <w:lvlJc w:val="left"/>
      <w:pPr>
        <w:tabs>
          <w:tab w:val="num" w:pos="5324"/>
        </w:tabs>
        <w:ind w:left="5324" w:hanging="360"/>
      </w:pPr>
      <w:rPr>
        <w:rFonts w:cs="Times New Roman"/>
      </w:rPr>
    </w:lvl>
    <w:lvl w:ilvl="7" w:tplc="A810E890">
      <w:start w:val="1"/>
      <w:numFmt w:val="lowerLetter"/>
      <w:lvlText w:val="%8."/>
      <w:lvlJc w:val="left"/>
      <w:pPr>
        <w:tabs>
          <w:tab w:val="num" w:pos="6044"/>
        </w:tabs>
        <w:ind w:left="6044" w:hanging="360"/>
      </w:pPr>
      <w:rPr>
        <w:rFonts w:cs="Times New Roman"/>
      </w:rPr>
    </w:lvl>
    <w:lvl w:ilvl="8" w:tplc="86B2F494">
      <w:start w:val="1"/>
      <w:numFmt w:val="lowerRoman"/>
      <w:lvlText w:val="%9."/>
      <w:lvlJc w:val="right"/>
      <w:pPr>
        <w:tabs>
          <w:tab w:val="num" w:pos="6764"/>
        </w:tabs>
        <w:ind w:left="6764" w:hanging="180"/>
      </w:pPr>
      <w:rPr>
        <w:rFonts w:cs="Times New Roman"/>
      </w:rPr>
    </w:lvl>
  </w:abstractNum>
  <w:abstractNum w:abstractNumId="23" w15:restartNumberingAfterBreak="0">
    <w:nsid w:val="047662B6"/>
    <w:multiLevelType w:val="hybridMultilevel"/>
    <w:tmpl w:val="9D6A7466"/>
    <w:lvl w:ilvl="0" w:tplc="472494C0">
      <w:start w:val="1"/>
      <w:numFmt w:val="decimal"/>
      <w:lvlText w:val="9.%1."/>
      <w:lvlJc w:val="left"/>
      <w:pPr>
        <w:ind w:left="3567" w:hanging="360"/>
      </w:pPr>
      <w:rPr>
        <w:rFonts w:hint="default"/>
        <w:b/>
        <w:bCs/>
      </w:rPr>
    </w:lvl>
    <w:lvl w:ilvl="1" w:tplc="165AD7D4" w:tentative="1">
      <w:start w:val="1"/>
      <w:numFmt w:val="lowerLetter"/>
      <w:lvlText w:val="%2."/>
      <w:lvlJc w:val="left"/>
      <w:pPr>
        <w:ind w:left="1440" w:hanging="360"/>
      </w:pPr>
    </w:lvl>
    <w:lvl w:ilvl="2" w:tplc="93E65E5A" w:tentative="1">
      <w:start w:val="1"/>
      <w:numFmt w:val="lowerRoman"/>
      <w:lvlText w:val="%3."/>
      <w:lvlJc w:val="right"/>
      <w:pPr>
        <w:ind w:left="2160" w:hanging="180"/>
      </w:pPr>
    </w:lvl>
    <w:lvl w:ilvl="3" w:tplc="3CF0498E" w:tentative="1">
      <w:start w:val="1"/>
      <w:numFmt w:val="decimal"/>
      <w:lvlText w:val="%4."/>
      <w:lvlJc w:val="left"/>
      <w:pPr>
        <w:ind w:left="2880" w:hanging="360"/>
      </w:pPr>
    </w:lvl>
    <w:lvl w:ilvl="4" w:tplc="3294AD4A" w:tentative="1">
      <w:start w:val="1"/>
      <w:numFmt w:val="lowerLetter"/>
      <w:lvlText w:val="%5."/>
      <w:lvlJc w:val="left"/>
      <w:pPr>
        <w:ind w:left="3600" w:hanging="360"/>
      </w:pPr>
    </w:lvl>
    <w:lvl w:ilvl="5" w:tplc="6D4EAA08" w:tentative="1">
      <w:start w:val="1"/>
      <w:numFmt w:val="lowerRoman"/>
      <w:lvlText w:val="%6."/>
      <w:lvlJc w:val="right"/>
      <w:pPr>
        <w:ind w:left="4320" w:hanging="180"/>
      </w:pPr>
    </w:lvl>
    <w:lvl w:ilvl="6" w:tplc="84A4F4E8" w:tentative="1">
      <w:start w:val="1"/>
      <w:numFmt w:val="decimal"/>
      <w:lvlText w:val="%7."/>
      <w:lvlJc w:val="left"/>
      <w:pPr>
        <w:ind w:left="5040" w:hanging="360"/>
      </w:pPr>
    </w:lvl>
    <w:lvl w:ilvl="7" w:tplc="303CB8AE" w:tentative="1">
      <w:start w:val="1"/>
      <w:numFmt w:val="lowerLetter"/>
      <w:lvlText w:val="%8."/>
      <w:lvlJc w:val="left"/>
      <w:pPr>
        <w:ind w:left="5760" w:hanging="360"/>
      </w:pPr>
    </w:lvl>
    <w:lvl w:ilvl="8" w:tplc="7AA2184A" w:tentative="1">
      <w:start w:val="1"/>
      <w:numFmt w:val="lowerRoman"/>
      <w:lvlText w:val="%9."/>
      <w:lvlJc w:val="right"/>
      <w:pPr>
        <w:ind w:left="6480" w:hanging="180"/>
      </w:pPr>
    </w:lvl>
  </w:abstractNum>
  <w:abstractNum w:abstractNumId="24" w15:restartNumberingAfterBreak="0">
    <w:nsid w:val="04B013DC"/>
    <w:multiLevelType w:val="hybridMultilevel"/>
    <w:tmpl w:val="3842BBE4"/>
    <w:lvl w:ilvl="0" w:tplc="8D12812C">
      <w:start w:val="1"/>
      <w:numFmt w:val="lowerLetter"/>
      <w:lvlText w:val="(%1)"/>
      <w:lvlJc w:val="left"/>
      <w:pPr>
        <w:ind w:left="3556" w:hanging="360"/>
      </w:pPr>
      <w:rPr>
        <w:rFonts w:hint="default"/>
        <w:b w:val="0"/>
        <w:bCs w:val="0"/>
      </w:rPr>
    </w:lvl>
    <w:lvl w:ilvl="1" w:tplc="D8CA5C1E" w:tentative="1">
      <w:start w:val="1"/>
      <w:numFmt w:val="lowerLetter"/>
      <w:lvlText w:val="%2."/>
      <w:lvlJc w:val="left"/>
      <w:pPr>
        <w:ind w:left="4276" w:hanging="360"/>
      </w:pPr>
    </w:lvl>
    <w:lvl w:ilvl="2" w:tplc="726E446A" w:tentative="1">
      <w:start w:val="1"/>
      <w:numFmt w:val="lowerRoman"/>
      <w:lvlText w:val="%3."/>
      <w:lvlJc w:val="right"/>
      <w:pPr>
        <w:ind w:left="4996" w:hanging="180"/>
      </w:pPr>
    </w:lvl>
    <w:lvl w:ilvl="3" w:tplc="2548BC3A" w:tentative="1">
      <w:start w:val="1"/>
      <w:numFmt w:val="decimal"/>
      <w:lvlText w:val="%4."/>
      <w:lvlJc w:val="left"/>
      <w:pPr>
        <w:ind w:left="5716" w:hanging="360"/>
      </w:pPr>
    </w:lvl>
    <w:lvl w:ilvl="4" w:tplc="89D2B77A" w:tentative="1">
      <w:start w:val="1"/>
      <w:numFmt w:val="lowerLetter"/>
      <w:lvlText w:val="%5."/>
      <w:lvlJc w:val="left"/>
      <w:pPr>
        <w:ind w:left="6436" w:hanging="360"/>
      </w:pPr>
    </w:lvl>
    <w:lvl w:ilvl="5" w:tplc="4B4AA69A" w:tentative="1">
      <w:start w:val="1"/>
      <w:numFmt w:val="lowerRoman"/>
      <w:lvlText w:val="%6."/>
      <w:lvlJc w:val="right"/>
      <w:pPr>
        <w:ind w:left="7156" w:hanging="180"/>
      </w:pPr>
    </w:lvl>
    <w:lvl w:ilvl="6" w:tplc="E94A73F4" w:tentative="1">
      <w:start w:val="1"/>
      <w:numFmt w:val="decimal"/>
      <w:lvlText w:val="%7."/>
      <w:lvlJc w:val="left"/>
      <w:pPr>
        <w:ind w:left="7876" w:hanging="360"/>
      </w:pPr>
    </w:lvl>
    <w:lvl w:ilvl="7" w:tplc="B8FE7354" w:tentative="1">
      <w:start w:val="1"/>
      <w:numFmt w:val="lowerLetter"/>
      <w:lvlText w:val="%8."/>
      <w:lvlJc w:val="left"/>
      <w:pPr>
        <w:ind w:left="8596" w:hanging="360"/>
      </w:pPr>
    </w:lvl>
    <w:lvl w:ilvl="8" w:tplc="C100D8E0" w:tentative="1">
      <w:start w:val="1"/>
      <w:numFmt w:val="lowerRoman"/>
      <w:lvlText w:val="%9."/>
      <w:lvlJc w:val="right"/>
      <w:pPr>
        <w:ind w:left="9316" w:hanging="180"/>
      </w:pPr>
    </w:lvl>
  </w:abstractNum>
  <w:abstractNum w:abstractNumId="25" w15:restartNumberingAfterBreak="0">
    <w:nsid w:val="06175D20"/>
    <w:multiLevelType w:val="hybridMultilevel"/>
    <w:tmpl w:val="04C668DC"/>
    <w:lvl w:ilvl="0" w:tplc="0BC4B112">
      <w:start w:val="1"/>
      <w:numFmt w:val="lowerRoman"/>
      <w:lvlText w:val="(%1)"/>
      <w:lvlJc w:val="left"/>
      <w:pPr>
        <w:ind w:left="1429" w:hanging="720"/>
      </w:pPr>
      <w:rPr>
        <w:rFonts w:hint="default"/>
        <w:b w:val="0"/>
        <w:bCs/>
      </w:rPr>
    </w:lvl>
    <w:lvl w:ilvl="1" w:tplc="9FE6EBFC">
      <w:start w:val="1"/>
      <w:numFmt w:val="lowerLetter"/>
      <w:lvlText w:val="(%2)"/>
      <w:lvlJc w:val="left"/>
      <w:pPr>
        <w:ind w:left="2149" w:hanging="360"/>
      </w:pPr>
      <w:rPr>
        <w:rFonts w:hint="default"/>
        <w:b w:val="0"/>
        <w:bCs w:val="0"/>
      </w:rPr>
    </w:lvl>
    <w:lvl w:ilvl="2" w:tplc="2A626404">
      <w:start w:val="1"/>
      <w:numFmt w:val="upperLetter"/>
      <w:lvlText w:val="(%3)"/>
      <w:lvlJc w:val="left"/>
      <w:pPr>
        <w:ind w:left="3049" w:hanging="360"/>
      </w:pPr>
      <w:rPr>
        <w:rFonts w:hint="default"/>
      </w:rPr>
    </w:lvl>
    <w:lvl w:ilvl="3" w:tplc="8818A708">
      <w:start w:val="1"/>
      <w:numFmt w:val="decimal"/>
      <w:lvlText w:val="%4."/>
      <w:lvlJc w:val="left"/>
      <w:pPr>
        <w:ind w:left="3589" w:hanging="360"/>
      </w:pPr>
    </w:lvl>
    <w:lvl w:ilvl="4" w:tplc="688671F8" w:tentative="1">
      <w:start w:val="1"/>
      <w:numFmt w:val="lowerLetter"/>
      <w:lvlText w:val="%5."/>
      <w:lvlJc w:val="left"/>
      <w:pPr>
        <w:ind w:left="4309" w:hanging="360"/>
      </w:pPr>
    </w:lvl>
    <w:lvl w:ilvl="5" w:tplc="CF522FD2" w:tentative="1">
      <w:start w:val="1"/>
      <w:numFmt w:val="lowerRoman"/>
      <w:lvlText w:val="%6."/>
      <w:lvlJc w:val="right"/>
      <w:pPr>
        <w:ind w:left="5029" w:hanging="180"/>
      </w:pPr>
    </w:lvl>
    <w:lvl w:ilvl="6" w:tplc="F544DF12" w:tentative="1">
      <w:start w:val="1"/>
      <w:numFmt w:val="decimal"/>
      <w:lvlText w:val="%7."/>
      <w:lvlJc w:val="left"/>
      <w:pPr>
        <w:ind w:left="5749" w:hanging="360"/>
      </w:pPr>
    </w:lvl>
    <w:lvl w:ilvl="7" w:tplc="5A90E1EE" w:tentative="1">
      <w:start w:val="1"/>
      <w:numFmt w:val="lowerLetter"/>
      <w:lvlText w:val="%8."/>
      <w:lvlJc w:val="left"/>
      <w:pPr>
        <w:ind w:left="6469" w:hanging="360"/>
      </w:pPr>
    </w:lvl>
    <w:lvl w:ilvl="8" w:tplc="08CE3F78" w:tentative="1">
      <w:start w:val="1"/>
      <w:numFmt w:val="lowerRoman"/>
      <w:lvlText w:val="%9."/>
      <w:lvlJc w:val="right"/>
      <w:pPr>
        <w:ind w:left="7189" w:hanging="180"/>
      </w:pPr>
    </w:lvl>
  </w:abstractNum>
  <w:abstractNum w:abstractNumId="26" w15:restartNumberingAfterBreak="0">
    <w:nsid w:val="065063EE"/>
    <w:multiLevelType w:val="hybridMultilevel"/>
    <w:tmpl w:val="6512C7A4"/>
    <w:lvl w:ilvl="0" w:tplc="30AC9F6C">
      <w:start w:val="1"/>
      <w:numFmt w:val="upperLetter"/>
      <w:lvlText w:val="%1."/>
      <w:lvlJc w:val="left"/>
      <w:pPr>
        <w:ind w:left="1789" w:hanging="360"/>
      </w:pPr>
      <w:rPr>
        <w:rFonts w:hint="default"/>
      </w:rPr>
    </w:lvl>
    <w:lvl w:ilvl="1" w:tplc="5DD4F2C0" w:tentative="1">
      <w:start w:val="1"/>
      <w:numFmt w:val="bullet"/>
      <w:lvlText w:val="o"/>
      <w:lvlJc w:val="left"/>
      <w:pPr>
        <w:ind w:left="2509" w:hanging="360"/>
      </w:pPr>
      <w:rPr>
        <w:rFonts w:ascii="Courier New" w:hAnsi="Courier New" w:cs="Courier New" w:hint="default"/>
      </w:rPr>
    </w:lvl>
    <w:lvl w:ilvl="2" w:tplc="5CAC8CF0" w:tentative="1">
      <w:start w:val="1"/>
      <w:numFmt w:val="bullet"/>
      <w:lvlText w:val=""/>
      <w:lvlJc w:val="left"/>
      <w:pPr>
        <w:ind w:left="3229" w:hanging="360"/>
      </w:pPr>
      <w:rPr>
        <w:rFonts w:ascii="Wingdings" w:hAnsi="Wingdings" w:hint="default"/>
      </w:rPr>
    </w:lvl>
    <w:lvl w:ilvl="3" w:tplc="436E4280" w:tentative="1">
      <w:start w:val="1"/>
      <w:numFmt w:val="bullet"/>
      <w:lvlText w:val=""/>
      <w:lvlJc w:val="left"/>
      <w:pPr>
        <w:ind w:left="3949" w:hanging="360"/>
      </w:pPr>
      <w:rPr>
        <w:rFonts w:ascii="Symbol" w:hAnsi="Symbol" w:hint="default"/>
      </w:rPr>
    </w:lvl>
    <w:lvl w:ilvl="4" w:tplc="8BC0E0D8" w:tentative="1">
      <w:start w:val="1"/>
      <w:numFmt w:val="bullet"/>
      <w:lvlText w:val="o"/>
      <w:lvlJc w:val="left"/>
      <w:pPr>
        <w:ind w:left="4669" w:hanging="360"/>
      </w:pPr>
      <w:rPr>
        <w:rFonts w:ascii="Courier New" w:hAnsi="Courier New" w:cs="Courier New" w:hint="default"/>
      </w:rPr>
    </w:lvl>
    <w:lvl w:ilvl="5" w:tplc="746A7F34" w:tentative="1">
      <w:start w:val="1"/>
      <w:numFmt w:val="bullet"/>
      <w:lvlText w:val=""/>
      <w:lvlJc w:val="left"/>
      <w:pPr>
        <w:ind w:left="5389" w:hanging="360"/>
      </w:pPr>
      <w:rPr>
        <w:rFonts w:ascii="Wingdings" w:hAnsi="Wingdings" w:hint="default"/>
      </w:rPr>
    </w:lvl>
    <w:lvl w:ilvl="6" w:tplc="4E6AAA04" w:tentative="1">
      <w:start w:val="1"/>
      <w:numFmt w:val="bullet"/>
      <w:lvlText w:val=""/>
      <w:lvlJc w:val="left"/>
      <w:pPr>
        <w:ind w:left="6109" w:hanging="360"/>
      </w:pPr>
      <w:rPr>
        <w:rFonts w:ascii="Symbol" w:hAnsi="Symbol" w:hint="default"/>
      </w:rPr>
    </w:lvl>
    <w:lvl w:ilvl="7" w:tplc="F134ED54" w:tentative="1">
      <w:start w:val="1"/>
      <w:numFmt w:val="bullet"/>
      <w:lvlText w:val="o"/>
      <w:lvlJc w:val="left"/>
      <w:pPr>
        <w:ind w:left="6829" w:hanging="360"/>
      </w:pPr>
      <w:rPr>
        <w:rFonts w:ascii="Courier New" w:hAnsi="Courier New" w:cs="Courier New" w:hint="default"/>
      </w:rPr>
    </w:lvl>
    <w:lvl w:ilvl="8" w:tplc="30FEE424" w:tentative="1">
      <w:start w:val="1"/>
      <w:numFmt w:val="bullet"/>
      <w:lvlText w:val=""/>
      <w:lvlJc w:val="left"/>
      <w:pPr>
        <w:ind w:left="7549" w:hanging="360"/>
      </w:pPr>
      <w:rPr>
        <w:rFonts w:ascii="Wingdings" w:hAnsi="Wingdings" w:hint="default"/>
      </w:rPr>
    </w:lvl>
  </w:abstractNum>
  <w:abstractNum w:abstractNumId="27" w15:restartNumberingAfterBreak="0">
    <w:nsid w:val="06F812AE"/>
    <w:multiLevelType w:val="multilevel"/>
    <w:tmpl w:val="8570C170"/>
    <w:lvl w:ilvl="0">
      <w:start w:val="1"/>
      <w:numFmt w:val="decimal"/>
      <w:lvlText w:val="%1."/>
      <w:lvlJc w:val="left"/>
      <w:pPr>
        <w:ind w:left="0" w:firstLine="0"/>
      </w:pPr>
      <w:rPr>
        <w:rFonts w:hint="default"/>
        <w:b/>
        <w:bCs/>
        <w:i w:val="0"/>
        <w:iCs w:val="0"/>
        <w:sz w:val="20"/>
        <w:szCs w:val="20"/>
      </w:rPr>
    </w:lvl>
    <w:lvl w:ilvl="1">
      <w:start w:val="1"/>
      <w:numFmt w:val="decimal"/>
      <w:lvlText w:val="%1.%2."/>
      <w:lvlJc w:val="left"/>
      <w:pPr>
        <w:ind w:left="0" w:firstLine="0"/>
      </w:pPr>
      <w:rPr>
        <w:rFonts w:hint="default"/>
        <w:b w:val="0"/>
        <w:bCs w:val="0"/>
        <w:i w:val="0"/>
        <w:iCs w:val="0"/>
        <w:sz w:val="20"/>
        <w:szCs w:val="20"/>
      </w:rPr>
    </w:lvl>
    <w:lvl w:ilvl="2">
      <w:start w:val="1"/>
      <w:numFmt w:val="decimal"/>
      <w:lvlText w:val="%1.%2.%3."/>
      <w:lvlJc w:val="left"/>
      <w:pPr>
        <w:ind w:left="0" w:firstLine="0"/>
      </w:pPr>
      <w:rPr>
        <w:rFonts w:hint="default"/>
        <w:b w:val="0"/>
        <w:bCs w:val="0"/>
        <w:i w:val="0"/>
        <w:iCs w:val="0"/>
        <w:strike w:val="0"/>
        <w:sz w:val="20"/>
        <w:szCs w:val="20"/>
      </w:rPr>
    </w:lvl>
    <w:lvl w:ilvl="3">
      <w:start w:val="1"/>
      <w:numFmt w:val="decimal"/>
      <w:lvlText w:val="%1.%2.%3.%4."/>
      <w:lvlJc w:val="left"/>
      <w:pPr>
        <w:ind w:left="0" w:firstLine="0"/>
      </w:pPr>
      <w:rPr>
        <w:rFonts w:hint="default"/>
        <w:b w:val="0"/>
        <w:bCs w:val="0"/>
        <w:i w:val="0"/>
        <w:iCs w:val="0"/>
        <w:sz w:val="20"/>
        <w:szCs w:val="20"/>
      </w:rPr>
    </w:lvl>
    <w:lvl w:ilvl="4">
      <w:start w:val="1"/>
      <w:numFmt w:val="decimal"/>
      <w:lvlText w:val="%1.%2.%3.%4.%5."/>
      <w:lvlJc w:val="left"/>
      <w:pPr>
        <w:ind w:left="0" w:firstLine="0"/>
      </w:pPr>
      <w:rPr>
        <w:rFonts w:hint="default"/>
        <w:b w:val="0"/>
        <w:bCs w:val="0"/>
        <w:i w:val="0"/>
        <w:iCs w:val="0"/>
        <w:sz w:val="20"/>
        <w:szCs w:val="20"/>
      </w:rPr>
    </w:lvl>
    <w:lvl w:ilvl="5">
      <w:start w:val="1"/>
      <w:numFmt w:val="none"/>
      <w:lvlText w:val="6.20.1"/>
      <w:lvlJc w:val="left"/>
      <w:pPr>
        <w:ind w:left="0" w:firstLine="0"/>
      </w:pPr>
      <w:rPr>
        <w:rFonts w:hint="default"/>
        <w:b w:val="0"/>
        <w:bCs w:val="0"/>
        <w:i w:val="0"/>
        <w:iCs w:val="0"/>
        <w:sz w:val="20"/>
        <w:szCs w:val="20"/>
      </w:rPr>
    </w:lvl>
    <w:lvl w:ilvl="6">
      <w:start w:val="1"/>
      <w:numFmt w:val="decimal"/>
      <w:lvlText w:val="%1.%2.%3"/>
      <w:lvlJc w:val="left"/>
      <w:pPr>
        <w:ind w:left="0" w:firstLine="0"/>
      </w:pPr>
      <w:rPr>
        <w:rFonts w:hint="default"/>
        <w:b w:val="0"/>
        <w:bCs w:val="0"/>
        <w:i w:val="0"/>
        <w:iCs w:val="0"/>
        <w:sz w:val="20"/>
        <w:szCs w:val="20"/>
      </w:rPr>
    </w:lvl>
    <w:lvl w:ilvl="7">
      <w:start w:val="1"/>
      <w:numFmt w:val="decimal"/>
      <w:lvlText w:val="%1.%2.%3.%4.%5.%6.%7.%8."/>
      <w:lvlJc w:val="left"/>
      <w:pPr>
        <w:ind w:left="0" w:firstLine="0"/>
      </w:pPr>
      <w:rPr>
        <w:rFonts w:hint="default"/>
        <w:b w:val="0"/>
        <w:bCs w:val="0"/>
        <w:i w:val="0"/>
        <w:iCs w:val="0"/>
        <w:sz w:val="20"/>
        <w:szCs w:val="20"/>
      </w:rPr>
    </w:lvl>
    <w:lvl w:ilvl="8">
      <w:start w:val="1"/>
      <w:numFmt w:val="decimal"/>
      <w:lvlText w:val="%1.%2.%3.%4.%5.%6.%7.%8.%9."/>
      <w:lvlJc w:val="left"/>
      <w:pPr>
        <w:ind w:left="0" w:firstLine="0"/>
      </w:pPr>
      <w:rPr>
        <w:rFonts w:hint="default"/>
        <w:b w:val="0"/>
        <w:bCs w:val="0"/>
        <w:i w:val="0"/>
        <w:iCs w:val="0"/>
        <w:sz w:val="26"/>
        <w:szCs w:val="26"/>
      </w:rPr>
    </w:lvl>
  </w:abstractNum>
  <w:abstractNum w:abstractNumId="28" w15:restartNumberingAfterBreak="0">
    <w:nsid w:val="07015CD1"/>
    <w:multiLevelType w:val="multilevel"/>
    <w:tmpl w:val="7600817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7B7263F"/>
    <w:multiLevelType w:val="multilevel"/>
    <w:tmpl w:val="97704BAC"/>
    <w:lvl w:ilvl="0">
      <w:start w:val="6"/>
      <w:numFmt w:val="decimal"/>
      <w:lvlText w:val="%1."/>
      <w:lvlJc w:val="left"/>
      <w:pPr>
        <w:ind w:left="600" w:hanging="600"/>
      </w:pPr>
      <w:rPr>
        <w:rFonts w:ascii="Arial" w:eastAsia="Arial Unicode MS" w:hAnsi="Arial" w:hint="default"/>
        <w:sz w:val="24"/>
      </w:rPr>
    </w:lvl>
    <w:lvl w:ilvl="1">
      <w:start w:val="1"/>
      <w:numFmt w:val="decimal"/>
      <w:lvlText w:val="%1.%2."/>
      <w:lvlJc w:val="left"/>
      <w:pPr>
        <w:ind w:left="720" w:hanging="720"/>
      </w:pPr>
      <w:rPr>
        <w:rFonts w:ascii="Arial" w:eastAsia="Arial Unicode MS" w:hAnsi="Arial" w:hint="default"/>
        <w:sz w:val="24"/>
      </w:rPr>
    </w:lvl>
    <w:lvl w:ilvl="2">
      <w:start w:val="1"/>
      <w:numFmt w:val="decimal"/>
      <w:lvlText w:val="%1.%2.%3."/>
      <w:lvlJc w:val="left"/>
      <w:pPr>
        <w:ind w:left="720" w:hanging="720"/>
      </w:pPr>
      <w:rPr>
        <w:rFonts w:ascii="Verdana" w:eastAsia="Arial Unicode MS" w:hAnsi="Verdana" w:hint="default"/>
        <w:sz w:val="20"/>
        <w:szCs w:val="16"/>
      </w:rPr>
    </w:lvl>
    <w:lvl w:ilvl="3">
      <w:start w:val="1"/>
      <w:numFmt w:val="decimal"/>
      <w:lvlText w:val="%1.%2.%3.%4."/>
      <w:lvlJc w:val="left"/>
      <w:pPr>
        <w:ind w:left="1080" w:hanging="1080"/>
      </w:pPr>
      <w:rPr>
        <w:rFonts w:ascii="Arial" w:eastAsia="Arial Unicode MS" w:hAnsi="Arial" w:hint="default"/>
        <w:sz w:val="24"/>
      </w:rPr>
    </w:lvl>
    <w:lvl w:ilvl="4">
      <w:start w:val="1"/>
      <w:numFmt w:val="decimal"/>
      <w:lvlText w:val="%1.%2.%3.%4.%5."/>
      <w:lvlJc w:val="left"/>
      <w:pPr>
        <w:ind w:left="1440" w:hanging="1440"/>
      </w:pPr>
      <w:rPr>
        <w:rFonts w:ascii="Arial" w:eastAsia="Arial Unicode MS" w:hAnsi="Arial" w:hint="default"/>
        <w:sz w:val="24"/>
      </w:rPr>
    </w:lvl>
    <w:lvl w:ilvl="5">
      <w:start w:val="1"/>
      <w:numFmt w:val="decimal"/>
      <w:lvlText w:val="%1.%2.%3.%4.%5.%6."/>
      <w:lvlJc w:val="left"/>
      <w:pPr>
        <w:ind w:left="1440" w:hanging="1440"/>
      </w:pPr>
      <w:rPr>
        <w:rFonts w:ascii="Arial" w:eastAsia="Arial Unicode MS" w:hAnsi="Arial" w:hint="default"/>
        <w:sz w:val="24"/>
      </w:rPr>
    </w:lvl>
    <w:lvl w:ilvl="6">
      <w:start w:val="1"/>
      <w:numFmt w:val="decimal"/>
      <w:lvlText w:val="%1.%2.%3.%4.%5.%6.%7."/>
      <w:lvlJc w:val="left"/>
      <w:pPr>
        <w:ind w:left="1800" w:hanging="1800"/>
      </w:pPr>
      <w:rPr>
        <w:rFonts w:ascii="Arial" w:eastAsia="Arial Unicode MS" w:hAnsi="Arial" w:hint="default"/>
        <w:sz w:val="24"/>
      </w:rPr>
    </w:lvl>
    <w:lvl w:ilvl="7">
      <w:start w:val="1"/>
      <w:numFmt w:val="decimal"/>
      <w:lvlText w:val="%1.%2.%3.%4.%5.%6.%7.%8."/>
      <w:lvlJc w:val="left"/>
      <w:pPr>
        <w:ind w:left="2160" w:hanging="2160"/>
      </w:pPr>
      <w:rPr>
        <w:rFonts w:ascii="Arial" w:eastAsia="Arial Unicode MS" w:hAnsi="Arial" w:hint="default"/>
        <w:sz w:val="24"/>
      </w:rPr>
    </w:lvl>
    <w:lvl w:ilvl="8">
      <w:start w:val="1"/>
      <w:numFmt w:val="decimal"/>
      <w:lvlText w:val="%1.%2.%3.%4.%5.%6.%7.%8.%9."/>
      <w:lvlJc w:val="left"/>
      <w:pPr>
        <w:ind w:left="2160" w:hanging="2160"/>
      </w:pPr>
      <w:rPr>
        <w:rFonts w:ascii="Arial" w:eastAsia="Arial Unicode MS" w:hAnsi="Arial" w:hint="default"/>
        <w:sz w:val="24"/>
      </w:rPr>
    </w:lvl>
  </w:abstractNum>
  <w:abstractNum w:abstractNumId="30" w15:restartNumberingAfterBreak="0">
    <w:nsid w:val="081E1F61"/>
    <w:multiLevelType w:val="multilevel"/>
    <w:tmpl w:val="25D0EF90"/>
    <w:lvl w:ilvl="0">
      <w:start w:val="1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089B581F"/>
    <w:multiLevelType w:val="multilevel"/>
    <w:tmpl w:val="51F48EBE"/>
    <w:lvl w:ilvl="0">
      <w:start w:val="1"/>
      <w:numFmt w:val="decimal"/>
      <w:lvlText w:val="5.%1."/>
      <w:lvlJc w:val="left"/>
      <w:pPr>
        <w:tabs>
          <w:tab w:val="num" w:pos="851"/>
        </w:tabs>
        <w:ind w:left="0" w:firstLine="0"/>
      </w:pPr>
      <w:rPr>
        <w:rFonts w:hint="default"/>
      </w:rPr>
    </w:lvl>
    <w:lvl w:ilvl="1">
      <w:start w:val="1"/>
      <w:numFmt w:val="decimal"/>
      <w:lvlText w:val="5.%1.%2."/>
      <w:lvlJc w:val="left"/>
      <w:pPr>
        <w:tabs>
          <w:tab w:val="num" w:pos="851"/>
        </w:tabs>
        <w:ind w:left="0" w:firstLine="0"/>
      </w:pPr>
      <w:rPr>
        <w:rFonts w:hint="default"/>
        <w:b w:val="0"/>
        <w:strike w:val="0"/>
      </w:rPr>
    </w:lvl>
    <w:lvl w:ilvl="2">
      <w:start w:val="1"/>
      <w:numFmt w:val="decimal"/>
      <w:lvlRestart w:val="1"/>
      <w:lvlText w:val="5.%1.%2.%3."/>
      <w:lvlJc w:val="left"/>
      <w:pPr>
        <w:tabs>
          <w:tab w:val="num" w:pos="1985"/>
        </w:tabs>
        <w:ind w:left="851" w:firstLine="0"/>
      </w:pPr>
      <w:rPr>
        <w:rFonts w:hint="default"/>
      </w:rPr>
    </w:lvl>
    <w:lvl w:ilvl="3">
      <w:start w:val="1"/>
      <w:numFmt w:val="lowerRoman"/>
      <w:lvlText w:val="(%4)"/>
      <w:lvlJc w:val="left"/>
      <w:pPr>
        <w:tabs>
          <w:tab w:val="num" w:pos="851"/>
        </w:tabs>
        <w:ind w:left="851" w:hanging="851"/>
      </w:pPr>
      <w:rPr>
        <w:rFonts w:ascii="Verdana" w:hAnsi="Verdana" w:cs="Arial" w:hint="default"/>
        <w:b w:val="0"/>
        <w:i w:val="0"/>
        <w:sz w:val="20"/>
        <w:szCs w:val="20"/>
      </w:rPr>
    </w:lvl>
    <w:lvl w:ilvl="4">
      <w:start w:val="1"/>
      <w:numFmt w:val="lowerLetter"/>
      <w:lvlText w:val="(%5)"/>
      <w:lvlJc w:val="left"/>
      <w:pPr>
        <w:tabs>
          <w:tab w:val="num" w:pos="2268"/>
        </w:tabs>
        <w:ind w:left="2268" w:hanging="850"/>
      </w:pPr>
      <w:rPr>
        <w:rFonts w:hint="default"/>
      </w:rPr>
    </w:lvl>
    <w:lvl w:ilvl="5">
      <w:start w:val="1"/>
      <w:numFmt w:val="lowerRoman"/>
      <w:lvlText w:val="(%6)"/>
      <w:lvlJc w:val="left"/>
      <w:pPr>
        <w:tabs>
          <w:tab w:val="num" w:pos="1701"/>
        </w:tabs>
        <w:ind w:left="1701" w:hanging="85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094D7AD4"/>
    <w:multiLevelType w:val="multilevel"/>
    <w:tmpl w:val="C9D2027C"/>
    <w:lvl w:ilvl="0">
      <w:start w:val="2"/>
      <w:numFmt w:val="decimal"/>
      <w:lvlText w:val="%1."/>
      <w:lvlJc w:val="left"/>
      <w:pPr>
        <w:ind w:left="570" w:hanging="570"/>
      </w:pPr>
      <w:rPr>
        <w:rFonts w:hint="default"/>
        <w:b w:val="0"/>
      </w:rPr>
    </w:lvl>
    <w:lvl w:ilvl="1">
      <w:start w:val="7"/>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3" w15:restartNumberingAfterBreak="0">
    <w:nsid w:val="096F06E0"/>
    <w:multiLevelType w:val="hybridMultilevel"/>
    <w:tmpl w:val="E146D40C"/>
    <w:lvl w:ilvl="0" w:tplc="71DA3B70">
      <w:start w:val="1"/>
      <w:numFmt w:val="lowerLetter"/>
      <w:lvlText w:val="(%1)"/>
      <w:lvlJc w:val="left"/>
      <w:pPr>
        <w:ind w:left="1080" w:hanging="720"/>
      </w:pPr>
      <w:rPr>
        <w:rFonts w:hint="default"/>
      </w:rPr>
    </w:lvl>
    <w:lvl w:ilvl="1" w:tplc="B30202E2" w:tentative="1">
      <w:start w:val="1"/>
      <w:numFmt w:val="lowerLetter"/>
      <w:lvlText w:val="%2."/>
      <w:lvlJc w:val="left"/>
      <w:pPr>
        <w:ind w:left="1440" w:hanging="360"/>
      </w:pPr>
    </w:lvl>
    <w:lvl w:ilvl="2" w:tplc="DD3E4E1E" w:tentative="1">
      <w:start w:val="1"/>
      <w:numFmt w:val="lowerRoman"/>
      <w:lvlText w:val="%3."/>
      <w:lvlJc w:val="right"/>
      <w:pPr>
        <w:ind w:left="2160" w:hanging="180"/>
      </w:pPr>
    </w:lvl>
    <w:lvl w:ilvl="3" w:tplc="2EC8F400" w:tentative="1">
      <w:start w:val="1"/>
      <w:numFmt w:val="decimal"/>
      <w:lvlText w:val="%4."/>
      <w:lvlJc w:val="left"/>
      <w:pPr>
        <w:ind w:left="2880" w:hanging="360"/>
      </w:pPr>
    </w:lvl>
    <w:lvl w:ilvl="4" w:tplc="23DADE40" w:tentative="1">
      <w:start w:val="1"/>
      <w:numFmt w:val="lowerLetter"/>
      <w:lvlText w:val="%5."/>
      <w:lvlJc w:val="left"/>
      <w:pPr>
        <w:ind w:left="3600" w:hanging="360"/>
      </w:pPr>
    </w:lvl>
    <w:lvl w:ilvl="5" w:tplc="CB1693B8" w:tentative="1">
      <w:start w:val="1"/>
      <w:numFmt w:val="lowerRoman"/>
      <w:lvlText w:val="%6."/>
      <w:lvlJc w:val="right"/>
      <w:pPr>
        <w:ind w:left="4320" w:hanging="180"/>
      </w:pPr>
    </w:lvl>
    <w:lvl w:ilvl="6" w:tplc="9F5AE758" w:tentative="1">
      <w:start w:val="1"/>
      <w:numFmt w:val="decimal"/>
      <w:lvlText w:val="%7."/>
      <w:lvlJc w:val="left"/>
      <w:pPr>
        <w:ind w:left="5040" w:hanging="360"/>
      </w:pPr>
    </w:lvl>
    <w:lvl w:ilvl="7" w:tplc="C36489F0" w:tentative="1">
      <w:start w:val="1"/>
      <w:numFmt w:val="lowerLetter"/>
      <w:lvlText w:val="%8."/>
      <w:lvlJc w:val="left"/>
      <w:pPr>
        <w:ind w:left="5760" w:hanging="360"/>
      </w:pPr>
    </w:lvl>
    <w:lvl w:ilvl="8" w:tplc="4740D612" w:tentative="1">
      <w:start w:val="1"/>
      <w:numFmt w:val="lowerRoman"/>
      <w:lvlText w:val="%9."/>
      <w:lvlJc w:val="right"/>
      <w:pPr>
        <w:ind w:left="6480" w:hanging="180"/>
      </w:pPr>
    </w:lvl>
  </w:abstractNum>
  <w:abstractNum w:abstractNumId="34" w15:restartNumberingAfterBreak="0">
    <w:nsid w:val="09721C9C"/>
    <w:multiLevelType w:val="hybridMultilevel"/>
    <w:tmpl w:val="7D52379C"/>
    <w:lvl w:ilvl="0" w:tplc="E11EB8E0">
      <w:start w:val="1"/>
      <w:numFmt w:val="lowerRoman"/>
      <w:lvlText w:val="(%1)"/>
      <w:lvlJc w:val="left"/>
      <w:pPr>
        <w:ind w:left="1429" w:hanging="360"/>
      </w:pPr>
      <w:rPr>
        <w:rFonts w:hint="default"/>
        <w:b w:val="0"/>
        <w:bCs/>
        <w:color w:val="auto"/>
        <w:sz w:val="20"/>
      </w:rPr>
    </w:lvl>
    <w:lvl w:ilvl="1" w:tplc="F6166AF2">
      <w:start w:val="1"/>
      <w:numFmt w:val="lowerLetter"/>
      <w:lvlText w:val="%2."/>
      <w:lvlJc w:val="left"/>
      <w:pPr>
        <w:ind w:left="2149" w:hanging="360"/>
      </w:pPr>
    </w:lvl>
    <w:lvl w:ilvl="2" w:tplc="2A72B9F2" w:tentative="1">
      <w:start w:val="1"/>
      <w:numFmt w:val="lowerRoman"/>
      <w:lvlText w:val="%3."/>
      <w:lvlJc w:val="right"/>
      <w:pPr>
        <w:ind w:left="2869" w:hanging="180"/>
      </w:pPr>
    </w:lvl>
    <w:lvl w:ilvl="3" w:tplc="FD80D2D8" w:tentative="1">
      <w:start w:val="1"/>
      <w:numFmt w:val="decimal"/>
      <w:lvlText w:val="%4."/>
      <w:lvlJc w:val="left"/>
      <w:pPr>
        <w:ind w:left="3589" w:hanging="360"/>
      </w:pPr>
    </w:lvl>
    <w:lvl w:ilvl="4" w:tplc="2C8E9718" w:tentative="1">
      <w:start w:val="1"/>
      <w:numFmt w:val="lowerLetter"/>
      <w:lvlText w:val="%5."/>
      <w:lvlJc w:val="left"/>
      <w:pPr>
        <w:ind w:left="4309" w:hanging="360"/>
      </w:pPr>
    </w:lvl>
    <w:lvl w:ilvl="5" w:tplc="21F62E4C" w:tentative="1">
      <w:start w:val="1"/>
      <w:numFmt w:val="lowerRoman"/>
      <w:lvlText w:val="%6."/>
      <w:lvlJc w:val="right"/>
      <w:pPr>
        <w:ind w:left="5029" w:hanging="180"/>
      </w:pPr>
    </w:lvl>
    <w:lvl w:ilvl="6" w:tplc="8FD449D2" w:tentative="1">
      <w:start w:val="1"/>
      <w:numFmt w:val="decimal"/>
      <w:lvlText w:val="%7."/>
      <w:lvlJc w:val="left"/>
      <w:pPr>
        <w:ind w:left="5749" w:hanging="360"/>
      </w:pPr>
    </w:lvl>
    <w:lvl w:ilvl="7" w:tplc="4AE48DD0" w:tentative="1">
      <w:start w:val="1"/>
      <w:numFmt w:val="lowerLetter"/>
      <w:lvlText w:val="%8."/>
      <w:lvlJc w:val="left"/>
      <w:pPr>
        <w:ind w:left="6469" w:hanging="360"/>
      </w:pPr>
    </w:lvl>
    <w:lvl w:ilvl="8" w:tplc="DE80946E" w:tentative="1">
      <w:start w:val="1"/>
      <w:numFmt w:val="lowerRoman"/>
      <w:lvlText w:val="%9."/>
      <w:lvlJc w:val="right"/>
      <w:pPr>
        <w:ind w:left="7189" w:hanging="180"/>
      </w:pPr>
    </w:lvl>
  </w:abstractNum>
  <w:abstractNum w:abstractNumId="35" w15:restartNumberingAfterBreak="0">
    <w:nsid w:val="09867964"/>
    <w:multiLevelType w:val="multilevel"/>
    <w:tmpl w:val="3F365E7A"/>
    <w:lvl w:ilvl="0">
      <w:start w:val="6"/>
      <w:numFmt w:val="decimal"/>
      <w:lvlText w:val="%1."/>
      <w:lvlJc w:val="left"/>
      <w:pPr>
        <w:tabs>
          <w:tab w:val="num" w:pos="709"/>
        </w:tabs>
        <w:ind w:left="709" w:hanging="709"/>
      </w:pPr>
      <w:rPr>
        <w:rFonts w:ascii="Verdana" w:hAnsi="Verdana" w:cs="Verdana" w:hint="default"/>
        <w:b/>
        <w:bCs/>
        <w:i w:val="0"/>
        <w:iCs w:val="0"/>
        <w:sz w:val="20"/>
        <w:szCs w:val="20"/>
      </w:rPr>
    </w:lvl>
    <w:lvl w:ilvl="1">
      <w:start w:val="10"/>
      <w:numFmt w:val="decimal"/>
      <w:lvlText w:val="%1.%2"/>
      <w:lvlJc w:val="left"/>
      <w:pPr>
        <w:tabs>
          <w:tab w:val="num" w:pos="709"/>
        </w:tabs>
        <w:ind w:left="709" w:hanging="709"/>
      </w:pPr>
      <w:rPr>
        <w:rFonts w:ascii="Verdana" w:hAnsi="Verdana" w:cs="Verdana" w:hint="default"/>
        <w:b w:val="0"/>
        <w:bCs w:val="0"/>
        <w:i w:val="0"/>
        <w:iCs w:val="0"/>
        <w:sz w:val="20"/>
        <w:szCs w:val="20"/>
      </w:rPr>
    </w:lvl>
    <w:lvl w:ilvl="2">
      <w:start w:val="1"/>
      <w:numFmt w:val="upperRoman"/>
      <w:lvlText w:val="%3."/>
      <w:lvlJc w:val="left"/>
      <w:pPr>
        <w:tabs>
          <w:tab w:val="num" w:pos="992"/>
        </w:tabs>
        <w:ind w:left="992" w:hanging="992"/>
      </w:pPr>
      <w:rPr>
        <w:rFonts w:ascii="Verdana" w:hAnsi="Verdana" w:cs="Verdana" w:hint="default"/>
        <w:b w:val="0"/>
        <w:bCs w:val="0"/>
        <w:i w:val="0"/>
        <w:iCs w:val="0"/>
        <w:sz w:val="20"/>
        <w:szCs w:val="20"/>
      </w:rPr>
    </w:lvl>
    <w:lvl w:ilvl="3">
      <w:start w:val="1"/>
      <w:numFmt w:val="lowerLetter"/>
      <w:lvlText w:val="(%4)"/>
      <w:lvlJc w:val="left"/>
      <w:pPr>
        <w:tabs>
          <w:tab w:val="num" w:pos="709"/>
        </w:tabs>
        <w:ind w:left="709" w:hanging="425"/>
      </w:pPr>
      <w:rPr>
        <w:rFonts w:ascii="Verdana" w:hAnsi="Verdana" w:cs="Verdana" w:hint="default"/>
        <w:b w:val="0"/>
        <w:bCs w:val="0"/>
        <w:i w:val="0"/>
        <w:iCs w:val="0"/>
        <w:sz w:val="20"/>
        <w:szCs w:val="20"/>
      </w:rPr>
    </w:lvl>
    <w:lvl w:ilvl="4">
      <w:start w:val="1"/>
      <w:numFmt w:val="lowerRoman"/>
      <w:lvlText w:val="(%5)"/>
      <w:lvlJc w:val="left"/>
      <w:pPr>
        <w:tabs>
          <w:tab w:val="num" w:pos="709"/>
        </w:tabs>
        <w:ind w:left="709" w:hanging="709"/>
      </w:pPr>
      <w:rPr>
        <w:rFonts w:ascii="Verdana" w:hAnsi="Verdana" w:cs="Times New Roman" w:hint="default"/>
        <w:b w:val="0"/>
        <w:bCs w:val="0"/>
        <w:i w:val="0"/>
        <w:iCs w:val="0"/>
        <w:sz w:val="20"/>
        <w:szCs w:val="20"/>
      </w:rPr>
    </w:lvl>
    <w:lvl w:ilvl="5">
      <w:start w:val="1"/>
      <w:numFmt w:val="decimal"/>
      <w:lvlText w:val="%1.%2.%6"/>
      <w:lvlJc w:val="left"/>
      <w:pPr>
        <w:tabs>
          <w:tab w:val="num" w:pos="851"/>
        </w:tabs>
        <w:ind w:left="851" w:hanging="709"/>
      </w:pPr>
      <w:rPr>
        <w:rFonts w:ascii="Verdana" w:hAnsi="Verdana" w:cs="Verdana" w:hint="default"/>
        <w:b w:val="0"/>
        <w:bCs w:val="0"/>
        <w:i w:val="0"/>
        <w:iCs w:val="0"/>
        <w:sz w:val="20"/>
        <w:szCs w:val="20"/>
      </w:rPr>
    </w:lvl>
    <w:lvl w:ilvl="6">
      <w:start w:val="1"/>
      <w:numFmt w:val="upperRoman"/>
      <w:lvlText w:val="%7."/>
      <w:lvlJc w:val="left"/>
      <w:pPr>
        <w:tabs>
          <w:tab w:val="num" w:pos="1701"/>
        </w:tabs>
        <w:ind w:left="1701" w:hanging="992"/>
      </w:pPr>
      <w:rPr>
        <w:rFonts w:ascii="Times New Roman" w:hAnsi="Times New Roman" w:cs="Times New Roman" w:hint="default"/>
        <w:b w:val="0"/>
        <w:bCs w:val="0"/>
        <w:i w:val="0"/>
        <w:iCs w:val="0"/>
        <w:sz w:val="26"/>
        <w:szCs w:val="26"/>
      </w:rPr>
    </w:lvl>
    <w:lvl w:ilvl="7">
      <w:start w:val="1"/>
      <w:numFmt w:val="lowerLetter"/>
      <w:lvlText w:val="(%8)"/>
      <w:lvlJc w:val="left"/>
      <w:pPr>
        <w:tabs>
          <w:tab w:val="num" w:pos="2126"/>
        </w:tabs>
        <w:ind w:left="2126" w:hanging="425"/>
      </w:pPr>
      <w:rPr>
        <w:rFonts w:ascii="Verdana" w:hAnsi="Verdana" w:cs="Times New Roman" w:hint="default"/>
        <w:b w:val="0"/>
        <w:bCs w:val="0"/>
        <w:i w:val="0"/>
        <w:iCs w:val="0"/>
        <w:sz w:val="20"/>
        <w:szCs w:val="20"/>
      </w:rPr>
    </w:lvl>
    <w:lvl w:ilvl="8">
      <w:start w:val="1"/>
      <w:numFmt w:val="lowerRoman"/>
      <w:lvlText w:val="(%9)"/>
      <w:lvlJc w:val="left"/>
      <w:pPr>
        <w:tabs>
          <w:tab w:val="num" w:pos="2835"/>
        </w:tabs>
        <w:ind w:left="2835" w:hanging="709"/>
      </w:pPr>
      <w:rPr>
        <w:rFonts w:ascii="Verdana" w:hAnsi="Verdana" w:cs="Times New Roman" w:hint="default"/>
        <w:b w:val="0"/>
        <w:bCs w:val="0"/>
        <w:i w:val="0"/>
        <w:iCs w:val="0"/>
        <w:sz w:val="20"/>
        <w:szCs w:val="20"/>
      </w:rPr>
    </w:lvl>
  </w:abstractNum>
  <w:abstractNum w:abstractNumId="36" w15:restartNumberingAfterBreak="0">
    <w:nsid w:val="09BA4980"/>
    <w:multiLevelType w:val="multilevel"/>
    <w:tmpl w:val="3F365E7A"/>
    <w:lvl w:ilvl="0">
      <w:start w:val="6"/>
      <w:numFmt w:val="decimal"/>
      <w:lvlText w:val="%1."/>
      <w:lvlJc w:val="left"/>
      <w:pPr>
        <w:tabs>
          <w:tab w:val="num" w:pos="709"/>
        </w:tabs>
        <w:ind w:left="709" w:hanging="709"/>
      </w:pPr>
      <w:rPr>
        <w:rFonts w:ascii="Verdana" w:hAnsi="Verdana" w:cs="Verdana" w:hint="default"/>
        <w:b/>
        <w:bCs/>
        <w:i w:val="0"/>
        <w:iCs w:val="0"/>
        <w:sz w:val="20"/>
        <w:szCs w:val="20"/>
      </w:rPr>
    </w:lvl>
    <w:lvl w:ilvl="1">
      <w:start w:val="10"/>
      <w:numFmt w:val="decimal"/>
      <w:lvlText w:val="%1.%2"/>
      <w:lvlJc w:val="left"/>
      <w:pPr>
        <w:tabs>
          <w:tab w:val="num" w:pos="709"/>
        </w:tabs>
        <w:ind w:left="709" w:hanging="709"/>
      </w:pPr>
      <w:rPr>
        <w:rFonts w:ascii="Verdana" w:hAnsi="Verdana" w:cs="Verdana" w:hint="default"/>
        <w:b w:val="0"/>
        <w:bCs w:val="0"/>
        <w:i w:val="0"/>
        <w:iCs w:val="0"/>
        <w:sz w:val="20"/>
        <w:szCs w:val="20"/>
      </w:rPr>
    </w:lvl>
    <w:lvl w:ilvl="2">
      <w:start w:val="1"/>
      <w:numFmt w:val="upperRoman"/>
      <w:lvlText w:val="%3."/>
      <w:lvlJc w:val="left"/>
      <w:pPr>
        <w:tabs>
          <w:tab w:val="num" w:pos="992"/>
        </w:tabs>
        <w:ind w:left="992" w:hanging="992"/>
      </w:pPr>
      <w:rPr>
        <w:rFonts w:ascii="Verdana" w:hAnsi="Verdana" w:cs="Verdana" w:hint="default"/>
        <w:b w:val="0"/>
        <w:bCs w:val="0"/>
        <w:i w:val="0"/>
        <w:iCs w:val="0"/>
        <w:sz w:val="20"/>
        <w:szCs w:val="20"/>
      </w:rPr>
    </w:lvl>
    <w:lvl w:ilvl="3">
      <w:start w:val="1"/>
      <w:numFmt w:val="lowerLetter"/>
      <w:lvlText w:val="(%4)"/>
      <w:lvlJc w:val="left"/>
      <w:pPr>
        <w:tabs>
          <w:tab w:val="num" w:pos="709"/>
        </w:tabs>
        <w:ind w:left="709" w:hanging="425"/>
      </w:pPr>
      <w:rPr>
        <w:rFonts w:ascii="Verdana" w:hAnsi="Verdana" w:cs="Verdana" w:hint="default"/>
        <w:b w:val="0"/>
        <w:bCs w:val="0"/>
        <w:i w:val="0"/>
        <w:iCs w:val="0"/>
        <w:sz w:val="20"/>
        <w:szCs w:val="20"/>
      </w:rPr>
    </w:lvl>
    <w:lvl w:ilvl="4">
      <w:start w:val="1"/>
      <w:numFmt w:val="lowerRoman"/>
      <w:lvlText w:val="(%5)"/>
      <w:lvlJc w:val="left"/>
      <w:pPr>
        <w:tabs>
          <w:tab w:val="num" w:pos="709"/>
        </w:tabs>
        <w:ind w:left="709" w:hanging="709"/>
      </w:pPr>
      <w:rPr>
        <w:rFonts w:ascii="Verdana" w:hAnsi="Verdana" w:cs="Times New Roman" w:hint="default"/>
        <w:b w:val="0"/>
        <w:bCs w:val="0"/>
        <w:i w:val="0"/>
        <w:iCs w:val="0"/>
        <w:sz w:val="20"/>
        <w:szCs w:val="20"/>
      </w:rPr>
    </w:lvl>
    <w:lvl w:ilvl="5">
      <w:start w:val="1"/>
      <w:numFmt w:val="decimal"/>
      <w:lvlText w:val="%1.%2.%6"/>
      <w:lvlJc w:val="left"/>
      <w:pPr>
        <w:tabs>
          <w:tab w:val="num" w:pos="851"/>
        </w:tabs>
        <w:ind w:left="851" w:hanging="709"/>
      </w:pPr>
      <w:rPr>
        <w:rFonts w:ascii="Verdana" w:hAnsi="Verdana" w:cs="Verdana" w:hint="default"/>
        <w:b w:val="0"/>
        <w:bCs w:val="0"/>
        <w:i w:val="0"/>
        <w:iCs w:val="0"/>
        <w:sz w:val="20"/>
        <w:szCs w:val="20"/>
      </w:rPr>
    </w:lvl>
    <w:lvl w:ilvl="6">
      <w:start w:val="1"/>
      <w:numFmt w:val="upperRoman"/>
      <w:lvlText w:val="%7."/>
      <w:lvlJc w:val="left"/>
      <w:pPr>
        <w:tabs>
          <w:tab w:val="num" w:pos="1701"/>
        </w:tabs>
        <w:ind w:left="1701" w:hanging="992"/>
      </w:pPr>
      <w:rPr>
        <w:rFonts w:ascii="Times New Roman" w:hAnsi="Times New Roman" w:cs="Times New Roman" w:hint="default"/>
        <w:b w:val="0"/>
        <w:bCs w:val="0"/>
        <w:i w:val="0"/>
        <w:iCs w:val="0"/>
        <w:sz w:val="26"/>
        <w:szCs w:val="26"/>
      </w:rPr>
    </w:lvl>
    <w:lvl w:ilvl="7">
      <w:start w:val="1"/>
      <w:numFmt w:val="lowerLetter"/>
      <w:lvlText w:val="(%8)"/>
      <w:lvlJc w:val="left"/>
      <w:pPr>
        <w:tabs>
          <w:tab w:val="num" w:pos="2126"/>
        </w:tabs>
        <w:ind w:left="2126" w:hanging="425"/>
      </w:pPr>
      <w:rPr>
        <w:rFonts w:ascii="Verdana" w:hAnsi="Verdana" w:cs="Times New Roman" w:hint="default"/>
        <w:b w:val="0"/>
        <w:bCs w:val="0"/>
        <w:i w:val="0"/>
        <w:iCs w:val="0"/>
        <w:sz w:val="20"/>
        <w:szCs w:val="20"/>
      </w:rPr>
    </w:lvl>
    <w:lvl w:ilvl="8">
      <w:start w:val="1"/>
      <w:numFmt w:val="lowerRoman"/>
      <w:lvlText w:val="(%9)"/>
      <w:lvlJc w:val="left"/>
      <w:pPr>
        <w:tabs>
          <w:tab w:val="num" w:pos="2835"/>
        </w:tabs>
        <w:ind w:left="2835" w:hanging="709"/>
      </w:pPr>
      <w:rPr>
        <w:rFonts w:ascii="Verdana" w:hAnsi="Verdana" w:cs="Times New Roman" w:hint="default"/>
        <w:b w:val="0"/>
        <w:bCs w:val="0"/>
        <w:i w:val="0"/>
        <w:iCs w:val="0"/>
        <w:sz w:val="20"/>
        <w:szCs w:val="20"/>
      </w:rPr>
    </w:lvl>
  </w:abstractNum>
  <w:abstractNum w:abstractNumId="37" w15:restartNumberingAfterBreak="0">
    <w:nsid w:val="0AE70335"/>
    <w:multiLevelType w:val="hybridMultilevel"/>
    <w:tmpl w:val="8B606B74"/>
    <w:lvl w:ilvl="0" w:tplc="E1AC035E">
      <w:start w:val="1"/>
      <w:numFmt w:val="lowerLetter"/>
      <w:lvlText w:val="(%1)"/>
      <w:lvlJc w:val="left"/>
      <w:pPr>
        <w:ind w:left="1429" w:hanging="360"/>
      </w:pPr>
      <w:rPr>
        <w:rFonts w:cs="Times New Roman" w:hint="eastAsia"/>
        <w:b w:val="0"/>
        <w:sz w:val="20"/>
        <w:szCs w:val="20"/>
      </w:rPr>
    </w:lvl>
    <w:lvl w:ilvl="1" w:tplc="947E1202" w:tentative="1">
      <w:start w:val="1"/>
      <w:numFmt w:val="lowerLetter"/>
      <w:lvlText w:val="%2."/>
      <w:lvlJc w:val="left"/>
      <w:pPr>
        <w:ind w:left="2149" w:hanging="360"/>
      </w:pPr>
    </w:lvl>
    <w:lvl w:ilvl="2" w:tplc="2F16EC32" w:tentative="1">
      <w:start w:val="1"/>
      <w:numFmt w:val="lowerRoman"/>
      <w:lvlText w:val="%3."/>
      <w:lvlJc w:val="right"/>
      <w:pPr>
        <w:ind w:left="2869" w:hanging="180"/>
      </w:pPr>
    </w:lvl>
    <w:lvl w:ilvl="3" w:tplc="E6527454" w:tentative="1">
      <w:start w:val="1"/>
      <w:numFmt w:val="decimal"/>
      <w:lvlText w:val="%4."/>
      <w:lvlJc w:val="left"/>
      <w:pPr>
        <w:ind w:left="3589" w:hanging="360"/>
      </w:pPr>
    </w:lvl>
    <w:lvl w:ilvl="4" w:tplc="371A5226" w:tentative="1">
      <w:start w:val="1"/>
      <w:numFmt w:val="lowerLetter"/>
      <w:lvlText w:val="%5."/>
      <w:lvlJc w:val="left"/>
      <w:pPr>
        <w:ind w:left="4309" w:hanging="360"/>
      </w:pPr>
    </w:lvl>
    <w:lvl w:ilvl="5" w:tplc="F28467DE" w:tentative="1">
      <w:start w:val="1"/>
      <w:numFmt w:val="lowerRoman"/>
      <w:lvlText w:val="%6."/>
      <w:lvlJc w:val="right"/>
      <w:pPr>
        <w:ind w:left="5029" w:hanging="180"/>
      </w:pPr>
    </w:lvl>
    <w:lvl w:ilvl="6" w:tplc="32F414A0" w:tentative="1">
      <w:start w:val="1"/>
      <w:numFmt w:val="decimal"/>
      <w:lvlText w:val="%7."/>
      <w:lvlJc w:val="left"/>
      <w:pPr>
        <w:ind w:left="5749" w:hanging="360"/>
      </w:pPr>
    </w:lvl>
    <w:lvl w:ilvl="7" w:tplc="9C1C5508" w:tentative="1">
      <w:start w:val="1"/>
      <w:numFmt w:val="lowerLetter"/>
      <w:lvlText w:val="%8."/>
      <w:lvlJc w:val="left"/>
      <w:pPr>
        <w:ind w:left="6469" w:hanging="360"/>
      </w:pPr>
    </w:lvl>
    <w:lvl w:ilvl="8" w:tplc="7FB49F90" w:tentative="1">
      <w:start w:val="1"/>
      <w:numFmt w:val="lowerRoman"/>
      <w:lvlText w:val="%9."/>
      <w:lvlJc w:val="right"/>
      <w:pPr>
        <w:ind w:left="7189" w:hanging="180"/>
      </w:pPr>
    </w:lvl>
  </w:abstractNum>
  <w:abstractNum w:abstractNumId="38" w15:restartNumberingAfterBreak="0">
    <w:nsid w:val="0D384DDC"/>
    <w:multiLevelType w:val="hybridMultilevel"/>
    <w:tmpl w:val="FE500AE8"/>
    <w:lvl w:ilvl="0" w:tplc="E80A5D92">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0DA1196B"/>
    <w:multiLevelType w:val="multilevel"/>
    <w:tmpl w:val="BEEE59C2"/>
    <w:lvl w:ilvl="0">
      <w:start w:val="1"/>
      <w:numFmt w:val="upperRoman"/>
      <w:lvlText w:val="%1."/>
      <w:lvlJc w:val="left"/>
      <w:pPr>
        <w:ind w:left="810" w:hanging="708"/>
      </w:pPr>
      <w:rPr>
        <w:rFonts w:ascii="Tahoma" w:eastAsia="Palatino Linotype" w:hAnsi="Tahoma" w:cs="Tahoma" w:hint="default"/>
        <w:b/>
        <w:w w:val="100"/>
        <w:sz w:val="22"/>
        <w:szCs w:val="22"/>
      </w:rPr>
    </w:lvl>
    <w:lvl w:ilvl="1">
      <w:start w:val="1"/>
      <w:numFmt w:val="decimal"/>
      <w:lvlText w:val="%2."/>
      <w:lvlJc w:val="left"/>
      <w:pPr>
        <w:ind w:left="810" w:hanging="708"/>
      </w:pPr>
      <w:rPr>
        <w:rFonts w:ascii="Verdana" w:eastAsia="Palatino Linotype" w:hAnsi="Verdana" w:cs="Tahoma" w:hint="default"/>
        <w:b/>
        <w:w w:val="100"/>
        <w:sz w:val="20"/>
        <w:szCs w:val="20"/>
      </w:rPr>
    </w:lvl>
    <w:lvl w:ilvl="2">
      <w:start w:val="1"/>
      <w:numFmt w:val="decimal"/>
      <w:lvlText w:val="%2.%3"/>
      <w:lvlJc w:val="left"/>
      <w:pPr>
        <w:ind w:left="810" w:hanging="708"/>
      </w:pPr>
      <w:rPr>
        <w:rFonts w:ascii="Verdana" w:eastAsia="Palatino Linotype" w:hAnsi="Verdana" w:cs="Tahoma" w:hint="default"/>
        <w:b/>
        <w:i w:val="0"/>
        <w:w w:val="100"/>
        <w:sz w:val="20"/>
        <w:szCs w:val="20"/>
      </w:rPr>
    </w:lvl>
    <w:lvl w:ilvl="3">
      <w:start w:val="1"/>
      <w:numFmt w:val="decimal"/>
      <w:lvlText w:val="%2.%3.%4"/>
      <w:lvlJc w:val="left"/>
      <w:pPr>
        <w:ind w:left="822" w:hanging="720"/>
      </w:pPr>
      <w:rPr>
        <w:rFonts w:ascii="Verdana" w:eastAsia="Palatino Linotype" w:hAnsi="Verdana" w:cs="Tahoma" w:hint="default"/>
        <w:b/>
        <w:w w:val="100"/>
        <w:sz w:val="20"/>
        <w:szCs w:val="20"/>
      </w:rPr>
    </w:lvl>
    <w:lvl w:ilvl="4">
      <w:start w:val="1"/>
      <w:numFmt w:val="upperRoman"/>
      <w:lvlText w:val="%5."/>
      <w:lvlJc w:val="left"/>
      <w:pPr>
        <w:ind w:left="994" w:hanging="994"/>
      </w:pPr>
      <w:rPr>
        <w:rFonts w:ascii="Tahoma" w:eastAsia="Palatino Linotype" w:hAnsi="Tahoma" w:cs="Tahoma" w:hint="default"/>
        <w:b/>
        <w:w w:val="100"/>
        <w:sz w:val="22"/>
        <w:szCs w:val="22"/>
      </w:rPr>
    </w:lvl>
    <w:lvl w:ilvl="5">
      <w:numFmt w:val="bullet"/>
      <w:lvlText w:val="•"/>
      <w:lvlJc w:val="left"/>
      <w:pPr>
        <w:ind w:left="5027" w:hanging="994"/>
      </w:pPr>
      <w:rPr>
        <w:rFonts w:hint="default"/>
      </w:rPr>
    </w:lvl>
    <w:lvl w:ilvl="6">
      <w:numFmt w:val="bullet"/>
      <w:lvlText w:val="•"/>
      <w:lvlJc w:val="left"/>
      <w:pPr>
        <w:ind w:left="5834" w:hanging="994"/>
      </w:pPr>
      <w:rPr>
        <w:rFonts w:hint="default"/>
      </w:rPr>
    </w:lvl>
    <w:lvl w:ilvl="7">
      <w:numFmt w:val="bullet"/>
      <w:lvlText w:val="•"/>
      <w:lvlJc w:val="left"/>
      <w:pPr>
        <w:ind w:left="6641" w:hanging="994"/>
      </w:pPr>
      <w:rPr>
        <w:rFonts w:hint="default"/>
      </w:rPr>
    </w:lvl>
    <w:lvl w:ilvl="8">
      <w:numFmt w:val="bullet"/>
      <w:lvlText w:val="•"/>
      <w:lvlJc w:val="left"/>
      <w:pPr>
        <w:ind w:left="7448" w:hanging="994"/>
      </w:pPr>
      <w:rPr>
        <w:rFonts w:hint="default"/>
      </w:rPr>
    </w:lvl>
  </w:abstractNum>
  <w:abstractNum w:abstractNumId="40" w15:restartNumberingAfterBreak="0">
    <w:nsid w:val="0DE36CEB"/>
    <w:multiLevelType w:val="multilevel"/>
    <w:tmpl w:val="6C78C002"/>
    <w:lvl w:ilvl="0">
      <w:start w:val="7"/>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0EB57327"/>
    <w:multiLevelType w:val="hybridMultilevel"/>
    <w:tmpl w:val="AAC49B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0FFC613"/>
    <w:multiLevelType w:val="hybridMultilevel"/>
    <w:tmpl w:val="FFFFFFFF"/>
    <w:lvl w:ilvl="0" w:tplc="9BA6CD00">
      <w:start w:val="1"/>
      <w:numFmt w:val="lowerLetter"/>
      <w:lvlText w:val=""/>
      <w:lvlJc w:val="left"/>
    </w:lvl>
    <w:lvl w:ilvl="1" w:tplc="1AB04AC2">
      <w:numFmt w:val="decimal"/>
      <w:lvlText w:val=""/>
      <w:lvlJc w:val="left"/>
    </w:lvl>
    <w:lvl w:ilvl="2" w:tplc="71F42A9A">
      <w:numFmt w:val="decimal"/>
      <w:lvlText w:val=""/>
      <w:lvlJc w:val="left"/>
    </w:lvl>
    <w:lvl w:ilvl="3" w:tplc="9C96CFA6">
      <w:numFmt w:val="decimal"/>
      <w:lvlText w:val=""/>
      <w:lvlJc w:val="left"/>
    </w:lvl>
    <w:lvl w:ilvl="4" w:tplc="9D38D2F4">
      <w:numFmt w:val="decimal"/>
      <w:lvlText w:val=""/>
      <w:lvlJc w:val="left"/>
    </w:lvl>
    <w:lvl w:ilvl="5" w:tplc="9C1433E6">
      <w:numFmt w:val="decimal"/>
      <w:lvlText w:val=""/>
      <w:lvlJc w:val="left"/>
    </w:lvl>
    <w:lvl w:ilvl="6" w:tplc="8B526846">
      <w:numFmt w:val="decimal"/>
      <w:lvlText w:val=""/>
      <w:lvlJc w:val="left"/>
    </w:lvl>
    <w:lvl w:ilvl="7" w:tplc="CA3E6A20">
      <w:numFmt w:val="decimal"/>
      <w:lvlText w:val=""/>
      <w:lvlJc w:val="left"/>
    </w:lvl>
    <w:lvl w:ilvl="8" w:tplc="DCDA45C0">
      <w:numFmt w:val="decimal"/>
      <w:lvlText w:val=""/>
      <w:lvlJc w:val="left"/>
    </w:lvl>
  </w:abstractNum>
  <w:abstractNum w:abstractNumId="43" w15:restartNumberingAfterBreak="0">
    <w:nsid w:val="11397BE5"/>
    <w:multiLevelType w:val="hybridMultilevel"/>
    <w:tmpl w:val="79D8EEC6"/>
    <w:lvl w:ilvl="0" w:tplc="188C03EE">
      <w:start w:val="1"/>
      <w:numFmt w:val="decimal"/>
      <w:lvlText w:val="2.2.%1."/>
      <w:lvlJc w:val="left"/>
      <w:pPr>
        <w:ind w:left="720" w:hanging="360"/>
      </w:pPr>
      <w:rPr>
        <w:rFonts w:hint="default"/>
        <w:b/>
      </w:rPr>
    </w:lvl>
    <w:lvl w:ilvl="1" w:tplc="027A7088" w:tentative="1">
      <w:start w:val="1"/>
      <w:numFmt w:val="lowerLetter"/>
      <w:lvlText w:val="%2."/>
      <w:lvlJc w:val="left"/>
      <w:pPr>
        <w:ind w:left="1440" w:hanging="360"/>
      </w:pPr>
    </w:lvl>
    <w:lvl w:ilvl="2" w:tplc="A82E56F2" w:tentative="1">
      <w:start w:val="1"/>
      <w:numFmt w:val="lowerRoman"/>
      <w:lvlText w:val="%3."/>
      <w:lvlJc w:val="right"/>
      <w:pPr>
        <w:ind w:left="2160" w:hanging="180"/>
      </w:pPr>
    </w:lvl>
    <w:lvl w:ilvl="3" w:tplc="17DE1A04" w:tentative="1">
      <w:start w:val="1"/>
      <w:numFmt w:val="decimal"/>
      <w:lvlText w:val="%4."/>
      <w:lvlJc w:val="left"/>
      <w:pPr>
        <w:ind w:left="2880" w:hanging="360"/>
      </w:pPr>
    </w:lvl>
    <w:lvl w:ilvl="4" w:tplc="6546A2D6" w:tentative="1">
      <w:start w:val="1"/>
      <w:numFmt w:val="lowerLetter"/>
      <w:lvlText w:val="%5."/>
      <w:lvlJc w:val="left"/>
      <w:pPr>
        <w:ind w:left="3600" w:hanging="360"/>
      </w:pPr>
    </w:lvl>
    <w:lvl w:ilvl="5" w:tplc="884E9AC8" w:tentative="1">
      <w:start w:val="1"/>
      <w:numFmt w:val="lowerRoman"/>
      <w:lvlText w:val="%6."/>
      <w:lvlJc w:val="right"/>
      <w:pPr>
        <w:ind w:left="4320" w:hanging="180"/>
      </w:pPr>
    </w:lvl>
    <w:lvl w:ilvl="6" w:tplc="9AE0EE5E" w:tentative="1">
      <w:start w:val="1"/>
      <w:numFmt w:val="decimal"/>
      <w:lvlText w:val="%7."/>
      <w:lvlJc w:val="left"/>
      <w:pPr>
        <w:ind w:left="5040" w:hanging="360"/>
      </w:pPr>
    </w:lvl>
    <w:lvl w:ilvl="7" w:tplc="23500C00" w:tentative="1">
      <w:start w:val="1"/>
      <w:numFmt w:val="lowerLetter"/>
      <w:lvlText w:val="%8."/>
      <w:lvlJc w:val="left"/>
      <w:pPr>
        <w:ind w:left="5760" w:hanging="360"/>
      </w:pPr>
    </w:lvl>
    <w:lvl w:ilvl="8" w:tplc="C8AC1F4A" w:tentative="1">
      <w:start w:val="1"/>
      <w:numFmt w:val="lowerRoman"/>
      <w:lvlText w:val="%9."/>
      <w:lvlJc w:val="right"/>
      <w:pPr>
        <w:ind w:left="6480" w:hanging="180"/>
      </w:pPr>
    </w:lvl>
  </w:abstractNum>
  <w:abstractNum w:abstractNumId="44" w15:restartNumberingAfterBreak="0">
    <w:nsid w:val="11E705EF"/>
    <w:multiLevelType w:val="multilevel"/>
    <w:tmpl w:val="51F48EBE"/>
    <w:lvl w:ilvl="0">
      <w:start w:val="1"/>
      <w:numFmt w:val="decimal"/>
      <w:lvlText w:val="5.%1."/>
      <w:lvlJc w:val="left"/>
      <w:pPr>
        <w:tabs>
          <w:tab w:val="num" w:pos="851"/>
        </w:tabs>
        <w:ind w:left="0" w:firstLine="0"/>
      </w:pPr>
      <w:rPr>
        <w:rFonts w:hint="default"/>
      </w:rPr>
    </w:lvl>
    <w:lvl w:ilvl="1">
      <w:start w:val="1"/>
      <w:numFmt w:val="decimal"/>
      <w:lvlText w:val="5.%1.%2."/>
      <w:lvlJc w:val="left"/>
      <w:pPr>
        <w:tabs>
          <w:tab w:val="num" w:pos="851"/>
        </w:tabs>
        <w:ind w:left="0" w:firstLine="0"/>
      </w:pPr>
      <w:rPr>
        <w:rFonts w:hint="default"/>
        <w:b w:val="0"/>
        <w:strike w:val="0"/>
      </w:rPr>
    </w:lvl>
    <w:lvl w:ilvl="2">
      <w:start w:val="1"/>
      <w:numFmt w:val="decimal"/>
      <w:lvlRestart w:val="1"/>
      <w:lvlText w:val="5.%1.%2.%3."/>
      <w:lvlJc w:val="left"/>
      <w:pPr>
        <w:tabs>
          <w:tab w:val="num" w:pos="1985"/>
        </w:tabs>
        <w:ind w:left="851" w:firstLine="0"/>
      </w:pPr>
      <w:rPr>
        <w:rFonts w:hint="default"/>
      </w:rPr>
    </w:lvl>
    <w:lvl w:ilvl="3">
      <w:start w:val="1"/>
      <w:numFmt w:val="lowerRoman"/>
      <w:lvlText w:val="(%4)"/>
      <w:lvlJc w:val="left"/>
      <w:pPr>
        <w:tabs>
          <w:tab w:val="num" w:pos="851"/>
        </w:tabs>
        <w:ind w:left="851" w:hanging="851"/>
      </w:pPr>
      <w:rPr>
        <w:rFonts w:ascii="Verdana" w:hAnsi="Verdana" w:cs="Arial" w:hint="default"/>
        <w:b w:val="0"/>
        <w:i w:val="0"/>
        <w:sz w:val="20"/>
        <w:szCs w:val="20"/>
      </w:rPr>
    </w:lvl>
    <w:lvl w:ilvl="4">
      <w:start w:val="1"/>
      <w:numFmt w:val="lowerLetter"/>
      <w:lvlText w:val="(%5)"/>
      <w:lvlJc w:val="left"/>
      <w:pPr>
        <w:tabs>
          <w:tab w:val="num" w:pos="1701"/>
        </w:tabs>
        <w:ind w:left="1701" w:hanging="850"/>
      </w:pPr>
      <w:rPr>
        <w:rFonts w:hint="default"/>
      </w:rPr>
    </w:lvl>
    <w:lvl w:ilvl="5">
      <w:start w:val="1"/>
      <w:numFmt w:val="lowerRoman"/>
      <w:lvlText w:val="(%6)"/>
      <w:lvlJc w:val="left"/>
      <w:pPr>
        <w:tabs>
          <w:tab w:val="num" w:pos="1701"/>
        </w:tabs>
        <w:ind w:left="1701" w:hanging="85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129107E7"/>
    <w:multiLevelType w:val="multilevel"/>
    <w:tmpl w:val="C2AE0AA0"/>
    <w:lvl w:ilvl="0">
      <w:start w:val="4"/>
      <w:numFmt w:val="decimal"/>
      <w:lvlText w:val="%1"/>
      <w:lvlJc w:val="left"/>
      <w:pPr>
        <w:ind w:left="630" w:hanging="63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12F73C3F"/>
    <w:multiLevelType w:val="hybridMultilevel"/>
    <w:tmpl w:val="0CE88AA6"/>
    <w:lvl w:ilvl="0" w:tplc="FADA3330">
      <w:start w:val="1"/>
      <w:numFmt w:val="lowerRoman"/>
      <w:lvlText w:val="(%1)"/>
      <w:lvlJc w:val="left"/>
      <w:pPr>
        <w:ind w:left="1429" w:hanging="360"/>
      </w:pPr>
      <w:rPr>
        <w:rFonts w:hint="default"/>
        <w:b w:val="0"/>
        <w:bCs/>
        <w:color w:val="auto"/>
        <w:sz w:val="20"/>
      </w:rPr>
    </w:lvl>
    <w:lvl w:ilvl="1" w:tplc="42922886" w:tentative="1">
      <w:start w:val="1"/>
      <w:numFmt w:val="lowerLetter"/>
      <w:lvlText w:val="%2."/>
      <w:lvlJc w:val="left"/>
      <w:pPr>
        <w:ind w:left="2149" w:hanging="360"/>
      </w:pPr>
    </w:lvl>
    <w:lvl w:ilvl="2" w:tplc="E8583BE6" w:tentative="1">
      <w:start w:val="1"/>
      <w:numFmt w:val="lowerRoman"/>
      <w:lvlText w:val="%3."/>
      <w:lvlJc w:val="right"/>
      <w:pPr>
        <w:ind w:left="2869" w:hanging="180"/>
      </w:pPr>
    </w:lvl>
    <w:lvl w:ilvl="3" w:tplc="3D48524C" w:tentative="1">
      <w:start w:val="1"/>
      <w:numFmt w:val="decimal"/>
      <w:lvlText w:val="%4."/>
      <w:lvlJc w:val="left"/>
      <w:pPr>
        <w:ind w:left="3589" w:hanging="360"/>
      </w:pPr>
    </w:lvl>
    <w:lvl w:ilvl="4" w:tplc="84F087DA" w:tentative="1">
      <w:start w:val="1"/>
      <w:numFmt w:val="lowerLetter"/>
      <w:lvlText w:val="%5."/>
      <w:lvlJc w:val="left"/>
      <w:pPr>
        <w:ind w:left="4309" w:hanging="360"/>
      </w:pPr>
    </w:lvl>
    <w:lvl w:ilvl="5" w:tplc="3126072E" w:tentative="1">
      <w:start w:val="1"/>
      <w:numFmt w:val="lowerRoman"/>
      <w:lvlText w:val="%6."/>
      <w:lvlJc w:val="right"/>
      <w:pPr>
        <w:ind w:left="5029" w:hanging="180"/>
      </w:pPr>
    </w:lvl>
    <w:lvl w:ilvl="6" w:tplc="D12C459C" w:tentative="1">
      <w:start w:val="1"/>
      <w:numFmt w:val="decimal"/>
      <w:lvlText w:val="%7."/>
      <w:lvlJc w:val="left"/>
      <w:pPr>
        <w:ind w:left="5749" w:hanging="360"/>
      </w:pPr>
    </w:lvl>
    <w:lvl w:ilvl="7" w:tplc="F2625114" w:tentative="1">
      <w:start w:val="1"/>
      <w:numFmt w:val="lowerLetter"/>
      <w:lvlText w:val="%8."/>
      <w:lvlJc w:val="left"/>
      <w:pPr>
        <w:ind w:left="6469" w:hanging="360"/>
      </w:pPr>
    </w:lvl>
    <w:lvl w:ilvl="8" w:tplc="EB06F7AC" w:tentative="1">
      <w:start w:val="1"/>
      <w:numFmt w:val="lowerRoman"/>
      <w:lvlText w:val="%9."/>
      <w:lvlJc w:val="right"/>
      <w:pPr>
        <w:ind w:left="7189" w:hanging="180"/>
      </w:pPr>
    </w:lvl>
  </w:abstractNum>
  <w:abstractNum w:abstractNumId="47" w15:restartNumberingAfterBreak="0">
    <w:nsid w:val="130B3FE6"/>
    <w:multiLevelType w:val="multilevel"/>
    <w:tmpl w:val="B4186D24"/>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14DB3E65"/>
    <w:multiLevelType w:val="hybridMultilevel"/>
    <w:tmpl w:val="977AD096"/>
    <w:lvl w:ilvl="0" w:tplc="D3AC1290">
      <w:start w:val="1"/>
      <w:numFmt w:val="decimal"/>
      <w:lvlText w:val="10.%1."/>
      <w:lvlJc w:val="left"/>
      <w:pPr>
        <w:ind w:left="3567" w:hanging="360"/>
      </w:pPr>
      <w:rPr>
        <w:rFonts w:hint="default"/>
        <w:b w:val="0"/>
        <w:bCs w:val="0"/>
      </w:rPr>
    </w:lvl>
    <w:lvl w:ilvl="1" w:tplc="9CA4E6CC" w:tentative="1">
      <w:start w:val="1"/>
      <w:numFmt w:val="lowerLetter"/>
      <w:lvlText w:val="%2."/>
      <w:lvlJc w:val="left"/>
      <w:pPr>
        <w:ind w:left="1440" w:hanging="360"/>
      </w:pPr>
    </w:lvl>
    <w:lvl w:ilvl="2" w:tplc="ABDC99BA" w:tentative="1">
      <w:start w:val="1"/>
      <w:numFmt w:val="lowerRoman"/>
      <w:lvlText w:val="%3."/>
      <w:lvlJc w:val="right"/>
      <w:pPr>
        <w:ind w:left="2160" w:hanging="180"/>
      </w:pPr>
    </w:lvl>
    <w:lvl w:ilvl="3" w:tplc="181679BA" w:tentative="1">
      <w:start w:val="1"/>
      <w:numFmt w:val="decimal"/>
      <w:lvlText w:val="%4."/>
      <w:lvlJc w:val="left"/>
      <w:pPr>
        <w:ind w:left="2880" w:hanging="360"/>
      </w:pPr>
    </w:lvl>
    <w:lvl w:ilvl="4" w:tplc="43986F34" w:tentative="1">
      <w:start w:val="1"/>
      <w:numFmt w:val="lowerLetter"/>
      <w:lvlText w:val="%5."/>
      <w:lvlJc w:val="left"/>
      <w:pPr>
        <w:ind w:left="3600" w:hanging="360"/>
      </w:pPr>
    </w:lvl>
    <w:lvl w:ilvl="5" w:tplc="B6463194" w:tentative="1">
      <w:start w:val="1"/>
      <w:numFmt w:val="lowerRoman"/>
      <w:lvlText w:val="%6."/>
      <w:lvlJc w:val="right"/>
      <w:pPr>
        <w:ind w:left="4320" w:hanging="180"/>
      </w:pPr>
    </w:lvl>
    <w:lvl w:ilvl="6" w:tplc="81E249BA" w:tentative="1">
      <w:start w:val="1"/>
      <w:numFmt w:val="decimal"/>
      <w:lvlText w:val="%7."/>
      <w:lvlJc w:val="left"/>
      <w:pPr>
        <w:ind w:left="5040" w:hanging="360"/>
      </w:pPr>
    </w:lvl>
    <w:lvl w:ilvl="7" w:tplc="BB46F8F2" w:tentative="1">
      <w:start w:val="1"/>
      <w:numFmt w:val="lowerLetter"/>
      <w:lvlText w:val="%8."/>
      <w:lvlJc w:val="left"/>
      <w:pPr>
        <w:ind w:left="5760" w:hanging="360"/>
      </w:pPr>
    </w:lvl>
    <w:lvl w:ilvl="8" w:tplc="EF4015D2" w:tentative="1">
      <w:start w:val="1"/>
      <w:numFmt w:val="lowerRoman"/>
      <w:lvlText w:val="%9."/>
      <w:lvlJc w:val="right"/>
      <w:pPr>
        <w:ind w:left="6480" w:hanging="180"/>
      </w:pPr>
    </w:lvl>
  </w:abstractNum>
  <w:abstractNum w:abstractNumId="49" w15:restartNumberingAfterBreak="0">
    <w:nsid w:val="15516ED2"/>
    <w:multiLevelType w:val="multilevel"/>
    <w:tmpl w:val="643493D8"/>
    <w:lvl w:ilvl="0">
      <w:start w:val="4"/>
      <w:numFmt w:val="decimal"/>
      <w:lvlText w:val="%1"/>
      <w:lvlJc w:val="left"/>
      <w:pPr>
        <w:ind w:left="630" w:hanging="63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15615AF8"/>
    <w:multiLevelType w:val="hybridMultilevel"/>
    <w:tmpl w:val="4E044C0E"/>
    <w:lvl w:ilvl="0" w:tplc="6D58609A">
      <w:start w:val="1"/>
      <w:numFmt w:val="lowerLetter"/>
      <w:lvlText w:val="(%1)"/>
      <w:lvlJc w:val="left"/>
      <w:pPr>
        <w:ind w:left="720" w:hanging="360"/>
      </w:pPr>
      <w:rPr>
        <w:rFonts w:hint="default"/>
        <w:b w:val="0"/>
        <w:bCs w:val="0"/>
      </w:rPr>
    </w:lvl>
    <w:lvl w:ilvl="1" w:tplc="57629ECE" w:tentative="1">
      <w:start w:val="1"/>
      <w:numFmt w:val="lowerLetter"/>
      <w:lvlText w:val="%2."/>
      <w:lvlJc w:val="left"/>
      <w:pPr>
        <w:ind w:left="1440" w:hanging="360"/>
      </w:pPr>
    </w:lvl>
    <w:lvl w:ilvl="2" w:tplc="D9AAD902" w:tentative="1">
      <w:start w:val="1"/>
      <w:numFmt w:val="lowerRoman"/>
      <w:lvlText w:val="%3."/>
      <w:lvlJc w:val="right"/>
      <w:pPr>
        <w:ind w:left="2160" w:hanging="180"/>
      </w:pPr>
    </w:lvl>
    <w:lvl w:ilvl="3" w:tplc="A69639C0" w:tentative="1">
      <w:start w:val="1"/>
      <w:numFmt w:val="decimal"/>
      <w:lvlText w:val="%4."/>
      <w:lvlJc w:val="left"/>
      <w:pPr>
        <w:ind w:left="2880" w:hanging="360"/>
      </w:pPr>
    </w:lvl>
    <w:lvl w:ilvl="4" w:tplc="FF5E6AC2" w:tentative="1">
      <w:start w:val="1"/>
      <w:numFmt w:val="lowerLetter"/>
      <w:lvlText w:val="%5."/>
      <w:lvlJc w:val="left"/>
      <w:pPr>
        <w:ind w:left="3600" w:hanging="360"/>
      </w:pPr>
    </w:lvl>
    <w:lvl w:ilvl="5" w:tplc="2722C7C8" w:tentative="1">
      <w:start w:val="1"/>
      <w:numFmt w:val="lowerRoman"/>
      <w:lvlText w:val="%6."/>
      <w:lvlJc w:val="right"/>
      <w:pPr>
        <w:ind w:left="4320" w:hanging="180"/>
      </w:pPr>
    </w:lvl>
    <w:lvl w:ilvl="6" w:tplc="D870EC12" w:tentative="1">
      <w:start w:val="1"/>
      <w:numFmt w:val="decimal"/>
      <w:lvlText w:val="%7."/>
      <w:lvlJc w:val="left"/>
      <w:pPr>
        <w:ind w:left="5040" w:hanging="360"/>
      </w:pPr>
    </w:lvl>
    <w:lvl w:ilvl="7" w:tplc="223E15CA" w:tentative="1">
      <w:start w:val="1"/>
      <w:numFmt w:val="lowerLetter"/>
      <w:lvlText w:val="%8."/>
      <w:lvlJc w:val="left"/>
      <w:pPr>
        <w:ind w:left="5760" w:hanging="360"/>
      </w:pPr>
    </w:lvl>
    <w:lvl w:ilvl="8" w:tplc="65C82C96" w:tentative="1">
      <w:start w:val="1"/>
      <w:numFmt w:val="lowerRoman"/>
      <w:lvlText w:val="%9."/>
      <w:lvlJc w:val="right"/>
      <w:pPr>
        <w:ind w:left="6480" w:hanging="180"/>
      </w:pPr>
    </w:lvl>
  </w:abstractNum>
  <w:abstractNum w:abstractNumId="51" w15:restartNumberingAfterBreak="0">
    <w:nsid w:val="1740194C"/>
    <w:multiLevelType w:val="hybridMultilevel"/>
    <w:tmpl w:val="8C74DFEE"/>
    <w:lvl w:ilvl="0" w:tplc="BF90ACCE">
      <w:start w:val="1"/>
      <w:numFmt w:val="decimal"/>
      <w:lvlText w:val="6.7.%1."/>
      <w:lvlJc w:val="left"/>
      <w:pPr>
        <w:ind w:left="2858" w:hanging="360"/>
      </w:pPr>
      <w:rPr>
        <w:rFonts w:hint="default"/>
        <w:b w:val="0"/>
        <w:bCs w:val="0"/>
      </w:rPr>
    </w:lvl>
    <w:lvl w:ilvl="1" w:tplc="E1E4A144">
      <w:start w:val="1"/>
      <w:numFmt w:val="lowerLetter"/>
      <w:lvlText w:val="%2."/>
      <w:lvlJc w:val="left"/>
      <w:pPr>
        <w:ind w:left="1440" w:hanging="360"/>
      </w:pPr>
    </w:lvl>
    <w:lvl w:ilvl="2" w:tplc="5866C666">
      <w:start w:val="1"/>
      <w:numFmt w:val="lowerRoman"/>
      <w:lvlText w:val="%3."/>
      <w:lvlJc w:val="right"/>
      <w:pPr>
        <w:ind w:left="2160" w:hanging="180"/>
      </w:pPr>
    </w:lvl>
    <w:lvl w:ilvl="3" w:tplc="D2E2CBD2" w:tentative="1">
      <w:start w:val="1"/>
      <w:numFmt w:val="decimal"/>
      <w:lvlText w:val="%4."/>
      <w:lvlJc w:val="left"/>
      <w:pPr>
        <w:ind w:left="2880" w:hanging="360"/>
      </w:pPr>
    </w:lvl>
    <w:lvl w:ilvl="4" w:tplc="B72EED14" w:tentative="1">
      <w:start w:val="1"/>
      <w:numFmt w:val="lowerLetter"/>
      <w:lvlText w:val="%5."/>
      <w:lvlJc w:val="left"/>
      <w:pPr>
        <w:ind w:left="3600" w:hanging="360"/>
      </w:pPr>
    </w:lvl>
    <w:lvl w:ilvl="5" w:tplc="B7C47022" w:tentative="1">
      <w:start w:val="1"/>
      <w:numFmt w:val="lowerRoman"/>
      <w:lvlText w:val="%6."/>
      <w:lvlJc w:val="right"/>
      <w:pPr>
        <w:ind w:left="4320" w:hanging="180"/>
      </w:pPr>
    </w:lvl>
    <w:lvl w:ilvl="6" w:tplc="290048EA" w:tentative="1">
      <w:start w:val="1"/>
      <w:numFmt w:val="decimal"/>
      <w:lvlText w:val="%7."/>
      <w:lvlJc w:val="left"/>
      <w:pPr>
        <w:ind w:left="5040" w:hanging="360"/>
      </w:pPr>
    </w:lvl>
    <w:lvl w:ilvl="7" w:tplc="909C5014" w:tentative="1">
      <w:start w:val="1"/>
      <w:numFmt w:val="lowerLetter"/>
      <w:lvlText w:val="%8."/>
      <w:lvlJc w:val="left"/>
      <w:pPr>
        <w:ind w:left="5760" w:hanging="360"/>
      </w:pPr>
    </w:lvl>
    <w:lvl w:ilvl="8" w:tplc="6FA440D0" w:tentative="1">
      <w:start w:val="1"/>
      <w:numFmt w:val="lowerRoman"/>
      <w:lvlText w:val="%9."/>
      <w:lvlJc w:val="right"/>
      <w:pPr>
        <w:ind w:left="6480" w:hanging="180"/>
      </w:pPr>
    </w:lvl>
  </w:abstractNum>
  <w:abstractNum w:abstractNumId="52" w15:restartNumberingAfterBreak="0">
    <w:nsid w:val="174F639B"/>
    <w:multiLevelType w:val="hybridMultilevel"/>
    <w:tmpl w:val="3750861C"/>
    <w:lvl w:ilvl="0" w:tplc="FFFFFFFF">
      <w:start w:val="1"/>
      <w:numFmt w:val="lowerRoman"/>
      <w:lvlText w:val="(%1)"/>
      <w:lvlJc w:val="left"/>
      <w:pPr>
        <w:ind w:left="1086" w:hanging="812"/>
      </w:pPr>
      <w:rPr>
        <w:rFonts w:hint="default"/>
        <w:b w:val="0"/>
        <w:bCs w:val="0"/>
        <w:spacing w:val="-1"/>
        <w:w w:val="100"/>
        <w:lang w:val="pt-BR" w:eastAsia="en-US" w:bidi="ar-SA"/>
      </w:rPr>
    </w:lvl>
    <w:lvl w:ilvl="1" w:tplc="FFFFFFFF">
      <w:numFmt w:val="bullet"/>
      <w:lvlText w:val="•"/>
      <w:lvlJc w:val="left"/>
      <w:pPr>
        <w:ind w:left="2055" w:hanging="812"/>
      </w:pPr>
      <w:rPr>
        <w:rFonts w:hint="default"/>
        <w:lang w:val="pt-PT" w:eastAsia="en-US" w:bidi="ar-SA"/>
      </w:rPr>
    </w:lvl>
    <w:lvl w:ilvl="2" w:tplc="FFFFFFFF">
      <w:numFmt w:val="bullet"/>
      <w:lvlText w:val="•"/>
      <w:lvlJc w:val="left"/>
      <w:pPr>
        <w:ind w:left="3031" w:hanging="812"/>
      </w:pPr>
      <w:rPr>
        <w:rFonts w:hint="default"/>
        <w:lang w:val="pt-PT" w:eastAsia="en-US" w:bidi="ar-SA"/>
      </w:rPr>
    </w:lvl>
    <w:lvl w:ilvl="3" w:tplc="FFFFFFFF">
      <w:numFmt w:val="bullet"/>
      <w:lvlText w:val="•"/>
      <w:lvlJc w:val="left"/>
      <w:pPr>
        <w:ind w:left="4007" w:hanging="812"/>
      </w:pPr>
      <w:rPr>
        <w:rFonts w:hint="default"/>
        <w:lang w:val="pt-PT" w:eastAsia="en-US" w:bidi="ar-SA"/>
      </w:rPr>
    </w:lvl>
    <w:lvl w:ilvl="4" w:tplc="FFFFFFFF">
      <w:numFmt w:val="bullet"/>
      <w:lvlText w:val="•"/>
      <w:lvlJc w:val="left"/>
      <w:pPr>
        <w:ind w:left="4983" w:hanging="812"/>
      </w:pPr>
      <w:rPr>
        <w:rFonts w:hint="default"/>
        <w:lang w:val="pt-PT" w:eastAsia="en-US" w:bidi="ar-SA"/>
      </w:rPr>
    </w:lvl>
    <w:lvl w:ilvl="5" w:tplc="FFFFFFFF">
      <w:numFmt w:val="bullet"/>
      <w:lvlText w:val="•"/>
      <w:lvlJc w:val="left"/>
      <w:pPr>
        <w:ind w:left="5959" w:hanging="812"/>
      </w:pPr>
      <w:rPr>
        <w:rFonts w:hint="default"/>
        <w:lang w:val="pt-PT" w:eastAsia="en-US" w:bidi="ar-SA"/>
      </w:rPr>
    </w:lvl>
    <w:lvl w:ilvl="6" w:tplc="FFFFFFFF">
      <w:numFmt w:val="bullet"/>
      <w:lvlText w:val="•"/>
      <w:lvlJc w:val="left"/>
      <w:pPr>
        <w:ind w:left="6935" w:hanging="812"/>
      </w:pPr>
      <w:rPr>
        <w:rFonts w:hint="default"/>
        <w:lang w:val="pt-PT" w:eastAsia="en-US" w:bidi="ar-SA"/>
      </w:rPr>
    </w:lvl>
    <w:lvl w:ilvl="7" w:tplc="FFFFFFFF">
      <w:numFmt w:val="bullet"/>
      <w:lvlText w:val="•"/>
      <w:lvlJc w:val="left"/>
      <w:pPr>
        <w:ind w:left="7911" w:hanging="812"/>
      </w:pPr>
      <w:rPr>
        <w:rFonts w:hint="default"/>
        <w:lang w:val="pt-PT" w:eastAsia="en-US" w:bidi="ar-SA"/>
      </w:rPr>
    </w:lvl>
    <w:lvl w:ilvl="8" w:tplc="FFFFFFFF">
      <w:numFmt w:val="bullet"/>
      <w:lvlText w:val="•"/>
      <w:lvlJc w:val="left"/>
      <w:pPr>
        <w:ind w:left="8887" w:hanging="812"/>
      </w:pPr>
      <w:rPr>
        <w:rFonts w:hint="default"/>
        <w:lang w:val="pt-PT" w:eastAsia="en-US" w:bidi="ar-SA"/>
      </w:rPr>
    </w:lvl>
  </w:abstractNum>
  <w:abstractNum w:abstractNumId="53" w15:restartNumberingAfterBreak="0">
    <w:nsid w:val="1A38035C"/>
    <w:multiLevelType w:val="multilevel"/>
    <w:tmpl w:val="1220DA46"/>
    <w:lvl w:ilvl="0">
      <w:start w:val="4"/>
      <w:numFmt w:val="decimal"/>
      <w:lvlText w:val="%1"/>
      <w:lvlJc w:val="left"/>
      <w:pPr>
        <w:ind w:left="630" w:hanging="630"/>
      </w:pPr>
      <w:rPr>
        <w:rFonts w:hint="default"/>
        <w:b w:val="0"/>
      </w:rPr>
    </w:lvl>
    <w:lvl w:ilvl="1">
      <w:start w:val="1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54" w15:restartNumberingAfterBreak="0">
    <w:nsid w:val="1B1F2540"/>
    <w:multiLevelType w:val="hybridMultilevel"/>
    <w:tmpl w:val="3F20FE02"/>
    <w:lvl w:ilvl="0" w:tplc="DC22C3EC">
      <w:start w:val="1"/>
      <w:numFmt w:val="decimal"/>
      <w:lvlText w:val="3.1.%1."/>
      <w:lvlJc w:val="left"/>
      <w:pPr>
        <w:ind w:left="720" w:hanging="360"/>
      </w:pPr>
      <w:rPr>
        <w:rFonts w:hint="default"/>
        <w:b w:val="0"/>
        <w:bCs/>
      </w:rPr>
    </w:lvl>
    <w:lvl w:ilvl="1" w:tplc="B0FC26BA" w:tentative="1">
      <w:start w:val="1"/>
      <w:numFmt w:val="lowerLetter"/>
      <w:lvlText w:val="%2."/>
      <w:lvlJc w:val="left"/>
      <w:pPr>
        <w:ind w:left="1440" w:hanging="360"/>
      </w:pPr>
    </w:lvl>
    <w:lvl w:ilvl="2" w:tplc="3272CC88" w:tentative="1">
      <w:start w:val="1"/>
      <w:numFmt w:val="lowerRoman"/>
      <w:lvlText w:val="%3."/>
      <w:lvlJc w:val="right"/>
      <w:pPr>
        <w:ind w:left="2160" w:hanging="180"/>
      </w:pPr>
    </w:lvl>
    <w:lvl w:ilvl="3" w:tplc="35821322" w:tentative="1">
      <w:start w:val="1"/>
      <w:numFmt w:val="decimal"/>
      <w:lvlText w:val="%4."/>
      <w:lvlJc w:val="left"/>
      <w:pPr>
        <w:ind w:left="2880" w:hanging="360"/>
      </w:pPr>
    </w:lvl>
    <w:lvl w:ilvl="4" w:tplc="4D72A3EE" w:tentative="1">
      <w:start w:val="1"/>
      <w:numFmt w:val="lowerLetter"/>
      <w:lvlText w:val="%5."/>
      <w:lvlJc w:val="left"/>
      <w:pPr>
        <w:ind w:left="3600" w:hanging="360"/>
      </w:pPr>
    </w:lvl>
    <w:lvl w:ilvl="5" w:tplc="4C18C8D0" w:tentative="1">
      <w:start w:val="1"/>
      <w:numFmt w:val="lowerRoman"/>
      <w:lvlText w:val="%6."/>
      <w:lvlJc w:val="right"/>
      <w:pPr>
        <w:ind w:left="4320" w:hanging="180"/>
      </w:pPr>
    </w:lvl>
    <w:lvl w:ilvl="6" w:tplc="7584C12E" w:tentative="1">
      <w:start w:val="1"/>
      <w:numFmt w:val="decimal"/>
      <w:lvlText w:val="%7."/>
      <w:lvlJc w:val="left"/>
      <w:pPr>
        <w:ind w:left="5040" w:hanging="360"/>
      </w:pPr>
    </w:lvl>
    <w:lvl w:ilvl="7" w:tplc="854AE49A" w:tentative="1">
      <w:start w:val="1"/>
      <w:numFmt w:val="lowerLetter"/>
      <w:lvlText w:val="%8."/>
      <w:lvlJc w:val="left"/>
      <w:pPr>
        <w:ind w:left="5760" w:hanging="360"/>
      </w:pPr>
    </w:lvl>
    <w:lvl w:ilvl="8" w:tplc="83FA7790" w:tentative="1">
      <w:start w:val="1"/>
      <w:numFmt w:val="lowerRoman"/>
      <w:lvlText w:val="%9."/>
      <w:lvlJc w:val="right"/>
      <w:pPr>
        <w:ind w:left="6480" w:hanging="180"/>
      </w:pPr>
    </w:lvl>
  </w:abstractNum>
  <w:abstractNum w:abstractNumId="55" w15:restartNumberingAfterBreak="0">
    <w:nsid w:val="1B3333A6"/>
    <w:multiLevelType w:val="multilevel"/>
    <w:tmpl w:val="3E4C32A6"/>
    <w:lvl w:ilvl="0">
      <w:start w:val="1"/>
      <w:numFmt w:val="decimal"/>
      <w:lvlText w:val="%1"/>
      <w:lvlJc w:val="left"/>
      <w:pPr>
        <w:ind w:left="480" w:hanging="480"/>
      </w:pPr>
      <w:rPr>
        <w:rFonts w:hint="default"/>
        <w:b w:val="0"/>
      </w:rPr>
    </w:lvl>
    <w:lvl w:ilvl="1">
      <w:start w:val="2"/>
      <w:numFmt w:val="decimal"/>
      <w:lvlText w:val="%1.%2"/>
      <w:lvlJc w:val="left"/>
      <w:pPr>
        <w:ind w:left="720" w:hanging="480"/>
      </w:pPr>
      <w:rPr>
        <w:rFonts w:hint="default"/>
        <w:b w:val="0"/>
      </w:rPr>
    </w:lvl>
    <w:lvl w:ilvl="2">
      <w:start w:val="1"/>
      <w:numFmt w:val="decimal"/>
      <w:lvlText w:val="%1.%2.%3"/>
      <w:lvlJc w:val="left"/>
      <w:pPr>
        <w:ind w:left="1200" w:hanging="720"/>
      </w:pPr>
      <w:rPr>
        <w:rFonts w:hint="default"/>
        <w:b w:val="0"/>
      </w:rPr>
    </w:lvl>
    <w:lvl w:ilvl="3">
      <w:start w:val="1"/>
      <w:numFmt w:val="decimal"/>
      <w:lvlText w:val="%1.%2.%3.%4"/>
      <w:lvlJc w:val="left"/>
      <w:pPr>
        <w:ind w:left="1440" w:hanging="720"/>
      </w:pPr>
      <w:rPr>
        <w:rFonts w:hint="default"/>
        <w:b w:val="0"/>
      </w:rPr>
    </w:lvl>
    <w:lvl w:ilvl="4">
      <w:start w:val="1"/>
      <w:numFmt w:val="decimal"/>
      <w:lvlText w:val="%1.%2.%3.%4.%5"/>
      <w:lvlJc w:val="left"/>
      <w:pPr>
        <w:ind w:left="2040" w:hanging="1080"/>
      </w:pPr>
      <w:rPr>
        <w:rFonts w:hint="default"/>
        <w:b w:val="0"/>
      </w:rPr>
    </w:lvl>
    <w:lvl w:ilvl="5">
      <w:start w:val="1"/>
      <w:numFmt w:val="decimal"/>
      <w:lvlText w:val="%1.%2.%3.%4.%5.%6"/>
      <w:lvlJc w:val="left"/>
      <w:pPr>
        <w:ind w:left="2280" w:hanging="1080"/>
      </w:pPr>
      <w:rPr>
        <w:rFonts w:hint="default"/>
        <w:b w:val="0"/>
      </w:rPr>
    </w:lvl>
    <w:lvl w:ilvl="6">
      <w:start w:val="1"/>
      <w:numFmt w:val="decimal"/>
      <w:lvlText w:val="%1.%2.%3.%4.%5.%6.%7"/>
      <w:lvlJc w:val="left"/>
      <w:pPr>
        <w:ind w:left="2880" w:hanging="1440"/>
      </w:pPr>
      <w:rPr>
        <w:rFonts w:hint="default"/>
        <w:b w:val="0"/>
      </w:rPr>
    </w:lvl>
    <w:lvl w:ilvl="7">
      <w:start w:val="1"/>
      <w:numFmt w:val="decimal"/>
      <w:lvlText w:val="%1.%2.%3.%4.%5.%6.%7.%8"/>
      <w:lvlJc w:val="left"/>
      <w:pPr>
        <w:ind w:left="3120" w:hanging="1440"/>
      </w:pPr>
      <w:rPr>
        <w:rFonts w:hint="default"/>
        <w:b w:val="0"/>
      </w:rPr>
    </w:lvl>
    <w:lvl w:ilvl="8">
      <w:start w:val="1"/>
      <w:numFmt w:val="decimal"/>
      <w:lvlText w:val="%1.%2.%3.%4.%5.%6.%7.%8.%9"/>
      <w:lvlJc w:val="left"/>
      <w:pPr>
        <w:ind w:left="3360" w:hanging="1440"/>
      </w:pPr>
      <w:rPr>
        <w:rFonts w:hint="default"/>
        <w:b w:val="0"/>
      </w:rPr>
    </w:lvl>
  </w:abstractNum>
  <w:abstractNum w:abstractNumId="56" w15:restartNumberingAfterBreak="0">
    <w:nsid w:val="1B5D7C1B"/>
    <w:multiLevelType w:val="hybridMultilevel"/>
    <w:tmpl w:val="3ADC9B16"/>
    <w:lvl w:ilvl="0" w:tplc="93943884">
      <w:start w:val="1"/>
      <w:numFmt w:val="decimal"/>
      <w:lvlText w:val="3.%1."/>
      <w:lvlJc w:val="left"/>
      <w:pPr>
        <w:ind w:left="720" w:hanging="360"/>
      </w:pPr>
      <w:rPr>
        <w:rFonts w:hint="default"/>
        <w:b/>
      </w:rPr>
    </w:lvl>
    <w:lvl w:ilvl="1" w:tplc="8384F4A0" w:tentative="1">
      <w:start w:val="1"/>
      <w:numFmt w:val="lowerLetter"/>
      <w:lvlText w:val="%2."/>
      <w:lvlJc w:val="left"/>
      <w:pPr>
        <w:ind w:left="1440" w:hanging="360"/>
      </w:pPr>
    </w:lvl>
    <w:lvl w:ilvl="2" w:tplc="48ECECB2" w:tentative="1">
      <w:start w:val="1"/>
      <w:numFmt w:val="lowerRoman"/>
      <w:lvlText w:val="%3."/>
      <w:lvlJc w:val="right"/>
      <w:pPr>
        <w:ind w:left="2160" w:hanging="180"/>
      </w:pPr>
    </w:lvl>
    <w:lvl w:ilvl="3" w:tplc="20EC71FC" w:tentative="1">
      <w:start w:val="1"/>
      <w:numFmt w:val="decimal"/>
      <w:lvlText w:val="%4."/>
      <w:lvlJc w:val="left"/>
      <w:pPr>
        <w:ind w:left="2880" w:hanging="360"/>
      </w:pPr>
    </w:lvl>
    <w:lvl w:ilvl="4" w:tplc="672EDDEA" w:tentative="1">
      <w:start w:val="1"/>
      <w:numFmt w:val="lowerLetter"/>
      <w:lvlText w:val="%5."/>
      <w:lvlJc w:val="left"/>
      <w:pPr>
        <w:ind w:left="3600" w:hanging="360"/>
      </w:pPr>
    </w:lvl>
    <w:lvl w:ilvl="5" w:tplc="1EA06B34" w:tentative="1">
      <w:start w:val="1"/>
      <w:numFmt w:val="lowerRoman"/>
      <w:lvlText w:val="%6."/>
      <w:lvlJc w:val="right"/>
      <w:pPr>
        <w:ind w:left="4320" w:hanging="180"/>
      </w:pPr>
    </w:lvl>
    <w:lvl w:ilvl="6" w:tplc="0406C23C" w:tentative="1">
      <w:start w:val="1"/>
      <w:numFmt w:val="decimal"/>
      <w:lvlText w:val="%7."/>
      <w:lvlJc w:val="left"/>
      <w:pPr>
        <w:ind w:left="5040" w:hanging="360"/>
      </w:pPr>
    </w:lvl>
    <w:lvl w:ilvl="7" w:tplc="13725DD0" w:tentative="1">
      <w:start w:val="1"/>
      <w:numFmt w:val="lowerLetter"/>
      <w:lvlText w:val="%8."/>
      <w:lvlJc w:val="left"/>
      <w:pPr>
        <w:ind w:left="5760" w:hanging="360"/>
      </w:pPr>
    </w:lvl>
    <w:lvl w:ilvl="8" w:tplc="805240B4" w:tentative="1">
      <w:start w:val="1"/>
      <w:numFmt w:val="lowerRoman"/>
      <w:lvlText w:val="%9."/>
      <w:lvlJc w:val="right"/>
      <w:pPr>
        <w:ind w:left="6480" w:hanging="180"/>
      </w:pPr>
    </w:lvl>
  </w:abstractNum>
  <w:abstractNum w:abstractNumId="57" w15:restartNumberingAfterBreak="0">
    <w:nsid w:val="1BC51030"/>
    <w:multiLevelType w:val="multilevel"/>
    <w:tmpl w:val="7BD2CC52"/>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1C3C5B8D"/>
    <w:multiLevelType w:val="multilevel"/>
    <w:tmpl w:val="EFC4E4A8"/>
    <w:lvl w:ilvl="0">
      <w:start w:val="9"/>
      <w:numFmt w:val="decimal"/>
      <w:lvlText w:val="%1"/>
      <w:lvlJc w:val="left"/>
      <w:pPr>
        <w:ind w:left="510" w:hanging="51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59" w15:restartNumberingAfterBreak="0">
    <w:nsid w:val="1EBC42A4"/>
    <w:multiLevelType w:val="multilevel"/>
    <w:tmpl w:val="B85413A0"/>
    <w:lvl w:ilvl="0">
      <w:start w:val="4"/>
      <w:numFmt w:val="decimal"/>
      <w:lvlText w:val="%1"/>
      <w:lvlJc w:val="left"/>
      <w:pPr>
        <w:ind w:left="630" w:hanging="630"/>
      </w:pPr>
      <w:rPr>
        <w:rFonts w:eastAsia="Times New Roman" w:hint="default"/>
        <w:b w:val="0"/>
      </w:rPr>
    </w:lvl>
    <w:lvl w:ilvl="1">
      <w:start w:val="17"/>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440" w:hanging="144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2160" w:hanging="216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60" w15:restartNumberingAfterBreak="0">
    <w:nsid w:val="1EED31D2"/>
    <w:multiLevelType w:val="hybridMultilevel"/>
    <w:tmpl w:val="67A82F8E"/>
    <w:lvl w:ilvl="0" w:tplc="05026F18">
      <w:start w:val="1"/>
      <w:numFmt w:val="lowerRoman"/>
      <w:lvlText w:val="(%1)"/>
      <w:lvlJc w:val="left"/>
      <w:pPr>
        <w:ind w:left="1429" w:hanging="720"/>
      </w:pPr>
      <w:rPr>
        <w:rFonts w:ascii="Verdana" w:hAnsi="Verdana" w:hint="default"/>
        <w:b w:val="0"/>
        <w:bCs/>
        <w:sz w:val="20"/>
        <w:szCs w:val="20"/>
      </w:rPr>
    </w:lvl>
    <w:lvl w:ilvl="1" w:tplc="80024784">
      <w:start w:val="1"/>
      <w:numFmt w:val="lowerLetter"/>
      <w:lvlText w:val="(%2)"/>
      <w:lvlJc w:val="left"/>
      <w:pPr>
        <w:ind w:left="2149" w:hanging="360"/>
      </w:pPr>
      <w:rPr>
        <w:rFonts w:hint="default"/>
        <w:b w:val="0"/>
        <w:bCs w:val="0"/>
      </w:rPr>
    </w:lvl>
    <w:lvl w:ilvl="2" w:tplc="070A7B9E" w:tentative="1">
      <w:start w:val="1"/>
      <w:numFmt w:val="lowerRoman"/>
      <w:lvlText w:val="%3."/>
      <w:lvlJc w:val="right"/>
      <w:pPr>
        <w:ind w:left="2869" w:hanging="180"/>
      </w:pPr>
    </w:lvl>
    <w:lvl w:ilvl="3" w:tplc="FB50E2E8">
      <w:start w:val="1"/>
      <w:numFmt w:val="decimal"/>
      <w:lvlText w:val="%4."/>
      <w:lvlJc w:val="left"/>
      <w:pPr>
        <w:ind w:left="3589" w:hanging="360"/>
      </w:pPr>
    </w:lvl>
    <w:lvl w:ilvl="4" w:tplc="9214946C" w:tentative="1">
      <w:start w:val="1"/>
      <w:numFmt w:val="lowerLetter"/>
      <w:lvlText w:val="%5."/>
      <w:lvlJc w:val="left"/>
      <w:pPr>
        <w:ind w:left="4309" w:hanging="360"/>
      </w:pPr>
    </w:lvl>
    <w:lvl w:ilvl="5" w:tplc="5C0EE636" w:tentative="1">
      <w:start w:val="1"/>
      <w:numFmt w:val="lowerRoman"/>
      <w:lvlText w:val="%6."/>
      <w:lvlJc w:val="right"/>
      <w:pPr>
        <w:ind w:left="5029" w:hanging="180"/>
      </w:pPr>
    </w:lvl>
    <w:lvl w:ilvl="6" w:tplc="30C08A10" w:tentative="1">
      <w:start w:val="1"/>
      <w:numFmt w:val="decimal"/>
      <w:lvlText w:val="%7."/>
      <w:lvlJc w:val="left"/>
      <w:pPr>
        <w:ind w:left="5749" w:hanging="360"/>
      </w:pPr>
    </w:lvl>
    <w:lvl w:ilvl="7" w:tplc="EA08ED26" w:tentative="1">
      <w:start w:val="1"/>
      <w:numFmt w:val="lowerLetter"/>
      <w:lvlText w:val="%8."/>
      <w:lvlJc w:val="left"/>
      <w:pPr>
        <w:ind w:left="6469" w:hanging="360"/>
      </w:pPr>
    </w:lvl>
    <w:lvl w:ilvl="8" w:tplc="566ABB12" w:tentative="1">
      <w:start w:val="1"/>
      <w:numFmt w:val="lowerRoman"/>
      <w:lvlText w:val="%9."/>
      <w:lvlJc w:val="right"/>
      <w:pPr>
        <w:ind w:left="7189" w:hanging="180"/>
      </w:pPr>
    </w:lvl>
  </w:abstractNum>
  <w:abstractNum w:abstractNumId="61" w15:restartNumberingAfterBreak="0">
    <w:nsid w:val="204362E2"/>
    <w:multiLevelType w:val="multilevel"/>
    <w:tmpl w:val="E24283C0"/>
    <w:lvl w:ilvl="0">
      <w:start w:val="8"/>
      <w:numFmt w:val="decimal"/>
      <w:suff w:val="space"/>
      <w:lvlText w:val="CLÁUSULA %1 -"/>
      <w:lvlJc w:val="center"/>
      <w:pPr>
        <w:ind w:left="357" w:hanging="69"/>
      </w:pPr>
      <w:rPr>
        <w:rFonts w:ascii="Tahoma" w:hAnsi="Tahoma" w:hint="default"/>
        <w:b/>
        <w:i w:val="0"/>
        <w:sz w:val="22"/>
      </w:rPr>
    </w:lvl>
    <w:lvl w:ilvl="1">
      <w:start w:val="1"/>
      <w:numFmt w:val="decimal"/>
      <w:lvlText w:val="%1.%2."/>
      <w:lvlJc w:val="left"/>
      <w:pPr>
        <w:ind w:left="680" w:hanging="680"/>
      </w:pPr>
      <w:rPr>
        <w:rFonts w:ascii="Tahoma" w:hAnsi="Tahoma" w:hint="default"/>
        <w:b w:val="0"/>
        <w:i w:val="0"/>
        <w:sz w:val="22"/>
      </w:rPr>
    </w:lvl>
    <w:lvl w:ilvl="2">
      <w:start w:val="1"/>
      <w:numFmt w:val="decimal"/>
      <w:lvlText w:val="%1.%2.%3."/>
      <w:lvlJc w:val="left"/>
      <w:pPr>
        <w:tabs>
          <w:tab w:val="num" w:pos="851"/>
        </w:tabs>
        <w:ind w:left="0" w:firstLine="0"/>
      </w:pPr>
      <w:rPr>
        <w:rFonts w:ascii="Tahoma" w:hAnsi="Tahoma" w:hint="default"/>
        <w:b w:val="0"/>
        <w:i w:val="0"/>
        <w:sz w:val="22"/>
      </w:rPr>
    </w:lvl>
    <w:lvl w:ilvl="3">
      <w:start w:val="1"/>
      <w:numFmt w:val="lowerLetter"/>
      <w:lvlText w:val="(%4)"/>
      <w:lvlJc w:val="left"/>
      <w:pPr>
        <w:ind w:left="709" w:hanging="709"/>
      </w:pPr>
      <w:rPr>
        <w:rFonts w:ascii="Tahoma" w:hAnsi="Tahoma" w:hint="default"/>
        <w:b w:val="0"/>
        <w:i w:val="0"/>
        <w:sz w:val="22"/>
      </w:rPr>
    </w:lvl>
    <w:lvl w:ilvl="4">
      <w:start w:val="1"/>
      <w:numFmt w:val="decimal"/>
      <w:suff w:val="space"/>
      <w:lvlText w:val="%1.%2.%3.%5."/>
      <w:lvlJc w:val="left"/>
      <w:pPr>
        <w:ind w:left="0" w:firstLine="0"/>
      </w:pPr>
      <w:rPr>
        <w:rFonts w:ascii="Tahoma" w:hAnsi="Tahoma" w:hint="default"/>
        <w:b w:val="0"/>
        <w:i w:val="0"/>
        <w:sz w:val="22"/>
      </w:rPr>
    </w:lvl>
    <w:lvl w:ilvl="5">
      <w:start w:val="1"/>
      <w:numFmt w:val="lowerRoman"/>
      <w:lvlText w:val="(%6)"/>
      <w:lvlJc w:val="left"/>
      <w:pPr>
        <w:ind w:left="680" w:hanging="680"/>
      </w:pPr>
      <w:rPr>
        <w:rFonts w:ascii="Verdana" w:hAnsi="Verdana" w:hint="default"/>
        <w:b w:val="0"/>
        <w:i w:val="0"/>
        <w:sz w:val="20"/>
        <w:szCs w:val="20"/>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62" w15:restartNumberingAfterBreak="0">
    <w:nsid w:val="21516B06"/>
    <w:multiLevelType w:val="hybridMultilevel"/>
    <w:tmpl w:val="9F80A08E"/>
    <w:lvl w:ilvl="0" w:tplc="1870C512">
      <w:start w:val="2"/>
      <w:numFmt w:val="lowerLetter"/>
      <w:lvlText w:val="(%1)"/>
      <w:lvlJc w:val="left"/>
      <w:pPr>
        <w:ind w:left="360" w:hanging="360"/>
      </w:pPr>
      <w:rPr>
        <w:rFonts w:hint="default"/>
      </w:rPr>
    </w:lvl>
    <w:lvl w:ilvl="1" w:tplc="B71AEBC0" w:tentative="1">
      <w:start w:val="1"/>
      <w:numFmt w:val="lowerLetter"/>
      <w:lvlText w:val="%2."/>
      <w:lvlJc w:val="left"/>
      <w:pPr>
        <w:ind w:left="1080" w:hanging="360"/>
      </w:pPr>
    </w:lvl>
    <w:lvl w:ilvl="2" w:tplc="EDD47BCE" w:tentative="1">
      <w:start w:val="1"/>
      <w:numFmt w:val="lowerRoman"/>
      <w:lvlText w:val="%3."/>
      <w:lvlJc w:val="right"/>
      <w:pPr>
        <w:ind w:left="1800" w:hanging="180"/>
      </w:pPr>
    </w:lvl>
    <w:lvl w:ilvl="3" w:tplc="EAB4BDF8" w:tentative="1">
      <w:start w:val="1"/>
      <w:numFmt w:val="decimal"/>
      <w:lvlText w:val="%4."/>
      <w:lvlJc w:val="left"/>
      <w:pPr>
        <w:ind w:left="2520" w:hanging="360"/>
      </w:pPr>
    </w:lvl>
    <w:lvl w:ilvl="4" w:tplc="5AD075E6" w:tentative="1">
      <w:start w:val="1"/>
      <w:numFmt w:val="lowerLetter"/>
      <w:lvlText w:val="%5."/>
      <w:lvlJc w:val="left"/>
      <w:pPr>
        <w:ind w:left="3240" w:hanging="360"/>
      </w:pPr>
    </w:lvl>
    <w:lvl w:ilvl="5" w:tplc="9C588D36" w:tentative="1">
      <w:start w:val="1"/>
      <w:numFmt w:val="lowerRoman"/>
      <w:lvlText w:val="%6."/>
      <w:lvlJc w:val="right"/>
      <w:pPr>
        <w:ind w:left="3960" w:hanging="180"/>
      </w:pPr>
    </w:lvl>
    <w:lvl w:ilvl="6" w:tplc="DC8456F4" w:tentative="1">
      <w:start w:val="1"/>
      <w:numFmt w:val="decimal"/>
      <w:lvlText w:val="%7."/>
      <w:lvlJc w:val="left"/>
      <w:pPr>
        <w:ind w:left="4680" w:hanging="360"/>
      </w:pPr>
    </w:lvl>
    <w:lvl w:ilvl="7" w:tplc="6720D652" w:tentative="1">
      <w:start w:val="1"/>
      <w:numFmt w:val="lowerLetter"/>
      <w:lvlText w:val="%8."/>
      <w:lvlJc w:val="left"/>
      <w:pPr>
        <w:ind w:left="5400" w:hanging="360"/>
      </w:pPr>
    </w:lvl>
    <w:lvl w:ilvl="8" w:tplc="9FF62192" w:tentative="1">
      <w:start w:val="1"/>
      <w:numFmt w:val="lowerRoman"/>
      <w:lvlText w:val="%9."/>
      <w:lvlJc w:val="right"/>
      <w:pPr>
        <w:ind w:left="6120" w:hanging="180"/>
      </w:pPr>
    </w:lvl>
  </w:abstractNum>
  <w:abstractNum w:abstractNumId="63" w15:restartNumberingAfterBreak="0">
    <w:nsid w:val="218177F3"/>
    <w:multiLevelType w:val="hybridMultilevel"/>
    <w:tmpl w:val="1152E4B2"/>
    <w:lvl w:ilvl="0" w:tplc="17906478">
      <w:start w:val="1"/>
      <w:numFmt w:val="lowerRoman"/>
      <w:lvlText w:val="(%1)"/>
      <w:lvlJc w:val="left"/>
      <w:pPr>
        <w:ind w:left="720" w:hanging="360"/>
      </w:pPr>
      <w:rPr>
        <w:rFonts w:ascii="Verdana" w:hAnsi="Verdana" w:hint="default"/>
      </w:rPr>
    </w:lvl>
    <w:lvl w:ilvl="1" w:tplc="B96E5F2E" w:tentative="1">
      <w:start w:val="1"/>
      <w:numFmt w:val="lowerLetter"/>
      <w:lvlText w:val="%2."/>
      <w:lvlJc w:val="left"/>
      <w:pPr>
        <w:ind w:left="1440" w:hanging="360"/>
      </w:pPr>
    </w:lvl>
    <w:lvl w:ilvl="2" w:tplc="F3B4068A" w:tentative="1">
      <w:start w:val="1"/>
      <w:numFmt w:val="lowerRoman"/>
      <w:lvlText w:val="%3."/>
      <w:lvlJc w:val="right"/>
      <w:pPr>
        <w:ind w:left="2160" w:hanging="180"/>
      </w:pPr>
    </w:lvl>
    <w:lvl w:ilvl="3" w:tplc="27B6C258" w:tentative="1">
      <w:start w:val="1"/>
      <w:numFmt w:val="decimal"/>
      <w:lvlText w:val="%4."/>
      <w:lvlJc w:val="left"/>
      <w:pPr>
        <w:ind w:left="2880" w:hanging="360"/>
      </w:pPr>
    </w:lvl>
    <w:lvl w:ilvl="4" w:tplc="3F503EC8" w:tentative="1">
      <w:start w:val="1"/>
      <w:numFmt w:val="lowerLetter"/>
      <w:lvlText w:val="%5."/>
      <w:lvlJc w:val="left"/>
      <w:pPr>
        <w:ind w:left="3600" w:hanging="360"/>
      </w:pPr>
    </w:lvl>
    <w:lvl w:ilvl="5" w:tplc="D8720584" w:tentative="1">
      <w:start w:val="1"/>
      <w:numFmt w:val="lowerRoman"/>
      <w:lvlText w:val="%6."/>
      <w:lvlJc w:val="right"/>
      <w:pPr>
        <w:ind w:left="4320" w:hanging="180"/>
      </w:pPr>
    </w:lvl>
    <w:lvl w:ilvl="6" w:tplc="149A94F6" w:tentative="1">
      <w:start w:val="1"/>
      <w:numFmt w:val="decimal"/>
      <w:lvlText w:val="%7."/>
      <w:lvlJc w:val="left"/>
      <w:pPr>
        <w:ind w:left="5040" w:hanging="360"/>
      </w:pPr>
    </w:lvl>
    <w:lvl w:ilvl="7" w:tplc="42A2D006" w:tentative="1">
      <w:start w:val="1"/>
      <w:numFmt w:val="lowerLetter"/>
      <w:lvlText w:val="%8."/>
      <w:lvlJc w:val="left"/>
      <w:pPr>
        <w:ind w:left="5760" w:hanging="360"/>
      </w:pPr>
    </w:lvl>
    <w:lvl w:ilvl="8" w:tplc="F114480C" w:tentative="1">
      <w:start w:val="1"/>
      <w:numFmt w:val="lowerRoman"/>
      <w:lvlText w:val="%9."/>
      <w:lvlJc w:val="right"/>
      <w:pPr>
        <w:ind w:left="6480" w:hanging="180"/>
      </w:pPr>
    </w:lvl>
  </w:abstractNum>
  <w:abstractNum w:abstractNumId="64" w15:restartNumberingAfterBreak="0">
    <w:nsid w:val="21922235"/>
    <w:multiLevelType w:val="hybridMultilevel"/>
    <w:tmpl w:val="AFF61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5" w15:restartNumberingAfterBreak="0">
    <w:nsid w:val="228C098A"/>
    <w:multiLevelType w:val="hybridMultilevel"/>
    <w:tmpl w:val="7F84542C"/>
    <w:lvl w:ilvl="0" w:tplc="93DAA18E">
      <w:start w:val="4"/>
      <w:numFmt w:val="decimal"/>
      <w:lvlText w:val="(%1)"/>
      <w:lvlJc w:val="left"/>
      <w:pPr>
        <w:ind w:left="1778" w:hanging="1069"/>
      </w:pPr>
      <w:rPr>
        <w:rFonts w:hint="default"/>
      </w:rPr>
    </w:lvl>
    <w:lvl w:ilvl="1" w:tplc="4A203686" w:tentative="1">
      <w:start w:val="1"/>
      <w:numFmt w:val="lowerLetter"/>
      <w:lvlText w:val="%2."/>
      <w:lvlJc w:val="left"/>
      <w:pPr>
        <w:ind w:left="1789" w:hanging="360"/>
      </w:pPr>
    </w:lvl>
    <w:lvl w:ilvl="2" w:tplc="4536A676" w:tentative="1">
      <w:start w:val="1"/>
      <w:numFmt w:val="lowerRoman"/>
      <w:lvlText w:val="%3."/>
      <w:lvlJc w:val="right"/>
      <w:pPr>
        <w:ind w:left="2509" w:hanging="180"/>
      </w:pPr>
    </w:lvl>
    <w:lvl w:ilvl="3" w:tplc="75F80AAC" w:tentative="1">
      <w:start w:val="1"/>
      <w:numFmt w:val="decimal"/>
      <w:lvlText w:val="%4."/>
      <w:lvlJc w:val="left"/>
      <w:pPr>
        <w:ind w:left="3229" w:hanging="360"/>
      </w:pPr>
    </w:lvl>
    <w:lvl w:ilvl="4" w:tplc="BEB84838" w:tentative="1">
      <w:start w:val="1"/>
      <w:numFmt w:val="lowerLetter"/>
      <w:lvlText w:val="%5."/>
      <w:lvlJc w:val="left"/>
      <w:pPr>
        <w:ind w:left="3949" w:hanging="360"/>
      </w:pPr>
    </w:lvl>
    <w:lvl w:ilvl="5" w:tplc="E81AF490" w:tentative="1">
      <w:start w:val="1"/>
      <w:numFmt w:val="lowerRoman"/>
      <w:lvlText w:val="%6."/>
      <w:lvlJc w:val="right"/>
      <w:pPr>
        <w:ind w:left="4669" w:hanging="180"/>
      </w:pPr>
    </w:lvl>
    <w:lvl w:ilvl="6" w:tplc="DBF8736A" w:tentative="1">
      <w:start w:val="1"/>
      <w:numFmt w:val="decimal"/>
      <w:lvlText w:val="%7."/>
      <w:lvlJc w:val="left"/>
      <w:pPr>
        <w:ind w:left="5389" w:hanging="360"/>
      </w:pPr>
    </w:lvl>
    <w:lvl w:ilvl="7" w:tplc="2CD2DAD4" w:tentative="1">
      <w:start w:val="1"/>
      <w:numFmt w:val="lowerLetter"/>
      <w:lvlText w:val="%8."/>
      <w:lvlJc w:val="left"/>
      <w:pPr>
        <w:ind w:left="6109" w:hanging="360"/>
      </w:pPr>
    </w:lvl>
    <w:lvl w:ilvl="8" w:tplc="A11088CE" w:tentative="1">
      <w:start w:val="1"/>
      <w:numFmt w:val="lowerRoman"/>
      <w:lvlText w:val="%9."/>
      <w:lvlJc w:val="right"/>
      <w:pPr>
        <w:ind w:left="6829" w:hanging="180"/>
      </w:pPr>
    </w:lvl>
  </w:abstractNum>
  <w:abstractNum w:abstractNumId="66" w15:restartNumberingAfterBreak="0">
    <w:nsid w:val="22FA06C1"/>
    <w:multiLevelType w:val="hybridMultilevel"/>
    <w:tmpl w:val="A208745A"/>
    <w:lvl w:ilvl="0" w:tplc="1DA8223A">
      <w:start w:val="1"/>
      <w:numFmt w:val="lowerLetter"/>
      <w:lvlText w:val="(%1)"/>
      <w:lvlJc w:val="left"/>
      <w:pPr>
        <w:ind w:left="1800" w:hanging="720"/>
      </w:pPr>
      <w:rPr>
        <w:rFonts w:ascii="Verdana" w:hAnsi="Verdana" w:cs="Times New Roman" w:hint="default"/>
        <w:b w:val="0"/>
        <w:bCs/>
        <w:i w:val="0"/>
        <w:sz w:val="20"/>
        <w:szCs w:val="20"/>
      </w:rPr>
    </w:lvl>
    <w:lvl w:ilvl="1" w:tplc="548AC8EE" w:tentative="1">
      <w:start w:val="1"/>
      <w:numFmt w:val="lowerLetter"/>
      <w:lvlText w:val="%2."/>
      <w:lvlJc w:val="left"/>
      <w:pPr>
        <w:ind w:left="1440" w:hanging="360"/>
      </w:pPr>
    </w:lvl>
    <w:lvl w:ilvl="2" w:tplc="0A9C6C0A" w:tentative="1">
      <w:start w:val="1"/>
      <w:numFmt w:val="lowerRoman"/>
      <w:lvlText w:val="%3."/>
      <w:lvlJc w:val="right"/>
      <w:pPr>
        <w:ind w:left="2160" w:hanging="180"/>
      </w:pPr>
    </w:lvl>
    <w:lvl w:ilvl="3" w:tplc="54D02154" w:tentative="1">
      <w:start w:val="1"/>
      <w:numFmt w:val="decimal"/>
      <w:lvlText w:val="%4."/>
      <w:lvlJc w:val="left"/>
      <w:pPr>
        <w:ind w:left="2880" w:hanging="360"/>
      </w:pPr>
    </w:lvl>
    <w:lvl w:ilvl="4" w:tplc="FF2A7948" w:tentative="1">
      <w:start w:val="1"/>
      <w:numFmt w:val="lowerLetter"/>
      <w:lvlText w:val="%5."/>
      <w:lvlJc w:val="left"/>
      <w:pPr>
        <w:ind w:left="3600" w:hanging="360"/>
      </w:pPr>
    </w:lvl>
    <w:lvl w:ilvl="5" w:tplc="407A1C86" w:tentative="1">
      <w:start w:val="1"/>
      <w:numFmt w:val="lowerRoman"/>
      <w:lvlText w:val="%6."/>
      <w:lvlJc w:val="right"/>
      <w:pPr>
        <w:ind w:left="4320" w:hanging="180"/>
      </w:pPr>
    </w:lvl>
    <w:lvl w:ilvl="6" w:tplc="A5CE7E1A" w:tentative="1">
      <w:start w:val="1"/>
      <w:numFmt w:val="decimal"/>
      <w:lvlText w:val="%7."/>
      <w:lvlJc w:val="left"/>
      <w:pPr>
        <w:ind w:left="5040" w:hanging="360"/>
      </w:pPr>
    </w:lvl>
    <w:lvl w:ilvl="7" w:tplc="261EC8E8" w:tentative="1">
      <w:start w:val="1"/>
      <w:numFmt w:val="lowerLetter"/>
      <w:lvlText w:val="%8."/>
      <w:lvlJc w:val="left"/>
      <w:pPr>
        <w:ind w:left="5760" w:hanging="360"/>
      </w:pPr>
    </w:lvl>
    <w:lvl w:ilvl="8" w:tplc="13DEACD6" w:tentative="1">
      <w:start w:val="1"/>
      <w:numFmt w:val="lowerRoman"/>
      <w:lvlText w:val="%9."/>
      <w:lvlJc w:val="right"/>
      <w:pPr>
        <w:ind w:left="6480" w:hanging="180"/>
      </w:pPr>
    </w:lvl>
  </w:abstractNum>
  <w:abstractNum w:abstractNumId="67" w15:restartNumberingAfterBreak="0">
    <w:nsid w:val="231C1F87"/>
    <w:multiLevelType w:val="hybridMultilevel"/>
    <w:tmpl w:val="8B9C5A5A"/>
    <w:lvl w:ilvl="0" w:tplc="04160011">
      <w:start w:val="1"/>
      <w:numFmt w:val="decimal"/>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8" w15:restartNumberingAfterBreak="0">
    <w:nsid w:val="271208D0"/>
    <w:multiLevelType w:val="hybridMultilevel"/>
    <w:tmpl w:val="09A42FDE"/>
    <w:lvl w:ilvl="0" w:tplc="0A6053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8174454"/>
    <w:multiLevelType w:val="hybridMultilevel"/>
    <w:tmpl w:val="08AAB03E"/>
    <w:lvl w:ilvl="0" w:tplc="7E889470">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70" w15:restartNumberingAfterBreak="0">
    <w:nsid w:val="28492484"/>
    <w:multiLevelType w:val="multilevel"/>
    <w:tmpl w:val="38928786"/>
    <w:lvl w:ilvl="0">
      <w:start w:val="4"/>
      <w:numFmt w:val="decimal"/>
      <w:lvlText w:val="%1"/>
      <w:lvlJc w:val="left"/>
      <w:pPr>
        <w:ind w:left="630" w:hanging="630"/>
      </w:pPr>
      <w:rPr>
        <w:rFonts w:hint="default"/>
      </w:rPr>
    </w:lvl>
    <w:lvl w:ilvl="1">
      <w:start w:val="2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2941672F"/>
    <w:multiLevelType w:val="hybridMultilevel"/>
    <w:tmpl w:val="5A96A04E"/>
    <w:lvl w:ilvl="0" w:tplc="82DA4860">
      <w:start w:val="1"/>
      <w:numFmt w:val="lowerRoman"/>
      <w:lvlText w:val="(%1)"/>
      <w:lvlJc w:val="left"/>
      <w:pPr>
        <w:ind w:left="2140" w:hanging="720"/>
      </w:pPr>
      <w:rPr>
        <w:rFonts w:eastAsia="Arial Unicode MS" w:hint="default"/>
      </w:rPr>
    </w:lvl>
    <w:lvl w:ilvl="1" w:tplc="F4DA1B1C" w:tentative="1">
      <w:start w:val="1"/>
      <w:numFmt w:val="lowerLetter"/>
      <w:lvlText w:val="%2."/>
      <w:lvlJc w:val="left"/>
      <w:pPr>
        <w:ind w:left="2500" w:hanging="360"/>
      </w:pPr>
    </w:lvl>
    <w:lvl w:ilvl="2" w:tplc="717C1AB2" w:tentative="1">
      <w:start w:val="1"/>
      <w:numFmt w:val="lowerRoman"/>
      <w:lvlText w:val="%3."/>
      <w:lvlJc w:val="right"/>
      <w:pPr>
        <w:ind w:left="3220" w:hanging="180"/>
      </w:pPr>
    </w:lvl>
    <w:lvl w:ilvl="3" w:tplc="792E674E" w:tentative="1">
      <w:start w:val="1"/>
      <w:numFmt w:val="decimal"/>
      <w:lvlText w:val="%4."/>
      <w:lvlJc w:val="left"/>
      <w:pPr>
        <w:ind w:left="3940" w:hanging="360"/>
      </w:pPr>
    </w:lvl>
    <w:lvl w:ilvl="4" w:tplc="B3AA0BC0" w:tentative="1">
      <w:start w:val="1"/>
      <w:numFmt w:val="lowerLetter"/>
      <w:lvlText w:val="%5."/>
      <w:lvlJc w:val="left"/>
      <w:pPr>
        <w:ind w:left="4660" w:hanging="360"/>
      </w:pPr>
    </w:lvl>
    <w:lvl w:ilvl="5" w:tplc="48A443FA" w:tentative="1">
      <w:start w:val="1"/>
      <w:numFmt w:val="lowerRoman"/>
      <w:lvlText w:val="%6."/>
      <w:lvlJc w:val="right"/>
      <w:pPr>
        <w:ind w:left="5380" w:hanging="180"/>
      </w:pPr>
    </w:lvl>
    <w:lvl w:ilvl="6" w:tplc="52A4D386" w:tentative="1">
      <w:start w:val="1"/>
      <w:numFmt w:val="decimal"/>
      <w:lvlText w:val="%7."/>
      <w:lvlJc w:val="left"/>
      <w:pPr>
        <w:ind w:left="6100" w:hanging="360"/>
      </w:pPr>
    </w:lvl>
    <w:lvl w:ilvl="7" w:tplc="7BB2E270" w:tentative="1">
      <w:start w:val="1"/>
      <w:numFmt w:val="lowerLetter"/>
      <w:lvlText w:val="%8."/>
      <w:lvlJc w:val="left"/>
      <w:pPr>
        <w:ind w:left="6820" w:hanging="360"/>
      </w:pPr>
    </w:lvl>
    <w:lvl w:ilvl="8" w:tplc="7CBA63CE" w:tentative="1">
      <w:start w:val="1"/>
      <w:numFmt w:val="lowerRoman"/>
      <w:lvlText w:val="%9."/>
      <w:lvlJc w:val="right"/>
      <w:pPr>
        <w:ind w:left="7540" w:hanging="180"/>
      </w:pPr>
    </w:lvl>
  </w:abstractNum>
  <w:abstractNum w:abstractNumId="72" w15:restartNumberingAfterBreak="0">
    <w:nsid w:val="29FE29E6"/>
    <w:multiLevelType w:val="hybridMultilevel"/>
    <w:tmpl w:val="3BB87EF0"/>
    <w:lvl w:ilvl="0" w:tplc="A05A331A">
      <w:start w:val="1"/>
      <w:numFmt w:val="lowerRoman"/>
      <w:lvlText w:val="(%1)"/>
      <w:lvlJc w:val="left"/>
      <w:pPr>
        <w:ind w:left="720" w:hanging="360"/>
      </w:pPr>
      <w:rPr>
        <w:rFonts w:hint="default"/>
      </w:rPr>
    </w:lvl>
    <w:lvl w:ilvl="1" w:tplc="C59EE600" w:tentative="1">
      <w:start w:val="1"/>
      <w:numFmt w:val="lowerLetter"/>
      <w:lvlText w:val="%2."/>
      <w:lvlJc w:val="left"/>
      <w:pPr>
        <w:ind w:left="1440" w:hanging="360"/>
      </w:pPr>
    </w:lvl>
    <w:lvl w:ilvl="2" w:tplc="45DEE68E" w:tentative="1">
      <w:start w:val="1"/>
      <w:numFmt w:val="lowerRoman"/>
      <w:lvlText w:val="%3."/>
      <w:lvlJc w:val="right"/>
      <w:pPr>
        <w:ind w:left="2160" w:hanging="180"/>
      </w:pPr>
    </w:lvl>
    <w:lvl w:ilvl="3" w:tplc="64E643D0" w:tentative="1">
      <w:start w:val="1"/>
      <w:numFmt w:val="decimal"/>
      <w:lvlText w:val="%4."/>
      <w:lvlJc w:val="left"/>
      <w:pPr>
        <w:ind w:left="2880" w:hanging="360"/>
      </w:pPr>
    </w:lvl>
    <w:lvl w:ilvl="4" w:tplc="0DCA7EDC" w:tentative="1">
      <w:start w:val="1"/>
      <w:numFmt w:val="lowerLetter"/>
      <w:lvlText w:val="%5."/>
      <w:lvlJc w:val="left"/>
      <w:pPr>
        <w:ind w:left="3600" w:hanging="360"/>
      </w:pPr>
    </w:lvl>
    <w:lvl w:ilvl="5" w:tplc="49EC621A" w:tentative="1">
      <w:start w:val="1"/>
      <w:numFmt w:val="lowerRoman"/>
      <w:lvlText w:val="%6."/>
      <w:lvlJc w:val="right"/>
      <w:pPr>
        <w:ind w:left="4320" w:hanging="180"/>
      </w:pPr>
    </w:lvl>
    <w:lvl w:ilvl="6" w:tplc="03E2755A" w:tentative="1">
      <w:start w:val="1"/>
      <w:numFmt w:val="decimal"/>
      <w:lvlText w:val="%7."/>
      <w:lvlJc w:val="left"/>
      <w:pPr>
        <w:ind w:left="5040" w:hanging="360"/>
      </w:pPr>
    </w:lvl>
    <w:lvl w:ilvl="7" w:tplc="5B4A8666" w:tentative="1">
      <w:start w:val="1"/>
      <w:numFmt w:val="lowerLetter"/>
      <w:lvlText w:val="%8."/>
      <w:lvlJc w:val="left"/>
      <w:pPr>
        <w:ind w:left="5760" w:hanging="360"/>
      </w:pPr>
    </w:lvl>
    <w:lvl w:ilvl="8" w:tplc="642E9AA6" w:tentative="1">
      <w:start w:val="1"/>
      <w:numFmt w:val="lowerRoman"/>
      <w:lvlText w:val="%9."/>
      <w:lvlJc w:val="right"/>
      <w:pPr>
        <w:ind w:left="6480" w:hanging="180"/>
      </w:pPr>
    </w:lvl>
  </w:abstractNum>
  <w:abstractNum w:abstractNumId="73" w15:restartNumberingAfterBreak="0">
    <w:nsid w:val="2A414804"/>
    <w:multiLevelType w:val="multilevel"/>
    <w:tmpl w:val="CE40FC26"/>
    <w:lvl w:ilvl="0">
      <w:start w:val="4"/>
      <w:numFmt w:val="decimal"/>
      <w:lvlText w:val="%1"/>
      <w:lvlJc w:val="left"/>
      <w:pPr>
        <w:ind w:left="530" w:hanging="53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b w:val="0"/>
        <w:bCs w:val="0"/>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74" w15:restartNumberingAfterBreak="0">
    <w:nsid w:val="2A7B60AE"/>
    <w:multiLevelType w:val="hybridMultilevel"/>
    <w:tmpl w:val="95F2F1D4"/>
    <w:lvl w:ilvl="0" w:tplc="B852D8A8">
      <w:start w:val="11"/>
      <w:numFmt w:val="decimal"/>
      <w:lvlText w:val="(%1)"/>
      <w:lvlJc w:val="left"/>
      <w:pPr>
        <w:ind w:left="1080" w:hanging="720"/>
      </w:pPr>
      <w:rPr>
        <w:rFonts w:eastAsia="Arial Unicode MS" w:hint="default"/>
        <w:color w:val="auto"/>
      </w:rPr>
    </w:lvl>
    <w:lvl w:ilvl="1" w:tplc="655E2EFE" w:tentative="1">
      <w:start w:val="1"/>
      <w:numFmt w:val="lowerLetter"/>
      <w:lvlText w:val="%2."/>
      <w:lvlJc w:val="left"/>
      <w:pPr>
        <w:ind w:left="1440" w:hanging="360"/>
      </w:pPr>
    </w:lvl>
    <w:lvl w:ilvl="2" w:tplc="17DCDC0C" w:tentative="1">
      <w:start w:val="1"/>
      <w:numFmt w:val="lowerRoman"/>
      <w:lvlText w:val="%3."/>
      <w:lvlJc w:val="right"/>
      <w:pPr>
        <w:ind w:left="2160" w:hanging="180"/>
      </w:pPr>
    </w:lvl>
    <w:lvl w:ilvl="3" w:tplc="79FACDCE" w:tentative="1">
      <w:start w:val="1"/>
      <w:numFmt w:val="decimal"/>
      <w:lvlText w:val="%4."/>
      <w:lvlJc w:val="left"/>
      <w:pPr>
        <w:ind w:left="2880" w:hanging="360"/>
      </w:pPr>
    </w:lvl>
    <w:lvl w:ilvl="4" w:tplc="0E88EB36" w:tentative="1">
      <w:start w:val="1"/>
      <w:numFmt w:val="lowerLetter"/>
      <w:lvlText w:val="%5."/>
      <w:lvlJc w:val="left"/>
      <w:pPr>
        <w:ind w:left="3600" w:hanging="360"/>
      </w:pPr>
    </w:lvl>
    <w:lvl w:ilvl="5" w:tplc="F6E2FB04" w:tentative="1">
      <w:start w:val="1"/>
      <w:numFmt w:val="lowerRoman"/>
      <w:lvlText w:val="%6."/>
      <w:lvlJc w:val="right"/>
      <w:pPr>
        <w:ind w:left="4320" w:hanging="180"/>
      </w:pPr>
    </w:lvl>
    <w:lvl w:ilvl="6" w:tplc="4E14C09E" w:tentative="1">
      <w:start w:val="1"/>
      <w:numFmt w:val="decimal"/>
      <w:lvlText w:val="%7."/>
      <w:lvlJc w:val="left"/>
      <w:pPr>
        <w:ind w:left="5040" w:hanging="360"/>
      </w:pPr>
    </w:lvl>
    <w:lvl w:ilvl="7" w:tplc="17427EA4" w:tentative="1">
      <w:start w:val="1"/>
      <w:numFmt w:val="lowerLetter"/>
      <w:lvlText w:val="%8."/>
      <w:lvlJc w:val="left"/>
      <w:pPr>
        <w:ind w:left="5760" w:hanging="360"/>
      </w:pPr>
    </w:lvl>
    <w:lvl w:ilvl="8" w:tplc="FEEA12C4" w:tentative="1">
      <w:start w:val="1"/>
      <w:numFmt w:val="lowerRoman"/>
      <w:lvlText w:val="%9."/>
      <w:lvlJc w:val="right"/>
      <w:pPr>
        <w:ind w:left="6480" w:hanging="180"/>
      </w:pPr>
    </w:lvl>
  </w:abstractNum>
  <w:abstractNum w:abstractNumId="75" w15:restartNumberingAfterBreak="0">
    <w:nsid w:val="2B675175"/>
    <w:multiLevelType w:val="multilevel"/>
    <w:tmpl w:val="8570C170"/>
    <w:lvl w:ilvl="0">
      <w:start w:val="1"/>
      <w:numFmt w:val="decimal"/>
      <w:lvlText w:val="%1."/>
      <w:lvlJc w:val="left"/>
      <w:pPr>
        <w:ind w:left="0" w:firstLine="0"/>
      </w:pPr>
      <w:rPr>
        <w:rFonts w:hint="default"/>
        <w:b/>
        <w:bCs/>
        <w:i w:val="0"/>
        <w:iCs w:val="0"/>
        <w:sz w:val="20"/>
        <w:szCs w:val="20"/>
      </w:rPr>
    </w:lvl>
    <w:lvl w:ilvl="1">
      <w:start w:val="1"/>
      <w:numFmt w:val="decimal"/>
      <w:lvlText w:val="%1.%2."/>
      <w:lvlJc w:val="left"/>
      <w:pPr>
        <w:ind w:left="0" w:firstLine="0"/>
      </w:pPr>
      <w:rPr>
        <w:rFonts w:hint="default"/>
        <w:b w:val="0"/>
        <w:bCs w:val="0"/>
        <w:i w:val="0"/>
        <w:iCs w:val="0"/>
        <w:sz w:val="20"/>
        <w:szCs w:val="20"/>
      </w:rPr>
    </w:lvl>
    <w:lvl w:ilvl="2">
      <w:start w:val="1"/>
      <w:numFmt w:val="decimal"/>
      <w:lvlText w:val="%1.%2.%3."/>
      <w:lvlJc w:val="left"/>
      <w:pPr>
        <w:ind w:left="0" w:firstLine="0"/>
      </w:pPr>
      <w:rPr>
        <w:rFonts w:hint="default"/>
        <w:b w:val="0"/>
        <w:bCs w:val="0"/>
        <w:i w:val="0"/>
        <w:iCs w:val="0"/>
        <w:strike w:val="0"/>
        <w:sz w:val="20"/>
        <w:szCs w:val="20"/>
      </w:rPr>
    </w:lvl>
    <w:lvl w:ilvl="3">
      <w:start w:val="1"/>
      <w:numFmt w:val="decimal"/>
      <w:lvlText w:val="%1.%2.%3.%4."/>
      <w:lvlJc w:val="left"/>
      <w:pPr>
        <w:ind w:left="0" w:firstLine="0"/>
      </w:pPr>
      <w:rPr>
        <w:rFonts w:hint="default"/>
        <w:b w:val="0"/>
        <w:bCs w:val="0"/>
        <w:i w:val="0"/>
        <w:iCs w:val="0"/>
        <w:sz w:val="20"/>
        <w:szCs w:val="20"/>
      </w:rPr>
    </w:lvl>
    <w:lvl w:ilvl="4">
      <w:start w:val="1"/>
      <w:numFmt w:val="decimal"/>
      <w:lvlText w:val="%1.%2.%3.%4.%5."/>
      <w:lvlJc w:val="left"/>
      <w:pPr>
        <w:ind w:left="0" w:firstLine="0"/>
      </w:pPr>
      <w:rPr>
        <w:rFonts w:hint="default"/>
        <w:b w:val="0"/>
        <w:bCs w:val="0"/>
        <w:i w:val="0"/>
        <w:iCs w:val="0"/>
        <w:sz w:val="20"/>
        <w:szCs w:val="20"/>
      </w:rPr>
    </w:lvl>
    <w:lvl w:ilvl="5">
      <w:start w:val="1"/>
      <w:numFmt w:val="none"/>
      <w:lvlText w:val="6.20.1"/>
      <w:lvlJc w:val="left"/>
      <w:pPr>
        <w:ind w:left="0" w:firstLine="0"/>
      </w:pPr>
      <w:rPr>
        <w:rFonts w:hint="default"/>
        <w:b w:val="0"/>
        <w:bCs w:val="0"/>
        <w:i w:val="0"/>
        <w:iCs w:val="0"/>
        <w:sz w:val="20"/>
        <w:szCs w:val="20"/>
      </w:rPr>
    </w:lvl>
    <w:lvl w:ilvl="6">
      <w:start w:val="1"/>
      <w:numFmt w:val="decimal"/>
      <w:lvlText w:val="%1.%2.%3"/>
      <w:lvlJc w:val="left"/>
      <w:pPr>
        <w:ind w:left="0" w:firstLine="0"/>
      </w:pPr>
      <w:rPr>
        <w:rFonts w:hint="default"/>
        <w:b w:val="0"/>
        <w:bCs w:val="0"/>
        <w:i w:val="0"/>
        <w:iCs w:val="0"/>
        <w:sz w:val="20"/>
        <w:szCs w:val="20"/>
      </w:rPr>
    </w:lvl>
    <w:lvl w:ilvl="7">
      <w:start w:val="1"/>
      <w:numFmt w:val="decimal"/>
      <w:lvlText w:val="%1.%2.%3.%4.%5.%6.%7.%8."/>
      <w:lvlJc w:val="left"/>
      <w:pPr>
        <w:ind w:left="0" w:firstLine="0"/>
      </w:pPr>
      <w:rPr>
        <w:rFonts w:hint="default"/>
        <w:b w:val="0"/>
        <w:bCs w:val="0"/>
        <w:i w:val="0"/>
        <w:iCs w:val="0"/>
        <w:sz w:val="20"/>
        <w:szCs w:val="20"/>
      </w:rPr>
    </w:lvl>
    <w:lvl w:ilvl="8">
      <w:start w:val="1"/>
      <w:numFmt w:val="decimal"/>
      <w:lvlText w:val="%1.%2.%3.%4.%5.%6.%7.%8.%9."/>
      <w:lvlJc w:val="left"/>
      <w:pPr>
        <w:ind w:left="0" w:firstLine="0"/>
      </w:pPr>
      <w:rPr>
        <w:rFonts w:hint="default"/>
        <w:b w:val="0"/>
        <w:bCs w:val="0"/>
        <w:i w:val="0"/>
        <w:iCs w:val="0"/>
        <w:sz w:val="26"/>
        <w:szCs w:val="26"/>
      </w:rPr>
    </w:lvl>
  </w:abstractNum>
  <w:abstractNum w:abstractNumId="76" w15:restartNumberingAfterBreak="0">
    <w:nsid w:val="2BB878E9"/>
    <w:multiLevelType w:val="multilevel"/>
    <w:tmpl w:val="4B76403C"/>
    <w:lvl w:ilvl="0">
      <w:start w:val="8"/>
      <w:numFmt w:val="decimal"/>
      <w:suff w:val="space"/>
      <w:lvlText w:val="CLÁUSULA %1 -"/>
      <w:lvlJc w:val="center"/>
      <w:pPr>
        <w:ind w:left="357" w:hanging="69"/>
      </w:pPr>
      <w:rPr>
        <w:rFonts w:ascii="Tahoma" w:hAnsi="Tahoma" w:hint="default"/>
        <w:b/>
        <w:i w:val="0"/>
        <w:sz w:val="22"/>
      </w:rPr>
    </w:lvl>
    <w:lvl w:ilvl="1">
      <w:start w:val="1"/>
      <w:numFmt w:val="decimal"/>
      <w:lvlText w:val="%1.%2."/>
      <w:lvlJc w:val="left"/>
      <w:pPr>
        <w:ind w:left="680" w:hanging="680"/>
      </w:pPr>
      <w:rPr>
        <w:rFonts w:ascii="Tahoma" w:hAnsi="Tahoma" w:hint="default"/>
        <w:b w:val="0"/>
        <w:i w:val="0"/>
        <w:sz w:val="22"/>
      </w:rPr>
    </w:lvl>
    <w:lvl w:ilvl="2">
      <w:start w:val="1"/>
      <w:numFmt w:val="decimal"/>
      <w:lvlText w:val="%1.%2.%3."/>
      <w:lvlJc w:val="left"/>
      <w:pPr>
        <w:tabs>
          <w:tab w:val="num" w:pos="851"/>
        </w:tabs>
        <w:ind w:left="0" w:firstLine="0"/>
      </w:pPr>
      <w:rPr>
        <w:rFonts w:ascii="Tahoma" w:hAnsi="Tahoma" w:hint="default"/>
        <w:b w:val="0"/>
        <w:i w:val="0"/>
        <w:sz w:val="22"/>
      </w:rPr>
    </w:lvl>
    <w:lvl w:ilvl="3">
      <w:start w:val="1"/>
      <w:numFmt w:val="lowerLetter"/>
      <w:lvlText w:val="(%4)"/>
      <w:lvlJc w:val="left"/>
      <w:pPr>
        <w:ind w:left="709" w:hanging="709"/>
      </w:pPr>
      <w:rPr>
        <w:rFonts w:ascii="Tahoma" w:hAnsi="Tahoma" w:hint="default"/>
        <w:b w:val="0"/>
        <w:i w:val="0"/>
        <w:sz w:val="22"/>
      </w:rPr>
    </w:lvl>
    <w:lvl w:ilvl="4">
      <w:start w:val="1"/>
      <w:numFmt w:val="decimal"/>
      <w:suff w:val="space"/>
      <w:lvlText w:val="%1.%2.%3.%5."/>
      <w:lvlJc w:val="left"/>
      <w:pPr>
        <w:ind w:left="0" w:firstLine="0"/>
      </w:pPr>
      <w:rPr>
        <w:rFonts w:ascii="Tahoma" w:hAnsi="Tahoma" w:hint="default"/>
        <w:b w:val="0"/>
        <w:i w:val="0"/>
        <w:sz w:val="22"/>
      </w:rPr>
    </w:lvl>
    <w:lvl w:ilvl="5">
      <w:start w:val="1"/>
      <w:numFmt w:val="lowerRoman"/>
      <w:lvlText w:val="(%6)"/>
      <w:lvlJc w:val="left"/>
      <w:pPr>
        <w:ind w:left="680" w:hanging="680"/>
      </w:pPr>
      <w:rPr>
        <w:rFonts w:ascii="Verdana" w:hAnsi="Verdana" w:cs="Times New Roman" w:hint="default"/>
        <w:b w:val="0"/>
        <w:i w:val="0"/>
        <w:sz w:val="20"/>
        <w:szCs w:val="20"/>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7" w15:restartNumberingAfterBreak="0">
    <w:nsid w:val="2C4B01AB"/>
    <w:multiLevelType w:val="multilevel"/>
    <w:tmpl w:val="09F8CAE6"/>
    <w:lvl w:ilvl="0">
      <w:start w:val="4"/>
      <w:numFmt w:val="decimal"/>
      <w:lvlText w:val="%1."/>
      <w:lvlJc w:val="left"/>
      <w:pPr>
        <w:ind w:left="730" w:hanging="730"/>
      </w:pPr>
      <w:rPr>
        <w:rFonts w:cs="Times New Roman" w:hint="default"/>
      </w:rPr>
    </w:lvl>
    <w:lvl w:ilvl="1">
      <w:start w:val="14"/>
      <w:numFmt w:val="decimal"/>
      <w:lvlText w:val="%1.%2."/>
      <w:lvlJc w:val="left"/>
      <w:pPr>
        <w:ind w:left="730" w:hanging="730"/>
      </w:pPr>
      <w:rPr>
        <w:rFonts w:cs="Times New Roman" w:hint="default"/>
      </w:rPr>
    </w:lvl>
    <w:lvl w:ilvl="2">
      <w:start w:val="1"/>
      <w:numFmt w:val="decimal"/>
      <w:lvlText w:val="%1.%2.%3."/>
      <w:lvlJc w:val="left"/>
      <w:pPr>
        <w:ind w:left="730" w:hanging="730"/>
      </w:pPr>
      <w:rPr>
        <w:rFonts w:cs="Times New Roman" w:hint="default"/>
        <w:b/>
        <w:bCs/>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8" w15:restartNumberingAfterBreak="0">
    <w:nsid w:val="2D265903"/>
    <w:multiLevelType w:val="multilevel"/>
    <w:tmpl w:val="89EE0D5A"/>
    <w:lvl w:ilvl="0">
      <w:start w:val="9"/>
      <w:numFmt w:val="decimal"/>
      <w:lvlText w:val="%1."/>
      <w:lvlJc w:val="left"/>
      <w:pPr>
        <w:ind w:left="840" w:hanging="840"/>
      </w:pPr>
      <w:rPr>
        <w:rFonts w:ascii="Verdana" w:hAnsi="Verdana" w:cs="Times New Roman" w:hint="default"/>
        <w:b/>
        <w:sz w:val="20"/>
      </w:rPr>
    </w:lvl>
    <w:lvl w:ilvl="1">
      <w:start w:val="2"/>
      <w:numFmt w:val="decimal"/>
      <w:lvlText w:val="%1.%2."/>
      <w:lvlJc w:val="left"/>
      <w:pPr>
        <w:ind w:left="1200" w:hanging="840"/>
      </w:pPr>
      <w:rPr>
        <w:rFonts w:ascii="Verdana" w:hAnsi="Verdana" w:cs="Times New Roman" w:hint="default"/>
        <w:b/>
        <w:sz w:val="20"/>
      </w:rPr>
    </w:lvl>
    <w:lvl w:ilvl="2">
      <w:start w:val="4"/>
      <w:numFmt w:val="decimal"/>
      <w:lvlText w:val="%1.%2.%3."/>
      <w:lvlJc w:val="left"/>
      <w:pPr>
        <w:ind w:left="1560" w:hanging="840"/>
      </w:pPr>
      <w:rPr>
        <w:rFonts w:ascii="Verdana" w:hAnsi="Verdana" w:cs="Times New Roman" w:hint="default"/>
        <w:b/>
        <w:sz w:val="20"/>
      </w:rPr>
    </w:lvl>
    <w:lvl w:ilvl="3">
      <w:start w:val="1"/>
      <w:numFmt w:val="decimal"/>
      <w:lvlText w:val="%1.%2.%3.%4."/>
      <w:lvlJc w:val="left"/>
      <w:pPr>
        <w:ind w:left="2160" w:hanging="1080"/>
      </w:pPr>
      <w:rPr>
        <w:rFonts w:ascii="Verdana" w:hAnsi="Verdana" w:cs="Times New Roman" w:hint="default"/>
        <w:b w:val="0"/>
        <w:bCs/>
        <w:sz w:val="20"/>
        <w:szCs w:val="20"/>
      </w:rPr>
    </w:lvl>
    <w:lvl w:ilvl="4">
      <w:start w:val="1"/>
      <w:numFmt w:val="decimal"/>
      <w:lvlText w:val="%1.%2.%3.%4.%5."/>
      <w:lvlJc w:val="left"/>
      <w:pPr>
        <w:ind w:left="2520" w:hanging="1080"/>
      </w:pPr>
      <w:rPr>
        <w:rFonts w:ascii="Verdana" w:hAnsi="Verdana" w:cs="Times New Roman" w:hint="default"/>
        <w:b/>
        <w:sz w:val="20"/>
      </w:rPr>
    </w:lvl>
    <w:lvl w:ilvl="5">
      <w:start w:val="1"/>
      <w:numFmt w:val="decimal"/>
      <w:lvlText w:val="%1.%2.%3.%4.%5.%6."/>
      <w:lvlJc w:val="left"/>
      <w:pPr>
        <w:ind w:left="3240" w:hanging="1440"/>
      </w:pPr>
      <w:rPr>
        <w:rFonts w:ascii="Verdana" w:hAnsi="Verdana" w:cs="Times New Roman" w:hint="default"/>
        <w:b/>
        <w:sz w:val="20"/>
      </w:rPr>
    </w:lvl>
    <w:lvl w:ilvl="6">
      <w:start w:val="1"/>
      <w:numFmt w:val="decimal"/>
      <w:lvlText w:val="%1.%2.%3.%4.%5.%6.%7."/>
      <w:lvlJc w:val="left"/>
      <w:pPr>
        <w:ind w:left="3600" w:hanging="1440"/>
      </w:pPr>
      <w:rPr>
        <w:rFonts w:ascii="Verdana" w:hAnsi="Verdana" w:cs="Times New Roman" w:hint="default"/>
        <w:b/>
        <w:sz w:val="20"/>
      </w:rPr>
    </w:lvl>
    <w:lvl w:ilvl="7">
      <w:start w:val="1"/>
      <w:numFmt w:val="decimal"/>
      <w:lvlText w:val="%1.%2.%3.%4.%5.%6.%7.%8."/>
      <w:lvlJc w:val="left"/>
      <w:pPr>
        <w:ind w:left="4320" w:hanging="1800"/>
      </w:pPr>
      <w:rPr>
        <w:rFonts w:ascii="Verdana" w:hAnsi="Verdana" w:cs="Times New Roman" w:hint="default"/>
        <w:b/>
        <w:sz w:val="20"/>
      </w:rPr>
    </w:lvl>
    <w:lvl w:ilvl="8">
      <w:start w:val="1"/>
      <w:numFmt w:val="decimal"/>
      <w:lvlText w:val="%1.%2.%3.%4.%5.%6.%7.%8.%9."/>
      <w:lvlJc w:val="left"/>
      <w:pPr>
        <w:ind w:left="4680" w:hanging="1800"/>
      </w:pPr>
      <w:rPr>
        <w:rFonts w:ascii="Verdana" w:hAnsi="Verdana" w:cs="Times New Roman" w:hint="default"/>
        <w:b/>
        <w:sz w:val="20"/>
      </w:rPr>
    </w:lvl>
  </w:abstractNum>
  <w:abstractNum w:abstractNumId="79" w15:restartNumberingAfterBreak="0">
    <w:nsid w:val="2D9A3BC1"/>
    <w:multiLevelType w:val="hybridMultilevel"/>
    <w:tmpl w:val="DC8C7F0A"/>
    <w:lvl w:ilvl="0" w:tplc="74D0C97A">
      <w:start w:val="1"/>
      <w:numFmt w:val="lowerLetter"/>
      <w:lvlText w:val="(%1)"/>
      <w:lvlJc w:val="left"/>
      <w:pPr>
        <w:ind w:left="720" w:hanging="360"/>
      </w:pPr>
      <w:rPr>
        <w:rFonts w:hint="default"/>
      </w:rPr>
    </w:lvl>
    <w:lvl w:ilvl="1" w:tplc="FF96E7AC" w:tentative="1">
      <w:start w:val="1"/>
      <w:numFmt w:val="lowerLetter"/>
      <w:lvlText w:val="%2."/>
      <w:lvlJc w:val="left"/>
      <w:pPr>
        <w:ind w:left="1440" w:hanging="360"/>
      </w:pPr>
    </w:lvl>
    <w:lvl w:ilvl="2" w:tplc="53FEC64C" w:tentative="1">
      <w:start w:val="1"/>
      <w:numFmt w:val="lowerRoman"/>
      <w:lvlText w:val="%3."/>
      <w:lvlJc w:val="right"/>
      <w:pPr>
        <w:ind w:left="2160" w:hanging="180"/>
      </w:pPr>
    </w:lvl>
    <w:lvl w:ilvl="3" w:tplc="0A4200EC" w:tentative="1">
      <w:start w:val="1"/>
      <w:numFmt w:val="decimal"/>
      <w:lvlText w:val="%4."/>
      <w:lvlJc w:val="left"/>
      <w:pPr>
        <w:ind w:left="2880" w:hanging="360"/>
      </w:pPr>
    </w:lvl>
    <w:lvl w:ilvl="4" w:tplc="D1C61BA6" w:tentative="1">
      <w:start w:val="1"/>
      <w:numFmt w:val="lowerLetter"/>
      <w:lvlText w:val="%5."/>
      <w:lvlJc w:val="left"/>
      <w:pPr>
        <w:ind w:left="3600" w:hanging="360"/>
      </w:pPr>
    </w:lvl>
    <w:lvl w:ilvl="5" w:tplc="37C04134" w:tentative="1">
      <w:start w:val="1"/>
      <w:numFmt w:val="lowerRoman"/>
      <w:lvlText w:val="%6."/>
      <w:lvlJc w:val="right"/>
      <w:pPr>
        <w:ind w:left="4320" w:hanging="180"/>
      </w:pPr>
    </w:lvl>
    <w:lvl w:ilvl="6" w:tplc="C07ABE1E" w:tentative="1">
      <w:start w:val="1"/>
      <w:numFmt w:val="decimal"/>
      <w:lvlText w:val="%7."/>
      <w:lvlJc w:val="left"/>
      <w:pPr>
        <w:ind w:left="5040" w:hanging="360"/>
      </w:pPr>
    </w:lvl>
    <w:lvl w:ilvl="7" w:tplc="2A00A5EC" w:tentative="1">
      <w:start w:val="1"/>
      <w:numFmt w:val="lowerLetter"/>
      <w:lvlText w:val="%8."/>
      <w:lvlJc w:val="left"/>
      <w:pPr>
        <w:ind w:left="5760" w:hanging="360"/>
      </w:pPr>
    </w:lvl>
    <w:lvl w:ilvl="8" w:tplc="02B2BED4" w:tentative="1">
      <w:start w:val="1"/>
      <w:numFmt w:val="lowerRoman"/>
      <w:lvlText w:val="%9."/>
      <w:lvlJc w:val="right"/>
      <w:pPr>
        <w:ind w:left="6480" w:hanging="180"/>
      </w:pPr>
    </w:lvl>
  </w:abstractNum>
  <w:abstractNum w:abstractNumId="80" w15:restartNumberingAfterBreak="0">
    <w:nsid w:val="2E3B5742"/>
    <w:multiLevelType w:val="hybridMultilevel"/>
    <w:tmpl w:val="90E87E04"/>
    <w:lvl w:ilvl="0" w:tplc="8926E95C">
      <w:start w:val="1"/>
      <w:numFmt w:val="upperLetter"/>
      <w:lvlText w:val="%1)"/>
      <w:lvlJc w:val="left"/>
      <w:pPr>
        <w:ind w:left="720" w:hanging="360"/>
      </w:pPr>
      <w:rPr>
        <w:rFonts w:hint="default"/>
      </w:rPr>
    </w:lvl>
    <w:lvl w:ilvl="1" w:tplc="FC085FD6" w:tentative="1">
      <w:start w:val="1"/>
      <w:numFmt w:val="lowerLetter"/>
      <w:lvlText w:val="%2."/>
      <w:lvlJc w:val="left"/>
      <w:pPr>
        <w:ind w:left="1440" w:hanging="360"/>
      </w:pPr>
    </w:lvl>
    <w:lvl w:ilvl="2" w:tplc="EE42077C" w:tentative="1">
      <w:start w:val="1"/>
      <w:numFmt w:val="lowerRoman"/>
      <w:lvlText w:val="%3."/>
      <w:lvlJc w:val="right"/>
      <w:pPr>
        <w:ind w:left="2160" w:hanging="180"/>
      </w:pPr>
    </w:lvl>
    <w:lvl w:ilvl="3" w:tplc="7BBC4D46" w:tentative="1">
      <w:start w:val="1"/>
      <w:numFmt w:val="decimal"/>
      <w:lvlText w:val="%4."/>
      <w:lvlJc w:val="left"/>
      <w:pPr>
        <w:ind w:left="2880" w:hanging="360"/>
      </w:pPr>
    </w:lvl>
    <w:lvl w:ilvl="4" w:tplc="D312F6A4" w:tentative="1">
      <w:start w:val="1"/>
      <w:numFmt w:val="lowerLetter"/>
      <w:lvlText w:val="%5."/>
      <w:lvlJc w:val="left"/>
      <w:pPr>
        <w:ind w:left="3600" w:hanging="360"/>
      </w:pPr>
    </w:lvl>
    <w:lvl w:ilvl="5" w:tplc="AAECC9EA" w:tentative="1">
      <w:start w:val="1"/>
      <w:numFmt w:val="lowerRoman"/>
      <w:lvlText w:val="%6."/>
      <w:lvlJc w:val="right"/>
      <w:pPr>
        <w:ind w:left="4320" w:hanging="180"/>
      </w:pPr>
    </w:lvl>
    <w:lvl w:ilvl="6" w:tplc="BFAE066C" w:tentative="1">
      <w:start w:val="1"/>
      <w:numFmt w:val="decimal"/>
      <w:lvlText w:val="%7."/>
      <w:lvlJc w:val="left"/>
      <w:pPr>
        <w:ind w:left="5040" w:hanging="360"/>
      </w:pPr>
    </w:lvl>
    <w:lvl w:ilvl="7" w:tplc="BE74D8C4" w:tentative="1">
      <w:start w:val="1"/>
      <w:numFmt w:val="lowerLetter"/>
      <w:lvlText w:val="%8."/>
      <w:lvlJc w:val="left"/>
      <w:pPr>
        <w:ind w:left="5760" w:hanging="360"/>
      </w:pPr>
    </w:lvl>
    <w:lvl w:ilvl="8" w:tplc="5296D7AA" w:tentative="1">
      <w:start w:val="1"/>
      <w:numFmt w:val="lowerRoman"/>
      <w:lvlText w:val="%9."/>
      <w:lvlJc w:val="right"/>
      <w:pPr>
        <w:ind w:left="6480" w:hanging="180"/>
      </w:pPr>
    </w:lvl>
  </w:abstractNum>
  <w:abstractNum w:abstractNumId="81" w15:restartNumberingAfterBreak="0">
    <w:nsid w:val="2E7878F5"/>
    <w:multiLevelType w:val="hybridMultilevel"/>
    <w:tmpl w:val="306E6C7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2" w15:restartNumberingAfterBreak="0">
    <w:nsid w:val="2EA9386E"/>
    <w:multiLevelType w:val="multilevel"/>
    <w:tmpl w:val="3066111E"/>
    <w:lvl w:ilvl="0">
      <w:start w:val="4"/>
      <w:numFmt w:val="decimal"/>
      <w:lvlText w:val="%1"/>
      <w:lvlJc w:val="left"/>
      <w:pPr>
        <w:ind w:left="705" w:hanging="705"/>
      </w:pPr>
      <w:rPr>
        <w:rFonts w:hint="default"/>
      </w:rPr>
    </w:lvl>
    <w:lvl w:ilvl="1">
      <w:start w:val="9"/>
      <w:numFmt w:val="decimal"/>
      <w:lvlText w:val="%1.%2"/>
      <w:lvlJc w:val="left"/>
      <w:pPr>
        <w:ind w:left="1440" w:hanging="720"/>
      </w:pPr>
      <w:rPr>
        <w:rFonts w:hint="default"/>
      </w:rPr>
    </w:lvl>
    <w:lvl w:ilvl="2">
      <w:start w:val="7"/>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3" w15:restartNumberingAfterBreak="0">
    <w:nsid w:val="2ED60536"/>
    <w:multiLevelType w:val="hybridMultilevel"/>
    <w:tmpl w:val="A07A060E"/>
    <w:lvl w:ilvl="0" w:tplc="136C846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2EDE306B"/>
    <w:multiLevelType w:val="multilevel"/>
    <w:tmpl w:val="90E0562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300748BC"/>
    <w:multiLevelType w:val="multilevel"/>
    <w:tmpl w:val="2C0EA28C"/>
    <w:lvl w:ilvl="0">
      <w:start w:val="1"/>
      <w:numFmt w:val="decimal"/>
      <w:pStyle w:val="NVEL1"/>
      <w:lvlText w:val="%1."/>
      <w:lvlJc w:val="left"/>
      <w:pPr>
        <w:ind w:left="0" w:firstLine="0"/>
      </w:pPr>
      <w:rPr>
        <w:rFonts w:hint="default"/>
        <w:b/>
      </w:rPr>
    </w:lvl>
    <w:lvl w:ilvl="1">
      <w:start w:val="1"/>
      <w:numFmt w:val="decimal"/>
      <w:pStyle w:val="NVEL2"/>
      <w:isLgl/>
      <w:lvlText w:val="%1.%2."/>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VEL3"/>
      <w:isLgl/>
      <w:lvlText w:val="%1.%2.%3."/>
      <w:lvlJc w:val="left"/>
      <w:pPr>
        <w:ind w:left="710" w:firstLine="0"/>
      </w:pPr>
      <w:rPr>
        <w:rFonts w:ascii="Arial" w:hAnsi="Arial" w:cs="Arial" w:hint="default"/>
        <w:b/>
        <w:caps w:val="0"/>
        <w:smallCaps w:val="0"/>
        <w:strike w:val="0"/>
        <w:dstrike w:val="0"/>
        <w:noProof w:val="0"/>
        <w:vanish w:val="0"/>
        <w:color w:val="00000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NIVEL4"/>
      <w:isLgl/>
      <w:lvlText w:val="%1.%2.%3.%4."/>
      <w:lvlJc w:val="left"/>
      <w:pPr>
        <w:ind w:left="567"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3164" w:hanging="1080"/>
      </w:pPr>
      <w:rPr>
        <w:rFonts w:hint="default"/>
      </w:rPr>
    </w:lvl>
    <w:lvl w:ilvl="5">
      <w:start w:val="1"/>
      <w:numFmt w:val="decimal"/>
      <w:isLgl/>
      <w:lvlText w:val="%1.%2.%3.%4.%5.%6."/>
      <w:lvlJc w:val="left"/>
      <w:pPr>
        <w:ind w:left="3884" w:hanging="144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4964" w:hanging="1800"/>
      </w:pPr>
      <w:rPr>
        <w:rFonts w:hint="default"/>
      </w:rPr>
    </w:lvl>
    <w:lvl w:ilvl="8">
      <w:start w:val="1"/>
      <w:numFmt w:val="decimal"/>
      <w:isLgl/>
      <w:lvlText w:val="%1.%2.%3.%4.%5.%6.%7.%8.%9."/>
      <w:lvlJc w:val="left"/>
      <w:pPr>
        <w:ind w:left="5684" w:hanging="2160"/>
      </w:pPr>
      <w:rPr>
        <w:rFonts w:hint="default"/>
      </w:rPr>
    </w:lvl>
  </w:abstractNum>
  <w:abstractNum w:abstractNumId="86" w15:restartNumberingAfterBreak="0">
    <w:nsid w:val="30A90D5B"/>
    <w:multiLevelType w:val="multilevel"/>
    <w:tmpl w:val="ABD6D880"/>
    <w:lvl w:ilvl="0">
      <w:start w:val="11"/>
      <w:numFmt w:val="decimal"/>
      <w:lvlText w:val="%1"/>
      <w:lvlJc w:val="left"/>
      <w:pPr>
        <w:ind w:left="480" w:hanging="480"/>
      </w:pPr>
      <w:rPr>
        <w:rFonts w:hint="default"/>
      </w:rPr>
    </w:lvl>
    <w:lvl w:ilvl="1">
      <w:start w:val="1"/>
      <w:numFmt w:val="decimal"/>
      <w:lvlText w:val="12.%2"/>
      <w:lvlJc w:val="left"/>
      <w:pPr>
        <w:ind w:left="1429" w:hanging="720"/>
      </w:pPr>
      <w:rPr>
        <w:rFonts w:hint="default"/>
      </w:rPr>
    </w:lvl>
    <w:lvl w:ilvl="2">
      <w:start w:val="11"/>
      <w:numFmt w:val="decimal"/>
      <w:lvlText w:val="12.1.%3"/>
      <w:lvlJc w:val="left"/>
      <w:pPr>
        <w:ind w:left="1778" w:hanging="36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87" w15:restartNumberingAfterBreak="0">
    <w:nsid w:val="33032D5A"/>
    <w:multiLevelType w:val="multilevel"/>
    <w:tmpl w:val="6B4A81A0"/>
    <w:lvl w:ilvl="0">
      <w:start w:val="2"/>
      <w:numFmt w:val="decimal"/>
      <w:lvlText w:val="%1."/>
      <w:lvlJc w:val="left"/>
      <w:pPr>
        <w:ind w:left="540" w:hanging="540"/>
      </w:pPr>
      <w:rPr>
        <w:rFonts w:hint="default"/>
        <w:i/>
        <w:u w:val="single"/>
      </w:rPr>
    </w:lvl>
    <w:lvl w:ilvl="1">
      <w:start w:val="4"/>
      <w:numFmt w:val="decimal"/>
      <w:lvlText w:val="%1.%2."/>
      <w:lvlJc w:val="left"/>
      <w:pPr>
        <w:ind w:left="540" w:hanging="540"/>
      </w:pPr>
      <w:rPr>
        <w:rFonts w:hint="default"/>
        <w:i/>
        <w:u w:val="single"/>
      </w:rPr>
    </w:lvl>
    <w:lvl w:ilvl="2">
      <w:start w:val="1"/>
      <w:numFmt w:val="decimal"/>
      <w:lvlText w:val="%1.%2.%3."/>
      <w:lvlJc w:val="left"/>
      <w:pPr>
        <w:ind w:left="720" w:hanging="720"/>
      </w:pPr>
      <w:rPr>
        <w:rFonts w:hint="default"/>
        <w:b w:val="0"/>
        <w:bCs/>
        <w:i w:val="0"/>
        <w:sz w:val="20"/>
        <w:szCs w:val="20"/>
        <w:u w:val="none"/>
      </w:rPr>
    </w:lvl>
    <w:lvl w:ilvl="3">
      <w:start w:val="1"/>
      <w:numFmt w:val="decimal"/>
      <w:lvlText w:val="%1.%2.%3.%4."/>
      <w:lvlJc w:val="left"/>
      <w:pPr>
        <w:ind w:left="720" w:hanging="720"/>
      </w:pPr>
      <w:rPr>
        <w:rFonts w:hint="default"/>
        <w:i/>
        <w:u w:val="singl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080" w:hanging="108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440" w:hanging="1440"/>
      </w:pPr>
      <w:rPr>
        <w:rFonts w:hint="default"/>
        <w:i/>
        <w:u w:val="single"/>
      </w:rPr>
    </w:lvl>
    <w:lvl w:ilvl="8">
      <w:start w:val="1"/>
      <w:numFmt w:val="decimal"/>
      <w:lvlText w:val="%1.%2.%3.%4.%5.%6.%7.%8.%9."/>
      <w:lvlJc w:val="left"/>
      <w:pPr>
        <w:ind w:left="1800" w:hanging="1800"/>
      </w:pPr>
      <w:rPr>
        <w:rFonts w:hint="default"/>
        <w:i/>
        <w:u w:val="single"/>
      </w:rPr>
    </w:lvl>
  </w:abstractNum>
  <w:abstractNum w:abstractNumId="88" w15:restartNumberingAfterBreak="0">
    <w:nsid w:val="341704FF"/>
    <w:multiLevelType w:val="multilevel"/>
    <w:tmpl w:val="B2AAAF32"/>
    <w:lvl w:ilvl="0">
      <w:start w:val="4"/>
      <w:numFmt w:val="decimal"/>
      <w:lvlText w:val="%1"/>
      <w:lvlJc w:val="left"/>
      <w:pPr>
        <w:ind w:left="630" w:hanging="63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34B71E48"/>
    <w:multiLevelType w:val="hybridMultilevel"/>
    <w:tmpl w:val="96CEC5C0"/>
    <w:lvl w:ilvl="0" w:tplc="1F6E4A16">
      <w:start w:val="1"/>
      <w:numFmt w:val="decimal"/>
      <w:lvlText w:val="7.%1"/>
      <w:lvlJc w:val="left"/>
      <w:pPr>
        <w:ind w:left="1440" w:hanging="360"/>
      </w:pPr>
      <w:rPr>
        <w:rFonts w:hint="default"/>
        <w:b/>
        <w:bCs/>
      </w:rPr>
    </w:lvl>
    <w:lvl w:ilvl="1" w:tplc="A3EE847A">
      <w:start w:val="1"/>
      <w:numFmt w:val="decimal"/>
      <w:lvlText w:val="7.1.%2"/>
      <w:lvlJc w:val="left"/>
      <w:pPr>
        <w:ind w:left="1440" w:hanging="360"/>
      </w:pPr>
      <w:rPr>
        <w:rFonts w:hint="default"/>
      </w:rPr>
    </w:lvl>
    <w:lvl w:ilvl="2" w:tplc="B9C40FE6">
      <w:start w:val="1"/>
      <w:numFmt w:val="lowerLetter"/>
      <w:lvlText w:val="%3)"/>
      <w:lvlJc w:val="left"/>
      <w:pPr>
        <w:ind w:left="2340" w:hanging="360"/>
      </w:pPr>
      <w:rPr>
        <w:rFonts w:hint="default"/>
      </w:rPr>
    </w:lvl>
    <w:lvl w:ilvl="3" w:tplc="646606C2" w:tentative="1">
      <w:start w:val="1"/>
      <w:numFmt w:val="decimal"/>
      <w:lvlText w:val="%4."/>
      <w:lvlJc w:val="left"/>
      <w:pPr>
        <w:ind w:left="2880" w:hanging="360"/>
      </w:pPr>
    </w:lvl>
    <w:lvl w:ilvl="4" w:tplc="ADEE3990" w:tentative="1">
      <w:start w:val="1"/>
      <w:numFmt w:val="lowerLetter"/>
      <w:lvlText w:val="%5."/>
      <w:lvlJc w:val="left"/>
      <w:pPr>
        <w:ind w:left="3600" w:hanging="360"/>
      </w:pPr>
    </w:lvl>
    <w:lvl w:ilvl="5" w:tplc="DA0ED6D6" w:tentative="1">
      <w:start w:val="1"/>
      <w:numFmt w:val="lowerRoman"/>
      <w:lvlText w:val="%6."/>
      <w:lvlJc w:val="right"/>
      <w:pPr>
        <w:ind w:left="4320" w:hanging="180"/>
      </w:pPr>
    </w:lvl>
    <w:lvl w:ilvl="6" w:tplc="7DC8D74E" w:tentative="1">
      <w:start w:val="1"/>
      <w:numFmt w:val="decimal"/>
      <w:lvlText w:val="%7."/>
      <w:lvlJc w:val="left"/>
      <w:pPr>
        <w:ind w:left="5040" w:hanging="360"/>
      </w:pPr>
    </w:lvl>
    <w:lvl w:ilvl="7" w:tplc="5DC2748C" w:tentative="1">
      <w:start w:val="1"/>
      <w:numFmt w:val="lowerLetter"/>
      <w:lvlText w:val="%8."/>
      <w:lvlJc w:val="left"/>
      <w:pPr>
        <w:ind w:left="5760" w:hanging="360"/>
      </w:pPr>
    </w:lvl>
    <w:lvl w:ilvl="8" w:tplc="9BF24452" w:tentative="1">
      <w:start w:val="1"/>
      <w:numFmt w:val="lowerRoman"/>
      <w:lvlText w:val="%9."/>
      <w:lvlJc w:val="right"/>
      <w:pPr>
        <w:ind w:left="6480" w:hanging="180"/>
      </w:pPr>
    </w:lvl>
  </w:abstractNum>
  <w:abstractNum w:abstractNumId="90" w15:restartNumberingAfterBreak="0">
    <w:nsid w:val="34D93279"/>
    <w:multiLevelType w:val="hybridMultilevel"/>
    <w:tmpl w:val="66BE2330"/>
    <w:lvl w:ilvl="0" w:tplc="E11EB8E0">
      <w:start w:val="1"/>
      <w:numFmt w:val="lowerRoman"/>
      <w:lvlText w:val="(%1)"/>
      <w:lvlJc w:val="left"/>
      <w:pPr>
        <w:ind w:left="720" w:hanging="360"/>
      </w:pPr>
      <w:rPr>
        <w:rFonts w:hint="default"/>
        <w:b w:val="0"/>
        <w:bCs/>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5203D62"/>
    <w:multiLevelType w:val="multilevel"/>
    <w:tmpl w:val="4F388C1E"/>
    <w:lvl w:ilvl="0">
      <w:start w:val="5"/>
      <w:numFmt w:val="decimal"/>
      <w:lvlText w:val="%1."/>
      <w:lvlJc w:val="left"/>
      <w:pPr>
        <w:ind w:left="420" w:hanging="42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val="0"/>
        <w:bCs/>
        <w:i w:val="0"/>
        <w:iCs w:val="0"/>
        <w:sz w:val="20"/>
        <w:szCs w:val="20"/>
      </w:rPr>
    </w:lvl>
    <w:lvl w:ilvl="3">
      <w:start w:val="1"/>
      <w:numFmt w:val="decimal"/>
      <w:lvlText w:val="%1.%2.%3.%4."/>
      <w:lvlJc w:val="left"/>
      <w:pPr>
        <w:ind w:left="1080" w:hanging="1080"/>
      </w:pPr>
      <w:rPr>
        <w:rFonts w:cs="Times New Roman" w:hint="default"/>
        <w:b w:val="0"/>
        <w:bCs w:val="0"/>
        <w:sz w:val="20"/>
        <w:szCs w:val="20"/>
      </w:rPr>
    </w:lvl>
    <w:lvl w:ilvl="4">
      <w:start w:val="1"/>
      <w:numFmt w:val="decimal"/>
      <w:lvlText w:val="%1.%2.%3.%4.%5."/>
      <w:lvlJc w:val="left"/>
      <w:pPr>
        <w:ind w:left="1440" w:hanging="144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2160" w:hanging="216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92" w15:restartNumberingAfterBreak="0">
    <w:nsid w:val="35CA42B6"/>
    <w:multiLevelType w:val="multilevel"/>
    <w:tmpl w:val="43EE7484"/>
    <w:lvl w:ilvl="0">
      <w:start w:val="4"/>
      <w:numFmt w:val="decimal"/>
      <w:lvlText w:val="%1"/>
      <w:lvlJc w:val="left"/>
      <w:pPr>
        <w:ind w:left="690" w:hanging="690"/>
      </w:pPr>
      <w:rPr>
        <w:rFonts w:hint="default"/>
        <w:b/>
      </w:rPr>
    </w:lvl>
    <w:lvl w:ilvl="1">
      <w:start w:val="10"/>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bCs/>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93" w15:restartNumberingAfterBreak="0">
    <w:nsid w:val="36C97E4B"/>
    <w:multiLevelType w:val="hybridMultilevel"/>
    <w:tmpl w:val="B90A653E"/>
    <w:lvl w:ilvl="0" w:tplc="A9E8A30C">
      <w:start w:val="1"/>
      <w:numFmt w:val="lowerLetter"/>
      <w:lvlText w:val="%1)"/>
      <w:lvlJc w:val="left"/>
      <w:pPr>
        <w:tabs>
          <w:tab w:val="num" w:pos="1144"/>
        </w:tabs>
        <w:ind w:left="1144" w:hanging="435"/>
      </w:pPr>
    </w:lvl>
    <w:lvl w:ilvl="1" w:tplc="76AC287C">
      <w:start w:val="1"/>
      <w:numFmt w:val="decimal"/>
      <w:lvlText w:val="%2."/>
      <w:lvlJc w:val="left"/>
      <w:pPr>
        <w:tabs>
          <w:tab w:val="num" w:pos="1440"/>
        </w:tabs>
        <w:ind w:left="1440" w:hanging="360"/>
      </w:pPr>
    </w:lvl>
    <w:lvl w:ilvl="2" w:tplc="74AED3AA">
      <w:start w:val="1"/>
      <w:numFmt w:val="decimal"/>
      <w:lvlText w:val="%3."/>
      <w:lvlJc w:val="left"/>
      <w:pPr>
        <w:tabs>
          <w:tab w:val="num" w:pos="2160"/>
        </w:tabs>
        <w:ind w:left="2160" w:hanging="360"/>
      </w:pPr>
    </w:lvl>
    <w:lvl w:ilvl="3" w:tplc="972E448A">
      <w:start w:val="1"/>
      <w:numFmt w:val="decimal"/>
      <w:lvlText w:val="%4."/>
      <w:lvlJc w:val="left"/>
      <w:pPr>
        <w:tabs>
          <w:tab w:val="num" w:pos="2880"/>
        </w:tabs>
        <w:ind w:left="2880" w:hanging="360"/>
      </w:pPr>
    </w:lvl>
    <w:lvl w:ilvl="4" w:tplc="E2D45E60">
      <w:start w:val="1"/>
      <w:numFmt w:val="decimal"/>
      <w:lvlText w:val="%5."/>
      <w:lvlJc w:val="left"/>
      <w:pPr>
        <w:tabs>
          <w:tab w:val="num" w:pos="3600"/>
        </w:tabs>
        <w:ind w:left="3600" w:hanging="360"/>
      </w:pPr>
    </w:lvl>
    <w:lvl w:ilvl="5" w:tplc="18166644">
      <w:start w:val="1"/>
      <w:numFmt w:val="decimal"/>
      <w:lvlText w:val="%6."/>
      <w:lvlJc w:val="left"/>
      <w:pPr>
        <w:tabs>
          <w:tab w:val="num" w:pos="4320"/>
        </w:tabs>
        <w:ind w:left="4320" w:hanging="360"/>
      </w:pPr>
    </w:lvl>
    <w:lvl w:ilvl="6" w:tplc="94C26BD0">
      <w:start w:val="1"/>
      <w:numFmt w:val="decimal"/>
      <w:lvlText w:val="%7."/>
      <w:lvlJc w:val="left"/>
      <w:pPr>
        <w:tabs>
          <w:tab w:val="num" w:pos="5040"/>
        </w:tabs>
        <w:ind w:left="5040" w:hanging="360"/>
      </w:pPr>
    </w:lvl>
    <w:lvl w:ilvl="7" w:tplc="AC084044">
      <w:start w:val="1"/>
      <w:numFmt w:val="decimal"/>
      <w:lvlText w:val="%8."/>
      <w:lvlJc w:val="left"/>
      <w:pPr>
        <w:tabs>
          <w:tab w:val="num" w:pos="5760"/>
        </w:tabs>
        <w:ind w:left="5760" w:hanging="360"/>
      </w:pPr>
    </w:lvl>
    <w:lvl w:ilvl="8" w:tplc="0358BACE">
      <w:start w:val="1"/>
      <w:numFmt w:val="decimal"/>
      <w:lvlText w:val="%9."/>
      <w:lvlJc w:val="left"/>
      <w:pPr>
        <w:tabs>
          <w:tab w:val="num" w:pos="6480"/>
        </w:tabs>
        <w:ind w:left="6480" w:hanging="360"/>
      </w:pPr>
    </w:lvl>
  </w:abstractNum>
  <w:abstractNum w:abstractNumId="94" w15:restartNumberingAfterBreak="0">
    <w:nsid w:val="375E5617"/>
    <w:multiLevelType w:val="multilevel"/>
    <w:tmpl w:val="03BCB9BE"/>
    <w:lvl w:ilvl="0">
      <w:start w:val="9"/>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5" w15:restartNumberingAfterBreak="0">
    <w:nsid w:val="38793BD2"/>
    <w:multiLevelType w:val="hybridMultilevel"/>
    <w:tmpl w:val="91E0E7A6"/>
    <w:lvl w:ilvl="0" w:tplc="75C6C21A">
      <w:start w:val="1"/>
      <w:numFmt w:val="lowerLetter"/>
      <w:lvlText w:val="%1)"/>
      <w:lvlJc w:val="left"/>
      <w:pPr>
        <w:ind w:left="2631" w:hanging="360"/>
      </w:pPr>
      <w:rPr>
        <w:rFonts w:hint="default"/>
      </w:rPr>
    </w:lvl>
    <w:lvl w:ilvl="1" w:tplc="0950817E">
      <w:start w:val="1"/>
      <w:numFmt w:val="lowerLetter"/>
      <w:lvlText w:val="%2."/>
      <w:lvlJc w:val="left"/>
      <w:pPr>
        <w:ind w:left="3351" w:hanging="360"/>
      </w:pPr>
    </w:lvl>
    <w:lvl w:ilvl="2" w:tplc="4002EFA4" w:tentative="1">
      <w:start w:val="1"/>
      <w:numFmt w:val="lowerRoman"/>
      <w:lvlText w:val="%3."/>
      <w:lvlJc w:val="right"/>
      <w:pPr>
        <w:ind w:left="4071" w:hanging="180"/>
      </w:pPr>
    </w:lvl>
    <w:lvl w:ilvl="3" w:tplc="2948033E">
      <w:start w:val="1"/>
      <w:numFmt w:val="decimal"/>
      <w:lvlText w:val="%4."/>
      <w:lvlJc w:val="left"/>
      <w:pPr>
        <w:ind w:left="4791" w:hanging="360"/>
      </w:pPr>
    </w:lvl>
    <w:lvl w:ilvl="4" w:tplc="9D6CC3AA" w:tentative="1">
      <w:start w:val="1"/>
      <w:numFmt w:val="lowerLetter"/>
      <w:lvlText w:val="%5."/>
      <w:lvlJc w:val="left"/>
      <w:pPr>
        <w:ind w:left="5511" w:hanging="360"/>
      </w:pPr>
    </w:lvl>
    <w:lvl w:ilvl="5" w:tplc="03E48CF6" w:tentative="1">
      <w:start w:val="1"/>
      <w:numFmt w:val="lowerRoman"/>
      <w:lvlText w:val="%6."/>
      <w:lvlJc w:val="right"/>
      <w:pPr>
        <w:ind w:left="6231" w:hanging="180"/>
      </w:pPr>
    </w:lvl>
    <w:lvl w:ilvl="6" w:tplc="1A7C47F2" w:tentative="1">
      <w:start w:val="1"/>
      <w:numFmt w:val="decimal"/>
      <w:lvlText w:val="%7."/>
      <w:lvlJc w:val="left"/>
      <w:pPr>
        <w:ind w:left="6951" w:hanging="360"/>
      </w:pPr>
    </w:lvl>
    <w:lvl w:ilvl="7" w:tplc="9BAA78B0" w:tentative="1">
      <w:start w:val="1"/>
      <w:numFmt w:val="lowerLetter"/>
      <w:lvlText w:val="%8."/>
      <w:lvlJc w:val="left"/>
      <w:pPr>
        <w:ind w:left="7671" w:hanging="360"/>
      </w:pPr>
    </w:lvl>
    <w:lvl w:ilvl="8" w:tplc="66486886" w:tentative="1">
      <w:start w:val="1"/>
      <w:numFmt w:val="lowerRoman"/>
      <w:lvlText w:val="%9."/>
      <w:lvlJc w:val="right"/>
      <w:pPr>
        <w:ind w:left="8391" w:hanging="180"/>
      </w:pPr>
    </w:lvl>
  </w:abstractNum>
  <w:abstractNum w:abstractNumId="96" w15:restartNumberingAfterBreak="0">
    <w:nsid w:val="396179F4"/>
    <w:multiLevelType w:val="hybridMultilevel"/>
    <w:tmpl w:val="8D628D54"/>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396C16A9"/>
    <w:multiLevelType w:val="hybridMultilevel"/>
    <w:tmpl w:val="9252F448"/>
    <w:lvl w:ilvl="0" w:tplc="F980255C">
      <w:start w:val="1"/>
      <w:numFmt w:val="upperLetter"/>
      <w:lvlText w:val="(%1)"/>
      <w:lvlJc w:val="left"/>
      <w:pPr>
        <w:ind w:left="1069" w:hanging="360"/>
      </w:pPr>
      <w:rPr>
        <w:rFonts w:hint="default"/>
      </w:rPr>
    </w:lvl>
    <w:lvl w:ilvl="1" w:tplc="B046EC98" w:tentative="1">
      <w:start w:val="1"/>
      <w:numFmt w:val="lowerLetter"/>
      <w:lvlText w:val="%2."/>
      <w:lvlJc w:val="left"/>
      <w:pPr>
        <w:ind w:left="1789" w:hanging="360"/>
      </w:pPr>
    </w:lvl>
    <w:lvl w:ilvl="2" w:tplc="0D84BD9E" w:tentative="1">
      <w:start w:val="1"/>
      <w:numFmt w:val="lowerRoman"/>
      <w:lvlText w:val="%3."/>
      <w:lvlJc w:val="right"/>
      <w:pPr>
        <w:ind w:left="2509" w:hanging="180"/>
      </w:pPr>
    </w:lvl>
    <w:lvl w:ilvl="3" w:tplc="F8F6B860" w:tentative="1">
      <w:start w:val="1"/>
      <w:numFmt w:val="decimal"/>
      <w:lvlText w:val="%4."/>
      <w:lvlJc w:val="left"/>
      <w:pPr>
        <w:ind w:left="3229" w:hanging="360"/>
      </w:pPr>
    </w:lvl>
    <w:lvl w:ilvl="4" w:tplc="E9CE0DD4" w:tentative="1">
      <w:start w:val="1"/>
      <w:numFmt w:val="lowerLetter"/>
      <w:lvlText w:val="%5."/>
      <w:lvlJc w:val="left"/>
      <w:pPr>
        <w:ind w:left="3949" w:hanging="360"/>
      </w:pPr>
    </w:lvl>
    <w:lvl w:ilvl="5" w:tplc="C5EC6602" w:tentative="1">
      <w:start w:val="1"/>
      <w:numFmt w:val="lowerRoman"/>
      <w:lvlText w:val="%6."/>
      <w:lvlJc w:val="right"/>
      <w:pPr>
        <w:ind w:left="4669" w:hanging="180"/>
      </w:pPr>
    </w:lvl>
    <w:lvl w:ilvl="6" w:tplc="E578DBF6" w:tentative="1">
      <w:start w:val="1"/>
      <w:numFmt w:val="decimal"/>
      <w:lvlText w:val="%7."/>
      <w:lvlJc w:val="left"/>
      <w:pPr>
        <w:ind w:left="5389" w:hanging="360"/>
      </w:pPr>
    </w:lvl>
    <w:lvl w:ilvl="7" w:tplc="250225D8" w:tentative="1">
      <w:start w:val="1"/>
      <w:numFmt w:val="lowerLetter"/>
      <w:lvlText w:val="%8."/>
      <w:lvlJc w:val="left"/>
      <w:pPr>
        <w:ind w:left="6109" w:hanging="360"/>
      </w:pPr>
    </w:lvl>
    <w:lvl w:ilvl="8" w:tplc="456A6B2C" w:tentative="1">
      <w:start w:val="1"/>
      <w:numFmt w:val="lowerRoman"/>
      <w:lvlText w:val="%9."/>
      <w:lvlJc w:val="right"/>
      <w:pPr>
        <w:ind w:left="6829" w:hanging="180"/>
      </w:pPr>
    </w:lvl>
  </w:abstractNum>
  <w:abstractNum w:abstractNumId="98" w15:restartNumberingAfterBreak="0">
    <w:nsid w:val="3A2B55D3"/>
    <w:multiLevelType w:val="hybridMultilevel"/>
    <w:tmpl w:val="A768C2B2"/>
    <w:lvl w:ilvl="0" w:tplc="77C0888E">
      <w:start w:val="1"/>
      <w:numFmt w:val="decimal"/>
      <w:lvlText w:val="5.3.1.%1."/>
      <w:lvlJc w:val="left"/>
      <w:pPr>
        <w:ind w:left="2149" w:hanging="360"/>
      </w:pPr>
      <w:rPr>
        <w:rFonts w:hint="default"/>
        <w:b w:val="0"/>
        <w:bCs w:val="0"/>
      </w:rPr>
    </w:lvl>
    <w:lvl w:ilvl="1" w:tplc="2E446B24">
      <w:start w:val="1"/>
      <w:numFmt w:val="lowerLetter"/>
      <w:lvlText w:val="%2."/>
      <w:lvlJc w:val="left"/>
      <w:pPr>
        <w:ind w:left="1440" w:hanging="360"/>
      </w:pPr>
    </w:lvl>
    <w:lvl w:ilvl="2" w:tplc="9EEEB82E" w:tentative="1">
      <w:start w:val="1"/>
      <w:numFmt w:val="lowerRoman"/>
      <w:lvlText w:val="%3."/>
      <w:lvlJc w:val="right"/>
      <w:pPr>
        <w:ind w:left="2160" w:hanging="180"/>
      </w:pPr>
    </w:lvl>
    <w:lvl w:ilvl="3" w:tplc="3404FFF8" w:tentative="1">
      <w:start w:val="1"/>
      <w:numFmt w:val="decimal"/>
      <w:lvlText w:val="%4."/>
      <w:lvlJc w:val="left"/>
      <w:pPr>
        <w:ind w:left="2880" w:hanging="360"/>
      </w:pPr>
    </w:lvl>
    <w:lvl w:ilvl="4" w:tplc="6BAC2C52" w:tentative="1">
      <w:start w:val="1"/>
      <w:numFmt w:val="lowerLetter"/>
      <w:lvlText w:val="%5."/>
      <w:lvlJc w:val="left"/>
      <w:pPr>
        <w:ind w:left="3600" w:hanging="360"/>
      </w:pPr>
    </w:lvl>
    <w:lvl w:ilvl="5" w:tplc="9D5C4F6E" w:tentative="1">
      <w:start w:val="1"/>
      <w:numFmt w:val="lowerRoman"/>
      <w:lvlText w:val="%6."/>
      <w:lvlJc w:val="right"/>
      <w:pPr>
        <w:ind w:left="4320" w:hanging="180"/>
      </w:pPr>
    </w:lvl>
    <w:lvl w:ilvl="6" w:tplc="B02627B4" w:tentative="1">
      <w:start w:val="1"/>
      <w:numFmt w:val="decimal"/>
      <w:lvlText w:val="%7."/>
      <w:lvlJc w:val="left"/>
      <w:pPr>
        <w:ind w:left="5040" w:hanging="360"/>
      </w:pPr>
    </w:lvl>
    <w:lvl w:ilvl="7" w:tplc="B2D8A300" w:tentative="1">
      <w:start w:val="1"/>
      <w:numFmt w:val="lowerLetter"/>
      <w:lvlText w:val="%8."/>
      <w:lvlJc w:val="left"/>
      <w:pPr>
        <w:ind w:left="5760" w:hanging="360"/>
      </w:pPr>
    </w:lvl>
    <w:lvl w:ilvl="8" w:tplc="A29CE306" w:tentative="1">
      <w:start w:val="1"/>
      <w:numFmt w:val="lowerRoman"/>
      <w:lvlText w:val="%9."/>
      <w:lvlJc w:val="right"/>
      <w:pPr>
        <w:ind w:left="6480" w:hanging="180"/>
      </w:pPr>
    </w:lvl>
  </w:abstractNum>
  <w:abstractNum w:abstractNumId="99" w15:restartNumberingAfterBreak="0">
    <w:nsid w:val="3AAC165B"/>
    <w:multiLevelType w:val="hybridMultilevel"/>
    <w:tmpl w:val="8810635E"/>
    <w:lvl w:ilvl="0" w:tplc="134CB510">
      <w:start w:val="1"/>
      <w:numFmt w:val="upperRoman"/>
      <w:lvlText w:val="%1."/>
      <w:lvlJc w:val="left"/>
      <w:pPr>
        <w:ind w:left="1004" w:hanging="720"/>
      </w:pPr>
      <w:rPr>
        <w:rFonts w:hint="default"/>
        <w:b w:val="0"/>
      </w:rPr>
    </w:lvl>
    <w:lvl w:ilvl="1" w:tplc="D03C407C">
      <w:start w:val="1"/>
      <w:numFmt w:val="lowerLetter"/>
      <w:lvlText w:val="%2."/>
      <w:lvlJc w:val="left"/>
      <w:pPr>
        <w:ind w:left="1440" w:hanging="360"/>
      </w:pPr>
    </w:lvl>
    <w:lvl w:ilvl="2" w:tplc="32EA9912" w:tentative="1">
      <w:start w:val="1"/>
      <w:numFmt w:val="lowerRoman"/>
      <w:lvlText w:val="%3."/>
      <w:lvlJc w:val="right"/>
      <w:pPr>
        <w:ind w:left="2160" w:hanging="180"/>
      </w:pPr>
    </w:lvl>
    <w:lvl w:ilvl="3" w:tplc="DF46FF70" w:tentative="1">
      <w:start w:val="1"/>
      <w:numFmt w:val="decimal"/>
      <w:lvlText w:val="%4."/>
      <w:lvlJc w:val="left"/>
      <w:pPr>
        <w:ind w:left="2880" w:hanging="360"/>
      </w:pPr>
    </w:lvl>
    <w:lvl w:ilvl="4" w:tplc="2E827762" w:tentative="1">
      <w:start w:val="1"/>
      <w:numFmt w:val="lowerLetter"/>
      <w:lvlText w:val="%5."/>
      <w:lvlJc w:val="left"/>
      <w:pPr>
        <w:ind w:left="3600" w:hanging="360"/>
      </w:pPr>
    </w:lvl>
    <w:lvl w:ilvl="5" w:tplc="63C620A8" w:tentative="1">
      <w:start w:val="1"/>
      <w:numFmt w:val="lowerRoman"/>
      <w:lvlText w:val="%6."/>
      <w:lvlJc w:val="right"/>
      <w:pPr>
        <w:ind w:left="4320" w:hanging="180"/>
      </w:pPr>
    </w:lvl>
    <w:lvl w:ilvl="6" w:tplc="395AB20E" w:tentative="1">
      <w:start w:val="1"/>
      <w:numFmt w:val="decimal"/>
      <w:lvlText w:val="%7."/>
      <w:lvlJc w:val="left"/>
      <w:pPr>
        <w:ind w:left="5040" w:hanging="360"/>
      </w:pPr>
    </w:lvl>
    <w:lvl w:ilvl="7" w:tplc="78840274" w:tentative="1">
      <w:start w:val="1"/>
      <w:numFmt w:val="lowerLetter"/>
      <w:lvlText w:val="%8."/>
      <w:lvlJc w:val="left"/>
      <w:pPr>
        <w:ind w:left="5760" w:hanging="360"/>
      </w:pPr>
    </w:lvl>
    <w:lvl w:ilvl="8" w:tplc="8DE639F4" w:tentative="1">
      <w:start w:val="1"/>
      <w:numFmt w:val="lowerRoman"/>
      <w:lvlText w:val="%9."/>
      <w:lvlJc w:val="right"/>
      <w:pPr>
        <w:ind w:left="6480" w:hanging="180"/>
      </w:pPr>
    </w:lvl>
  </w:abstractNum>
  <w:abstractNum w:abstractNumId="100" w15:restartNumberingAfterBreak="0">
    <w:nsid w:val="3AD25B73"/>
    <w:multiLevelType w:val="multilevel"/>
    <w:tmpl w:val="19D2CC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15:restartNumberingAfterBreak="0">
    <w:nsid w:val="3B6D033C"/>
    <w:multiLevelType w:val="hybridMultilevel"/>
    <w:tmpl w:val="E146D40C"/>
    <w:lvl w:ilvl="0" w:tplc="2160B188">
      <w:start w:val="1"/>
      <w:numFmt w:val="lowerLetter"/>
      <w:lvlText w:val="(%1)"/>
      <w:lvlJc w:val="left"/>
      <w:pPr>
        <w:ind w:left="1080" w:hanging="720"/>
      </w:pPr>
      <w:rPr>
        <w:rFonts w:hint="default"/>
      </w:rPr>
    </w:lvl>
    <w:lvl w:ilvl="1" w:tplc="338E47BE" w:tentative="1">
      <w:start w:val="1"/>
      <w:numFmt w:val="lowerLetter"/>
      <w:lvlText w:val="%2."/>
      <w:lvlJc w:val="left"/>
      <w:pPr>
        <w:ind w:left="1440" w:hanging="360"/>
      </w:pPr>
    </w:lvl>
    <w:lvl w:ilvl="2" w:tplc="D8C48B32" w:tentative="1">
      <w:start w:val="1"/>
      <w:numFmt w:val="lowerRoman"/>
      <w:lvlText w:val="%3."/>
      <w:lvlJc w:val="right"/>
      <w:pPr>
        <w:ind w:left="2160" w:hanging="180"/>
      </w:pPr>
    </w:lvl>
    <w:lvl w:ilvl="3" w:tplc="5F443B20" w:tentative="1">
      <w:start w:val="1"/>
      <w:numFmt w:val="decimal"/>
      <w:lvlText w:val="%4."/>
      <w:lvlJc w:val="left"/>
      <w:pPr>
        <w:ind w:left="2880" w:hanging="360"/>
      </w:pPr>
    </w:lvl>
    <w:lvl w:ilvl="4" w:tplc="BBBCD124" w:tentative="1">
      <w:start w:val="1"/>
      <w:numFmt w:val="lowerLetter"/>
      <w:lvlText w:val="%5."/>
      <w:lvlJc w:val="left"/>
      <w:pPr>
        <w:ind w:left="3600" w:hanging="360"/>
      </w:pPr>
    </w:lvl>
    <w:lvl w:ilvl="5" w:tplc="E4DC5A84" w:tentative="1">
      <w:start w:val="1"/>
      <w:numFmt w:val="lowerRoman"/>
      <w:lvlText w:val="%6."/>
      <w:lvlJc w:val="right"/>
      <w:pPr>
        <w:ind w:left="4320" w:hanging="180"/>
      </w:pPr>
    </w:lvl>
    <w:lvl w:ilvl="6" w:tplc="E120215A" w:tentative="1">
      <w:start w:val="1"/>
      <w:numFmt w:val="decimal"/>
      <w:lvlText w:val="%7."/>
      <w:lvlJc w:val="left"/>
      <w:pPr>
        <w:ind w:left="5040" w:hanging="360"/>
      </w:pPr>
    </w:lvl>
    <w:lvl w:ilvl="7" w:tplc="CFD4A540" w:tentative="1">
      <w:start w:val="1"/>
      <w:numFmt w:val="lowerLetter"/>
      <w:lvlText w:val="%8."/>
      <w:lvlJc w:val="left"/>
      <w:pPr>
        <w:ind w:left="5760" w:hanging="360"/>
      </w:pPr>
    </w:lvl>
    <w:lvl w:ilvl="8" w:tplc="FFB69744" w:tentative="1">
      <w:start w:val="1"/>
      <w:numFmt w:val="lowerRoman"/>
      <w:lvlText w:val="%9."/>
      <w:lvlJc w:val="right"/>
      <w:pPr>
        <w:ind w:left="6480" w:hanging="180"/>
      </w:pPr>
    </w:lvl>
  </w:abstractNum>
  <w:abstractNum w:abstractNumId="102" w15:restartNumberingAfterBreak="0">
    <w:nsid w:val="3C98470C"/>
    <w:multiLevelType w:val="hybridMultilevel"/>
    <w:tmpl w:val="6130CE76"/>
    <w:lvl w:ilvl="0" w:tplc="1332D03A">
      <w:start w:val="1"/>
      <w:numFmt w:val="lowerRoman"/>
      <w:lvlText w:val="(%1)"/>
      <w:lvlJc w:val="left"/>
      <w:pPr>
        <w:ind w:left="1080" w:hanging="720"/>
      </w:pPr>
      <w:rPr>
        <w:rFonts w:ascii="Verdana" w:eastAsia="Arial Unicode MS" w:hAnsi="Verdana" w:hint="default"/>
        <w:sz w:val="20"/>
      </w:rPr>
    </w:lvl>
    <w:lvl w:ilvl="1" w:tplc="EF9E2A0A" w:tentative="1">
      <w:start w:val="1"/>
      <w:numFmt w:val="lowerLetter"/>
      <w:lvlText w:val="%2."/>
      <w:lvlJc w:val="left"/>
      <w:pPr>
        <w:ind w:left="1440" w:hanging="360"/>
      </w:pPr>
    </w:lvl>
    <w:lvl w:ilvl="2" w:tplc="254C41CE" w:tentative="1">
      <w:start w:val="1"/>
      <w:numFmt w:val="lowerRoman"/>
      <w:lvlText w:val="%3."/>
      <w:lvlJc w:val="right"/>
      <w:pPr>
        <w:ind w:left="2160" w:hanging="180"/>
      </w:pPr>
    </w:lvl>
    <w:lvl w:ilvl="3" w:tplc="CE3A00E0" w:tentative="1">
      <w:start w:val="1"/>
      <w:numFmt w:val="decimal"/>
      <w:lvlText w:val="%4."/>
      <w:lvlJc w:val="left"/>
      <w:pPr>
        <w:ind w:left="2880" w:hanging="360"/>
      </w:pPr>
    </w:lvl>
    <w:lvl w:ilvl="4" w:tplc="C84CB450" w:tentative="1">
      <w:start w:val="1"/>
      <w:numFmt w:val="lowerLetter"/>
      <w:lvlText w:val="%5."/>
      <w:lvlJc w:val="left"/>
      <w:pPr>
        <w:ind w:left="3600" w:hanging="360"/>
      </w:pPr>
    </w:lvl>
    <w:lvl w:ilvl="5" w:tplc="FB4A0E20" w:tentative="1">
      <w:start w:val="1"/>
      <w:numFmt w:val="lowerRoman"/>
      <w:lvlText w:val="%6."/>
      <w:lvlJc w:val="right"/>
      <w:pPr>
        <w:ind w:left="4320" w:hanging="180"/>
      </w:pPr>
    </w:lvl>
    <w:lvl w:ilvl="6" w:tplc="1EF857FA" w:tentative="1">
      <w:start w:val="1"/>
      <w:numFmt w:val="decimal"/>
      <w:lvlText w:val="%7."/>
      <w:lvlJc w:val="left"/>
      <w:pPr>
        <w:ind w:left="5040" w:hanging="360"/>
      </w:pPr>
    </w:lvl>
    <w:lvl w:ilvl="7" w:tplc="91F609E2" w:tentative="1">
      <w:start w:val="1"/>
      <w:numFmt w:val="lowerLetter"/>
      <w:lvlText w:val="%8."/>
      <w:lvlJc w:val="left"/>
      <w:pPr>
        <w:ind w:left="5760" w:hanging="360"/>
      </w:pPr>
    </w:lvl>
    <w:lvl w:ilvl="8" w:tplc="68D41FD0" w:tentative="1">
      <w:start w:val="1"/>
      <w:numFmt w:val="lowerRoman"/>
      <w:lvlText w:val="%9."/>
      <w:lvlJc w:val="right"/>
      <w:pPr>
        <w:ind w:left="6480" w:hanging="180"/>
      </w:pPr>
    </w:lvl>
  </w:abstractNum>
  <w:abstractNum w:abstractNumId="103" w15:restartNumberingAfterBreak="0">
    <w:nsid w:val="3CAB31BC"/>
    <w:multiLevelType w:val="hybridMultilevel"/>
    <w:tmpl w:val="1CE00480"/>
    <w:lvl w:ilvl="0" w:tplc="DC0E817E">
      <w:start w:val="1"/>
      <w:numFmt w:val="upperRoman"/>
      <w:lvlText w:val="(%1)"/>
      <w:lvlJc w:val="left"/>
      <w:pPr>
        <w:ind w:left="1429" w:hanging="720"/>
      </w:pPr>
      <w:rPr>
        <w:rFonts w:eastAsia="Times New Roman" w:hint="default"/>
      </w:rPr>
    </w:lvl>
    <w:lvl w:ilvl="1" w:tplc="3228A1F0" w:tentative="1">
      <w:start w:val="1"/>
      <w:numFmt w:val="lowerLetter"/>
      <w:lvlText w:val="%2."/>
      <w:lvlJc w:val="left"/>
      <w:pPr>
        <w:ind w:left="1789" w:hanging="360"/>
      </w:pPr>
    </w:lvl>
    <w:lvl w:ilvl="2" w:tplc="150A7468" w:tentative="1">
      <w:start w:val="1"/>
      <w:numFmt w:val="lowerRoman"/>
      <w:lvlText w:val="%3."/>
      <w:lvlJc w:val="right"/>
      <w:pPr>
        <w:ind w:left="2509" w:hanging="180"/>
      </w:pPr>
    </w:lvl>
    <w:lvl w:ilvl="3" w:tplc="253A7B46" w:tentative="1">
      <w:start w:val="1"/>
      <w:numFmt w:val="decimal"/>
      <w:lvlText w:val="%4."/>
      <w:lvlJc w:val="left"/>
      <w:pPr>
        <w:ind w:left="3229" w:hanging="360"/>
      </w:pPr>
    </w:lvl>
    <w:lvl w:ilvl="4" w:tplc="C0AAF40E" w:tentative="1">
      <w:start w:val="1"/>
      <w:numFmt w:val="lowerLetter"/>
      <w:lvlText w:val="%5."/>
      <w:lvlJc w:val="left"/>
      <w:pPr>
        <w:ind w:left="3949" w:hanging="360"/>
      </w:pPr>
    </w:lvl>
    <w:lvl w:ilvl="5" w:tplc="5C6615AE" w:tentative="1">
      <w:start w:val="1"/>
      <w:numFmt w:val="lowerRoman"/>
      <w:lvlText w:val="%6."/>
      <w:lvlJc w:val="right"/>
      <w:pPr>
        <w:ind w:left="4669" w:hanging="180"/>
      </w:pPr>
    </w:lvl>
    <w:lvl w:ilvl="6" w:tplc="1E4C9AA0" w:tentative="1">
      <w:start w:val="1"/>
      <w:numFmt w:val="decimal"/>
      <w:lvlText w:val="%7."/>
      <w:lvlJc w:val="left"/>
      <w:pPr>
        <w:ind w:left="5389" w:hanging="360"/>
      </w:pPr>
    </w:lvl>
    <w:lvl w:ilvl="7" w:tplc="8A849048" w:tentative="1">
      <w:start w:val="1"/>
      <w:numFmt w:val="lowerLetter"/>
      <w:lvlText w:val="%8."/>
      <w:lvlJc w:val="left"/>
      <w:pPr>
        <w:ind w:left="6109" w:hanging="360"/>
      </w:pPr>
    </w:lvl>
    <w:lvl w:ilvl="8" w:tplc="82427F72" w:tentative="1">
      <w:start w:val="1"/>
      <w:numFmt w:val="lowerRoman"/>
      <w:lvlText w:val="%9."/>
      <w:lvlJc w:val="right"/>
      <w:pPr>
        <w:ind w:left="6829" w:hanging="180"/>
      </w:pPr>
    </w:lvl>
  </w:abstractNum>
  <w:abstractNum w:abstractNumId="104" w15:restartNumberingAfterBreak="0">
    <w:nsid w:val="3D9E06E0"/>
    <w:multiLevelType w:val="multilevel"/>
    <w:tmpl w:val="1F30F4DA"/>
    <w:name w:val="zzmpArticle||Article|2|1|1|4|2|41||1|2|0||1|2|0||1|2|0||1|2|0||1|4|0||1|4|0||1|4|0||1|4|0||"/>
    <w:lvl w:ilvl="0">
      <w:start w:val="1"/>
      <w:numFmt w:val="upperRoman"/>
      <w:suff w:val="nothing"/>
      <w:lvlText w:val="CLÁUSULA %1"/>
      <w:lvlJc w:val="left"/>
      <w:pPr>
        <w:tabs>
          <w:tab w:val="num" w:pos="5399"/>
        </w:tabs>
        <w:ind w:left="4679" w:firstLine="0"/>
      </w:pPr>
      <w:rPr>
        <w:rFonts w:ascii="Verdana" w:hAnsi="Verdana" w:cs="Segoe UI" w:hint="default"/>
        <w:b/>
        <w:i w:val="0"/>
        <w:caps/>
        <w:smallCaps w:val="0"/>
        <w:color w:val="auto"/>
        <w:sz w:val="20"/>
        <w:szCs w:val="20"/>
        <w:u w:val="none"/>
      </w:rPr>
    </w:lvl>
    <w:lvl w:ilvl="1">
      <w:start w:val="1"/>
      <w:numFmt w:val="decimal"/>
      <w:isLgl/>
      <w:lvlText w:val="%1.%2"/>
      <w:lvlJc w:val="left"/>
      <w:pPr>
        <w:tabs>
          <w:tab w:val="num" w:pos="7100"/>
        </w:tabs>
        <w:ind w:left="6380" w:firstLine="0"/>
      </w:pPr>
      <w:rPr>
        <w:rFonts w:ascii="Verdana" w:hAnsi="Verdana" w:cs="Segoe UI" w:hint="default"/>
        <w:b w:val="0"/>
        <w:i w:val="0"/>
        <w:caps w:val="0"/>
        <w:color w:val="auto"/>
        <w:sz w:val="20"/>
        <w:szCs w:val="20"/>
        <w:u w:val="none"/>
      </w:rPr>
    </w:lvl>
    <w:lvl w:ilvl="2">
      <w:start w:val="1"/>
      <w:numFmt w:val="decimal"/>
      <w:isLgl/>
      <w:lvlText w:val="%1.%2.%3"/>
      <w:lvlJc w:val="left"/>
      <w:pPr>
        <w:tabs>
          <w:tab w:val="num" w:pos="720"/>
        </w:tabs>
        <w:ind w:left="720" w:hanging="720"/>
      </w:pPr>
      <w:rPr>
        <w:rFonts w:ascii="Verdana" w:hAnsi="Verdana" w:cs="Segoe UI" w:hint="default"/>
        <w:b/>
        <w:i w:val="0"/>
        <w:caps w:val="0"/>
        <w:color w:val="auto"/>
        <w:sz w:val="20"/>
        <w:szCs w:val="20"/>
        <w:u w:val="none"/>
      </w:rPr>
    </w:lvl>
    <w:lvl w:ilvl="3">
      <w:start w:val="1"/>
      <w:numFmt w:val="lowerLetter"/>
      <w:lvlText w:val="%4)"/>
      <w:lvlJc w:val="left"/>
      <w:pPr>
        <w:tabs>
          <w:tab w:val="num" w:pos="1440"/>
        </w:tabs>
        <w:ind w:left="1440" w:hanging="720"/>
      </w:pPr>
      <w:rPr>
        <w:rFonts w:ascii="Calibri" w:hAnsi="Calibri" w:cs="Calibri" w:hint="default"/>
        <w:b w:val="0"/>
        <w:bCs w:val="0"/>
        <w:i w:val="0"/>
        <w:caps w:val="0"/>
        <w:spacing w:val="0"/>
        <w:sz w:val="20"/>
        <w:szCs w:val="20"/>
        <w:u w:val="none"/>
        <w:lang w:val="x-none"/>
      </w:rPr>
    </w:lvl>
    <w:lvl w:ilvl="4">
      <w:start w:val="1"/>
      <w:numFmt w:val="lowerRoman"/>
      <w:lvlText w:val="(%5)"/>
      <w:lvlJc w:val="left"/>
      <w:pPr>
        <w:tabs>
          <w:tab w:val="num" w:pos="2160"/>
        </w:tabs>
        <w:ind w:left="2160" w:hanging="720"/>
      </w:pPr>
      <w:rPr>
        <w:rFonts w:ascii="Verdana" w:hAnsi="Verdana" w:hint="default"/>
        <w:b w:val="0"/>
        <w:i w:val="0"/>
        <w:caps w:val="0"/>
        <w:sz w:val="20"/>
        <w:szCs w:val="20"/>
        <w:u w:val="none"/>
      </w:rPr>
    </w:lvl>
    <w:lvl w:ilvl="5">
      <w:start w:val="1"/>
      <w:numFmt w:val="decimal"/>
      <w:lvlText w:val="(%6)"/>
      <w:lvlJc w:val="left"/>
      <w:pPr>
        <w:tabs>
          <w:tab w:val="num" w:pos="4320"/>
        </w:tabs>
        <w:ind w:left="0" w:firstLine="3600"/>
      </w:pPr>
      <w:rPr>
        <w:b w:val="0"/>
        <w:i w:val="0"/>
        <w:caps w:val="0"/>
        <w:u w:val="none"/>
      </w:rPr>
    </w:lvl>
    <w:lvl w:ilvl="6">
      <w:start w:val="1"/>
      <w:numFmt w:val="lowerLetter"/>
      <w:lvlText w:val="%7."/>
      <w:lvlJc w:val="left"/>
      <w:pPr>
        <w:tabs>
          <w:tab w:val="num" w:pos="5040"/>
        </w:tabs>
        <w:ind w:left="0" w:firstLine="4320"/>
      </w:pPr>
      <w:rPr>
        <w:b w:val="0"/>
        <w:i w:val="0"/>
        <w:caps w:val="0"/>
        <w:color w:val="auto"/>
        <w:u w:val="none"/>
      </w:rPr>
    </w:lvl>
    <w:lvl w:ilvl="7">
      <w:start w:val="1"/>
      <w:numFmt w:val="lowerRoman"/>
      <w:lvlText w:val="%8."/>
      <w:lvlJc w:val="left"/>
      <w:pPr>
        <w:tabs>
          <w:tab w:val="num" w:pos="5760"/>
        </w:tabs>
        <w:ind w:left="0" w:firstLine="5040"/>
      </w:pPr>
      <w:rPr>
        <w:b w:val="0"/>
        <w:i w:val="0"/>
        <w:caps w:val="0"/>
        <w:color w:val="auto"/>
        <w:u w:val="none"/>
      </w:rPr>
    </w:lvl>
    <w:lvl w:ilvl="8">
      <w:start w:val="1"/>
      <w:numFmt w:val="decimal"/>
      <w:lvlText w:val="%9."/>
      <w:lvlJc w:val="left"/>
      <w:pPr>
        <w:tabs>
          <w:tab w:val="num" w:pos="6480"/>
        </w:tabs>
        <w:ind w:left="0" w:firstLine="5760"/>
      </w:pPr>
      <w:rPr>
        <w:b w:val="0"/>
        <w:i w:val="0"/>
        <w:caps w:val="0"/>
        <w:color w:val="auto"/>
        <w:u w:val="none"/>
      </w:rPr>
    </w:lvl>
  </w:abstractNum>
  <w:abstractNum w:abstractNumId="105" w15:restartNumberingAfterBreak="0">
    <w:nsid w:val="3EBF5760"/>
    <w:multiLevelType w:val="hybridMultilevel"/>
    <w:tmpl w:val="6108FA18"/>
    <w:lvl w:ilvl="0" w:tplc="A91AED62">
      <w:start w:val="1"/>
      <w:numFmt w:val="decimal"/>
      <w:lvlText w:val="4.%1."/>
      <w:lvlJc w:val="left"/>
      <w:pPr>
        <w:ind w:left="720" w:hanging="360"/>
      </w:pPr>
      <w:rPr>
        <w:rFonts w:hint="default"/>
        <w:b/>
        <w:bCs w:val="0"/>
      </w:rPr>
    </w:lvl>
    <w:lvl w:ilvl="1" w:tplc="61F0BA0C">
      <w:start w:val="1"/>
      <w:numFmt w:val="decimal"/>
      <w:lvlText w:val="4.9.%2."/>
      <w:lvlJc w:val="left"/>
      <w:pPr>
        <w:ind w:left="1440" w:hanging="360"/>
      </w:pPr>
      <w:rPr>
        <w:rFonts w:ascii="Verdana" w:hAnsi="Verdana" w:hint="default"/>
        <w:b w:val="0"/>
        <w:bCs w:val="0"/>
        <w:sz w:val="20"/>
        <w:szCs w:val="20"/>
      </w:rPr>
    </w:lvl>
    <w:lvl w:ilvl="2" w:tplc="FC26EE32">
      <w:start w:val="1"/>
      <w:numFmt w:val="lowerRoman"/>
      <w:lvlText w:val="%3."/>
      <w:lvlJc w:val="right"/>
      <w:pPr>
        <w:ind w:left="2160" w:hanging="180"/>
      </w:pPr>
    </w:lvl>
    <w:lvl w:ilvl="3" w:tplc="7CE49344" w:tentative="1">
      <w:start w:val="1"/>
      <w:numFmt w:val="decimal"/>
      <w:lvlText w:val="%4."/>
      <w:lvlJc w:val="left"/>
      <w:pPr>
        <w:ind w:left="2880" w:hanging="360"/>
      </w:pPr>
    </w:lvl>
    <w:lvl w:ilvl="4" w:tplc="10E0B5C6" w:tentative="1">
      <w:start w:val="1"/>
      <w:numFmt w:val="lowerLetter"/>
      <w:lvlText w:val="%5."/>
      <w:lvlJc w:val="left"/>
      <w:pPr>
        <w:ind w:left="3600" w:hanging="360"/>
      </w:pPr>
    </w:lvl>
    <w:lvl w:ilvl="5" w:tplc="2092FA90" w:tentative="1">
      <w:start w:val="1"/>
      <w:numFmt w:val="lowerRoman"/>
      <w:lvlText w:val="%6."/>
      <w:lvlJc w:val="right"/>
      <w:pPr>
        <w:ind w:left="4320" w:hanging="180"/>
      </w:pPr>
    </w:lvl>
    <w:lvl w:ilvl="6" w:tplc="F8A69D84" w:tentative="1">
      <w:start w:val="1"/>
      <w:numFmt w:val="decimal"/>
      <w:lvlText w:val="%7."/>
      <w:lvlJc w:val="left"/>
      <w:pPr>
        <w:ind w:left="5040" w:hanging="360"/>
      </w:pPr>
    </w:lvl>
    <w:lvl w:ilvl="7" w:tplc="4B2671C6" w:tentative="1">
      <w:start w:val="1"/>
      <w:numFmt w:val="lowerLetter"/>
      <w:lvlText w:val="%8."/>
      <w:lvlJc w:val="left"/>
      <w:pPr>
        <w:ind w:left="5760" w:hanging="360"/>
      </w:pPr>
    </w:lvl>
    <w:lvl w:ilvl="8" w:tplc="212A9CCE" w:tentative="1">
      <w:start w:val="1"/>
      <w:numFmt w:val="lowerRoman"/>
      <w:lvlText w:val="%9."/>
      <w:lvlJc w:val="right"/>
      <w:pPr>
        <w:ind w:left="6480" w:hanging="180"/>
      </w:pPr>
    </w:lvl>
  </w:abstractNum>
  <w:abstractNum w:abstractNumId="106" w15:restartNumberingAfterBreak="0">
    <w:nsid w:val="3EC546D8"/>
    <w:multiLevelType w:val="multilevel"/>
    <w:tmpl w:val="1B90CD94"/>
    <w:lvl w:ilvl="0">
      <w:start w:val="11"/>
      <w:numFmt w:val="decimal"/>
      <w:lvlText w:val="%1"/>
      <w:lvlJc w:val="left"/>
      <w:pPr>
        <w:ind w:left="672" w:hanging="672"/>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7" w15:restartNumberingAfterBreak="0">
    <w:nsid w:val="405D66A4"/>
    <w:multiLevelType w:val="hybridMultilevel"/>
    <w:tmpl w:val="677EA2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0A3687C"/>
    <w:multiLevelType w:val="hybridMultilevel"/>
    <w:tmpl w:val="D2C2DA1A"/>
    <w:lvl w:ilvl="0" w:tplc="A5AE7356">
      <w:start w:val="1"/>
      <w:numFmt w:val="bullet"/>
      <w:lvlText w:val=""/>
      <w:lvlJc w:val="left"/>
      <w:pPr>
        <w:ind w:left="360" w:hanging="360"/>
      </w:pPr>
      <w:rPr>
        <w:rFonts w:ascii="Symbol" w:hAnsi="Symbol" w:hint="default"/>
        <w:color w:val="auto"/>
      </w:rPr>
    </w:lvl>
    <w:lvl w:ilvl="1" w:tplc="12FE2196">
      <w:start w:val="1"/>
      <w:numFmt w:val="bullet"/>
      <w:lvlText w:val=""/>
      <w:lvlJc w:val="left"/>
      <w:pPr>
        <w:ind w:left="1440" w:hanging="360"/>
      </w:pPr>
      <w:rPr>
        <w:rFonts w:ascii="Wingdings" w:hAnsi="Wingdings" w:hint="default"/>
        <w:u w:color="FF0000"/>
      </w:rPr>
    </w:lvl>
    <w:lvl w:ilvl="2" w:tplc="F3443028">
      <w:start w:val="1"/>
      <w:numFmt w:val="bullet"/>
      <w:lvlText w:val=""/>
      <w:lvlJc w:val="left"/>
      <w:pPr>
        <w:ind w:left="2160" w:hanging="360"/>
      </w:pPr>
      <w:rPr>
        <w:rFonts w:ascii="Wingdings" w:hAnsi="Wingdings" w:hint="default"/>
      </w:rPr>
    </w:lvl>
    <w:lvl w:ilvl="3" w:tplc="DE7E1A50">
      <w:start w:val="1"/>
      <w:numFmt w:val="bullet"/>
      <w:lvlText w:val=""/>
      <w:lvlJc w:val="left"/>
      <w:pPr>
        <w:ind w:left="2880" w:hanging="360"/>
      </w:pPr>
      <w:rPr>
        <w:rFonts w:ascii="Symbol" w:hAnsi="Symbol" w:hint="default"/>
      </w:rPr>
    </w:lvl>
    <w:lvl w:ilvl="4" w:tplc="E3749DF8">
      <w:start w:val="1"/>
      <w:numFmt w:val="bullet"/>
      <w:lvlText w:val="o"/>
      <w:lvlJc w:val="left"/>
      <w:pPr>
        <w:ind w:left="3600" w:hanging="360"/>
      </w:pPr>
      <w:rPr>
        <w:rFonts w:ascii="Courier New" w:hAnsi="Courier New" w:cs="Courier New" w:hint="default"/>
      </w:rPr>
    </w:lvl>
    <w:lvl w:ilvl="5" w:tplc="DF70913E">
      <w:start w:val="1"/>
      <w:numFmt w:val="bullet"/>
      <w:lvlText w:val=""/>
      <w:lvlJc w:val="left"/>
      <w:pPr>
        <w:ind w:left="4320" w:hanging="360"/>
      </w:pPr>
      <w:rPr>
        <w:rFonts w:ascii="Wingdings" w:hAnsi="Wingdings" w:hint="default"/>
      </w:rPr>
    </w:lvl>
    <w:lvl w:ilvl="6" w:tplc="9C9A43FC">
      <w:start w:val="1"/>
      <w:numFmt w:val="bullet"/>
      <w:lvlText w:val=""/>
      <w:lvlJc w:val="left"/>
      <w:pPr>
        <w:ind w:left="5040" w:hanging="360"/>
      </w:pPr>
      <w:rPr>
        <w:rFonts w:ascii="Symbol" w:hAnsi="Symbol" w:hint="default"/>
      </w:rPr>
    </w:lvl>
    <w:lvl w:ilvl="7" w:tplc="7E60B97C">
      <w:start w:val="1"/>
      <w:numFmt w:val="bullet"/>
      <w:lvlText w:val="o"/>
      <w:lvlJc w:val="left"/>
      <w:pPr>
        <w:ind w:left="5760" w:hanging="360"/>
      </w:pPr>
      <w:rPr>
        <w:rFonts w:ascii="Courier New" w:hAnsi="Courier New" w:cs="Courier New" w:hint="default"/>
      </w:rPr>
    </w:lvl>
    <w:lvl w:ilvl="8" w:tplc="7910E638">
      <w:start w:val="1"/>
      <w:numFmt w:val="bullet"/>
      <w:lvlText w:val=""/>
      <w:lvlJc w:val="left"/>
      <w:pPr>
        <w:ind w:left="6480" w:hanging="360"/>
      </w:pPr>
      <w:rPr>
        <w:rFonts w:ascii="Wingdings" w:hAnsi="Wingdings" w:hint="default"/>
      </w:rPr>
    </w:lvl>
  </w:abstractNum>
  <w:abstractNum w:abstractNumId="109" w15:restartNumberingAfterBreak="0">
    <w:nsid w:val="41395E97"/>
    <w:multiLevelType w:val="hybridMultilevel"/>
    <w:tmpl w:val="FA32D55E"/>
    <w:lvl w:ilvl="0" w:tplc="31D8BC08">
      <w:start w:val="1"/>
      <w:numFmt w:val="lowerLetter"/>
      <w:lvlText w:val="(%1)"/>
      <w:lvlJc w:val="left"/>
      <w:pPr>
        <w:ind w:left="720" w:hanging="360"/>
      </w:pPr>
      <w:rPr>
        <w:rFonts w:hint="default"/>
      </w:rPr>
    </w:lvl>
    <w:lvl w:ilvl="1" w:tplc="3782C946">
      <w:start w:val="1"/>
      <w:numFmt w:val="lowerLetter"/>
      <w:lvlText w:val="%2."/>
      <w:lvlJc w:val="left"/>
      <w:pPr>
        <w:ind w:left="1440" w:hanging="360"/>
      </w:pPr>
    </w:lvl>
    <w:lvl w:ilvl="2" w:tplc="3046653C" w:tentative="1">
      <w:start w:val="1"/>
      <w:numFmt w:val="lowerRoman"/>
      <w:lvlText w:val="%3."/>
      <w:lvlJc w:val="right"/>
      <w:pPr>
        <w:ind w:left="2160" w:hanging="180"/>
      </w:pPr>
    </w:lvl>
    <w:lvl w:ilvl="3" w:tplc="3F643874" w:tentative="1">
      <w:start w:val="1"/>
      <w:numFmt w:val="decimal"/>
      <w:lvlText w:val="%4."/>
      <w:lvlJc w:val="left"/>
      <w:pPr>
        <w:ind w:left="2880" w:hanging="360"/>
      </w:pPr>
    </w:lvl>
    <w:lvl w:ilvl="4" w:tplc="297CF81C" w:tentative="1">
      <w:start w:val="1"/>
      <w:numFmt w:val="lowerLetter"/>
      <w:lvlText w:val="%5."/>
      <w:lvlJc w:val="left"/>
      <w:pPr>
        <w:ind w:left="3600" w:hanging="360"/>
      </w:pPr>
    </w:lvl>
    <w:lvl w:ilvl="5" w:tplc="F370D5F4" w:tentative="1">
      <w:start w:val="1"/>
      <w:numFmt w:val="lowerRoman"/>
      <w:lvlText w:val="%6."/>
      <w:lvlJc w:val="right"/>
      <w:pPr>
        <w:ind w:left="4320" w:hanging="180"/>
      </w:pPr>
    </w:lvl>
    <w:lvl w:ilvl="6" w:tplc="7C00AF80" w:tentative="1">
      <w:start w:val="1"/>
      <w:numFmt w:val="decimal"/>
      <w:lvlText w:val="%7."/>
      <w:lvlJc w:val="left"/>
      <w:pPr>
        <w:ind w:left="5040" w:hanging="360"/>
      </w:pPr>
    </w:lvl>
    <w:lvl w:ilvl="7" w:tplc="5AC48258" w:tentative="1">
      <w:start w:val="1"/>
      <w:numFmt w:val="lowerLetter"/>
      <w:lvlText w:val="%8."/>
      <w:lvlJc w:val="left"/>
      <w:pPr>
        <w:ind w:left="5760" w:hanging="360"/>
      </w:pPr>
    </w:lvl>
    <w:lvl w:ilvl="8" w:tplc="07BAAED0" w:tentative="1">
      <w:start w:val="1"/>
      <w:numFmt w:val="lowerRoman"/>
      <w:lvlText w:val="%9."/>
      <w:lvlJc w:val="right"/>
      <w:pPr>
        <w:ind w:left="6480" w:hanging="180"/>
      </w:pPr>
    </w:lvl>
  </w:abstractNum>
  <w:abstractNum w:abstractNumId="110" w15:restartNumberingAfterBreak="0">
    <w:nsid w:val="41DF4B80"/>
    <w:multiLevelType w:val="multilevel"/>
    <w:tmpl w:val="F552CC6C"/>
    <w:lvl w:ilvl="0">
      <w:start w:val="1"/>
      <w:numFmt w:val="none"/>
      <w:suff w:val="nothing"/>
      <w:lvlText w:val=""/>
      <w:lvlJc w:val="left"/>
      <w:pPr>
        <w:ind w:left="-720" w:firstLine="0"/>
      </w:pPr>
      <w:rPr>
        <w:rFonts w:hint="default"/>
      </w:rPr>
    </w:lvl>
    <w:lvl w:ilvl="1">
      <w:start w:val="1"/>
      <w:numFmt w:val="upperRoman"/>
      <w:lvlText w:val="%2."/>
      <w:lvlJc w:val="left"/>
      <w:pPr>
        <w:tabs>
          <w:tab w:val="num" w:pos="851"/>
        </w:tabs>
        <w:ind w:left="851" w:hanging="851"/>
      </w:pPr>
      <w:rPr>
        <w:rFonts w:ascii="Optimum" w:hAnsi="Optimum"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lowerLetter"/>
      <w:lvlText w:val="%3."/>
      <w:lvlJc w:val="left"/>
      <w:pPr>
        <w:tabs>
          <w:tab w:val="num" w:pos="1304"/>
        </w:tabs>
        <w:ind w:left="1304" w:hanging="453"/>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11" w15:restartNumberingAfterBreak="0">
    <w:nsid w:val="41E818B8"/>
    <w:multiLevelType w:val="multilevel"/>
    <w:tmpl w:val="163438E8"/>
    <w:lvl w:ilvl="0">
      <w:start w:val="1"/>
      <w:numFmt w:val="lowerLetter"/>
      <w:lvlText w:val="(%1)"/>
      <w:lvlJc w:val="left"/>
      <w:pPr>
        <w:tabs>
          <w:tab w:val="num" w:pos="3969"/>
        </w:tabs>
        <w:ind w:left="1134"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434859E1"/>
    <w:multiLevelType w:val="hybridMultilevel"/>
    <w:tmpl w:val="B75617F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4554517"/>
    <w:multiLevelType w:val="hybridMultilevel"/>
    <w:tmpl w:val="AAC49B28"/>
    <w:lvl w:ilvl="0" w:tplc="F0D48B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44913775"/>
    <w:multiLevelType w:val="multilevel"/>
    <w:tmpl w:val="769A68AA"/>
    <w:lvl w:ilvl="0">
      <w:start w:val="4"/>
      <w:numFmt w:val="decimal"/>
      <w:lvlText w:val="%1"/>
      <w:lvlJc w:val="left"/>
      <w:pPr>
        <w:ind w:left="630" w:hanging="63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46963C9B"/>
    <w:multiLevelType w:val="hybridMultilevel"/>
    <w:tmpl w:val="E146D40C"/>
    <w:lvl w:ilvl="0" w:tplc="40103824">
      <w:start w:val="1"/>
      <w:numFmt w:val="lowerLetter"/>
      <w:lvlText w:val="(%1)"/>
      <w:lvlJc w:val="left"/>
      <w:pPr>
        <w:ind w:left="1080" w:hanging="720"/>
      </w:pPr>
      <w:rPr>
        <w:rFonts w:hint="default"/>
      </w:rPr>
    </w:lvl>
    <w:lvl w:ilvl="1" w:tplc="17E2986E" w:tentative="1">
      <w:start w:val="1"/>
      <w:numFmt w:val="lowerLetter"/>
      <w:lvlText w:val="%2."/>
      <w:lvlJc w:val="left"/>
      <w:pPr>
        <w:ind w:left="1440" w:hanging="360"/>
      </w:pPr>
    </w:lvl>
    <w:lvl w:ilvl="2" w:tplc="46D81B62" w:tentative="1">
      <w:start w:val="1"/>
      <w:numFmt w:val="lowerRoman"/>
      <w:lvlText w:val="%3."/>
      <w:lvlJc w:val="right"/>
      <w:pPr>
        <w:ind w:left="2160" w:hanging="180"/>
      </w:pPr>
    </w:lvl>
    <w:lvl w:ilvl="3" w:tplc="BF00F89C" w:tentative="1">
      <w:start w:val="1"/>
      <w:numFmt w:val="decimal"/>
      <w:lvlText w:val="%4."/>
      <w:lvlJc w:val="left"/>
      <w:pPr>
        <w:ind w:left="2880" w:hanging="360"/>
      </w:pPr>
    </w:lvl>
    <w:lvl w:ilvl="4" w:tplc="1688B132" w:tentative="1">
      <w:start w:val="1"/>
      <w:numFmt w:val="lowerLetter"/>
      <w:lvlText w:val="%5."/>
      <w:lvlJc w:val="left"/>
      <w:pPr>
        <w:ind w:left="3600" w:hanging="360"/>
      </w:pPr>
    </w:lvl>
    <w:lvl w:ilvl="5" w:tplc="77E636A8" w:tentative="1">
      <w:start w:val="1"/>
      <w:numFmt w:val="lowerRoman"/>
      <w:lvlText w:val="%6."/>
      <w:lvlJc w:val="right"/>
      <w:pPr>
        <w:ind w:left="4320" w:hanging="180"/>
      </w:pPr>
    </w:lvl>
    <w:lvl w:ilvl="6" w:tplc="13E0DCCE" w:tentative="1">
      <w:start w:val="1"/>
      <w:numFmt w:val="decimal"/>
      <w:lvlText w:val="%7."/>
      <w:lvlJc w:val="left"/>
      <w:pPr>
        <w:ind w:left="5040" w:hanging="360"/>
      </w:pPr>
    </w:lvl>
    <w:lvl w:ilvl="7" w:tplc="635AE314" w:tentative="1">
      <w:start w:val="1"/>
      <w:numFmt w:val="lowerLetter"/>
      <w:lvlText w:val="%8."/>
      <w:lvlJc w:val="left"/>
      <w:pPr>
        <w:ind w:left="5760" w:hanging="360"/>
      </w:pPr>
    </w:lvl>
    <w:lvl w:ilvl="8" w:tplc="FFBC8ADC" w:tentative="1">
      <w:start w:val="1"/>
      <w:numFmt w:val="lowerRoman"/>
      <w:lvlText w:val="%9."/>
      <w:lvlJc w:val="right"/>
      <w:pPr>
        <w:ind w:left="6480" w:hanging="180"/>
      </w:pPr>
    </w:lvl>
  </w:abstractNum>
  <w:abstractNum w:abstractNumId="116" w15:restartNumberingAfterBreak="0">
    <w:nsid w:val="4A8F096D"/>
    <w:multiLevelType w:val="hybridMultilevel"/>
    <w:tmpl w:val="A89CE81C"/>
    <w:styleLink w:val="EstiloImportado4"/>
    <w:lvl w:ilvl="0" w:tplc="11AA01E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7B6E92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6862EA1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80A016F6">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5C9A1C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0E0055A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C8DAFB36">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DA102FC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295C017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17" w15:restartNumberingAfterBreak="0">
    <w:nsid w:val="4C940FA0"/>
    <w:multiLevelType w:val="multilevel"/>
    <w:tmpl w:val="F5041E3E"/>
    <w:lvl w:ilvl="0">
      <w:start w:val="1"/>
      <w:numFmt w:val="upperRoman"/>
      <w:lvlText w:val="CLÁSULA %1"/>
      <w:lvlJc w:val="left"/>
      <w:pPr>
        <w:tabs>
          <w:tab w:val="num" w:pos="680"/>
        </w:tabs>
        <w:ind w:left="680" w:hanging="680"/>
      </w:pPr>
      <w:rPr>
        <w:rFonts w:ascii="Tahoma" w:hAnsi="Tahoma" w:cs="Tahoma" w:hint="default"/>
        <w:b/>
        <w:i w:val="0"/>
        <w:caps w:val="0"/>
        <w:strike w:val="0"/>
        <w:dstrike w:val="0"/>
        <w:vanish w:val="0"/>
        <w:color w:val="000000"/>
        <w:sz w:val="22"/>
        <w:szCs w:val="22"/>
        <w:vertAlign w:val="baseline"/>
      </w:rPr>
    </w:lvl>
    <w:lvl w:ilvl="1">
      <w:start w:val="1"/>
      <w:numFmt w:val="decimal"/>
      <w:isLgl/>
      <w:lvlText w:val="%1.%2"/>
      <w:lvlJc w:val="left"/>
      <w:pPr>
        <w:tabs>
          <w:tab w:val="num" w:pos="6209"/>
        </w:tabs>
        <w:ind w:left="6209" w:hanging="680"/>
      </w:pPr>
      <w:rPr>
        <w:rFonts w:ascii="Tahoma" w:hAnsi="Tahoma" w:cs="Tahoma" w:hint="default"/>
        <w:b w:val="0"/>
        <w:bCs w:val="0"/>
        <w:i w:val="0"/>
        <w:caps w:val="0"/>
        <w:strike w:val="0"/>
        <w:dstrike w:val="0"/>
        <w:vanish w:val="0"/>
        <w:color w:val="000000"/>
        <w:sz w:val="22"/>
        <w:szCs w:val="22"/>
        <w:vertAlign w:val="baseline"/>
      </w:rPr>
    </w:lvl>
    <w:lvl w:ilvl="2">
      <w:start w:val="1"/>
      <w:numFmt w:val="decimal"/>
      <w:isLgl/>
      <w:lvlText w:val="%1.%2.%3"/>
      <w:lvlJc w:val="left"/>
      <w:pPr>
        <w:tabs>
          <w:tab w:val="num" w:pos="1249"/>
        </w:tabs>
        <w:ind w:left="1249" w:hanging="681"/>
      </w:pPr>
      <w:rPr>
        <w:rFonts w:ascii="Tahoma" w:hAnsi="Tahoma" w:cs="Tahoma" w:hint="default"/>
        <w:b w:val="0"/>
        <w:bCs/>
        <w:i w:val="0"/>
        <w:iCs w:val="0"/>
        <w:caps w:val="0"/>
        <w:smallCaps w:val="0"/>
        <w:strike w:val="0"/>
        <w:dstrike w:val="0"/>
        <w:noProof w:val="0"/>
        <w:vanish w:val="0"/>
        <w:color w:val="000000"/>
        <w:spacing w:val="0"/>
        <w:position w:val="0"/>
        <w:sz w:val="22"/>
        <w:szCs w:val="22"/>
        <w:u w:val="none"/>
        <w:effect w:val="none"/>
        <w:vertAlign w:val="baseline"/>
        <w:specVanish w:val="0"/>
      </w:rPr>
    </w:lvl>
    <w:lvl w:ilvl="3">
      <w:start w:val="1"/>
      <w:numFmt w:val="lowerRoman"/>
      <w:isLgl/>
      <w:lvlText w:val="%1.%2.%3.%4"/>
      <w:lvlJc w:val="left"/>
      <w:pPr>
        <w:tabs>
          <w:tab w:val="num" w:pos="2041"/>
        </w:tabs>
        <w:ind w:left="2041" w:hanging="680"/>
      </w:pPr>
      <w:rPr>
        <w:rFonts w:ascii="Tahoma" w:hAnsi="Tahoma" w:cs="Tahoma" w:hint="default"/>
        <w:b w:val="0"/>
        <w:bCs/>
        <w:i w:val="0"/>
        <w:caps w:val="0"/>
        <w:strike w:val="0"/>
        <w:dstrike w:val="0"/>
        <w:vanish w:val="0"/>
        <w:color w:val="000000"/>
        <w:spacing w:val="0"/>
        <w:sz w:val="22"/>
        <w:szCs w:val="22"/>
        <w:vertAlign w:val="baseline"/>
      </w:rPr>
    </w:lvl>
    <w:lvl w:ilvl="4">
      <w:start w:val="1"/>
      <w:numFmt w:val="lowerLetter"/>
      <w:lvlText w:val="(%5)"/>
      <w:lvlJc w:val="left"/>
      <w:pPr>
        <w:tabs>
          <w:tab w:val="num" w:pos="2721"/>
        </w:tabs>
        <w:ind w:left="2721" w:hanging="680"/>
      </w:pPr>
      <w:rPr>
        <w:rFonts w:asciiTheme="minorHAnsi" w:hAnsiTheme="minorHAnsi" w:cs="Arial" w:hint="default"/>
        <w:b w:val="0"/>
        <w:i w:val="0"/>
        <w:caps w:val="0"/>
        <w:strike w:val="0"/>
        <w:dstrike w:val="0"/>
        <w:vanish w:val="0"/>
        <w:color w:val="000000"/>
        <w:sz w:val="24"/>
        <w:szCs w:val="24"/>
        <w:vertAlign w:val="baseline"/>
      </w:rPr>
    </w:lvl>
    <w:lvl w:ilvl="5">
      <w:start w:val="1"/>
      <w:numFmt w:val="upperRoman"/>
      <w:lvlText w:val="(%6)"/>
      <w:lvlJc w:val="left"/>
      <w:pPr>
        <w:tabs>
          <w:tab w:val="num" w:pos="3402"/>
        </w:tabs>
        <w:ind w:left="3402" w:hanging="681"/>
      </w:pPr>
      <w:rPr>
        <w:rFonts w:ascii="Arial" w:hAnsi="Arial" w:cs="Arial" w:hint="default"/>
        <w:b w:val="0"/>
        <w:i w:val="0"/>
        <w:caps w:val="0"/>
        <w:strike w:val="0"/>
        <w:dstrike w:val="0"/>
        <w:vanish w:val="0"/>
        <w:color w:val="000000"/>
        <w:spacing w:val="0"/>
        <w:sz w:val="20"/>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4D0868DC"/>
    <w:multiLevelType w:val="multilevel"/>
    <w:tmpl w:val="ECCCECF2"/>
    <w:lvl w:ilvl="0">
      <w:start w:val="4"/>
      <w:numFmt w:val="decimal"/>
      <w:lvlText w:val="%1."/>
      <w:lvlJc w:val="left"/>
      <w:pPr>
        <w:ind w:left="660" w:hanging="660"/>
      </w:pPr>
      <w:rPr>
        <w:rFonts w:hint="default"/>
      </w:rPr>
    </w:lvl>
    <w:lvl w:ilvl="1">
      <w:start w:val="1"/>
      <w:numFmt w:val="decimal"/>
      <w:lvlText w:val="5.5.%2."/>
      <w:lvlJc w:val="left"/>
      <w:pPr>
        <w:ind w:left="360" w:hanging="360"/>
      </w:pPr>
      <w:rPr>
        <w:rFonts w:ascii="Verdana" w:hAnsi="Verdana" w:cs="Times New Roman"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4E3207A4"/>
    <w:multiLevelType w:val="multilevel"/>
    <w:tmpl w:val="D0DAC7CC"/>
    <w:lvl w:ilvl="0">
      <w:start w:val="11"/>
      <w:numFmt w:val="decimal"/>
      <w:lvlText w:val="%1"/>
      <w:lvlJc w:val="left"/>
      <w:pPr>
        <w:ind w:left="480" w:hanging="480"/>
      </w:pPr>
      <w:rPr>
        <w:rFonts w:hint="default"/>
      </w:rPr>
    </w:lvl>
    <w:lvl w:ilvl="1">
      <w:start w:val="1"/>
      <w:numFmt w:val="decimal"/>
      <w:lvlText w:val="12.%2"/>
      <w:lvlJc w:val="left"/>
      <w:pPr>
        <w:ind w:left="1429" w:hanging="720"/>
      </w:pPr>
      <w:rPr>
        <w:rFonts w:hint="default"/>
      </w:rPr>
    </w:lvl>
    <w:lvl w:ilvl="2">
      <w:start w:val="3"/>
      <w:numFmt w:val="decimal"/>
      <w:lvlText w:val="12.1.%3"/>
      <w:lvlJc w:val="left"/>
      <w:pPr>
        <w:ind w:left="1778" w:hanging="360"/>
      </w:pPr>
      <w:rPr>
        <w:rFonts w:hint="default"/>
      </w:rPr>
    </w:lvl>
    <w:lvl w:ilvl="3">
      <w:start w:val="1"/>
      <w:numFmt w:val="decimal"/>
      <w:lvlText w:val="12.1.3.%4"/>
      <w:lvlJc w:val="left"/>
      <w:pPr>
        <w:ind w:left="2487" w:hanging="36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20" w15:restartNumberingAfterBreak="0">
    <w:nsid w:val="4E9D2485"/>
    <w:multiLevelType w:val="hybridMultilevel"/>
    <w:tmpl w:val="AAC49B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EBC547B"/>
    <w:multiLevelType w:val="multilevel"/>
    <w:tmpl w:val="7A6854BA"/>
    <w:lvl w:ilvl="0">
      <w:start w:val="4"/>
      <w:numFmt w:val="decimal"/>
      <w:lvlText w:val="%1."/>
      <w:lvlJc w:val="left"/>
      <w:pPr>
        <w:ind w:left="730" w:hanging="730"/>
      </w:pPr>
      <w:rPr>
        <w:rFonts w:ascii="Times New Roman" w:hAnsi="Times New Roman" w:cs="Times New Roman" w:hint="default"/>
        <w:b/>
        <w:bCs/>
        <w:sz w:val="22"/>
        <w:szCs w:val="22"/>
      </w:rPr>
    </w:lvl>
    <w:lvl w:ilvl="1">
      <w:start w:val="15"/>
      <w:numFmt w:val="decimal"/>
      <w:lvlText w:val="%1.%2."/>
      <w:lvlJc w:val="left"/>
      <w:pPr>
        <w:ind w:left="730" w:hanging="730"/>
      </w:pPr>
      <w:rPr>
        <w:rFonts w:hint="default"/>
        <w:b/>
        <w:bCs/>
      </w:rPr>
    </w:lvl>
    <w:lvl w:ilvl="2">
      <w:start w:val="1"/>
      <w:numFmt w:val="decimal"/>
      <w:lvlText w:val="%1.%2.%3."/>
      <w:lvlJc w:val="left"/>
      <w:pPr>
        <w:ind w:left="730" w:hanging="730"/>
      </w:pPr>
      <w:rPr>
        <w:rFonts w:hint="default"/>
        <w:b w:val="0"/>
        <w:bCs w:val="0"/>
        <w:i w:val="0"/>
        <w:iCs w:val="0"/>
      </w:rPr>
    </w:lvl>
    <w:lvl w:ilvl="3">
      <w:start w:val="1"/>
      <w:numFmt w:val="decimal"/>
      <w:lvlText w:val="%1.%2.%3.%4."/>
      <w:lvlJc w:val="left"/>
      <w:pPr>
        <w:ind w:left="1080" w:hanging="1080"/>
      </w:pPr>
      <w:rPr>
        <w:rFonts w:hint="default"/>
        <w:b w:val="0"/>
        <w:bCs/>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2" w15:restartNumberingAfterBreak="0">
    <w:nsid w:val="4EE029CC"/>
    <w:multiLevelType w:val="hybridMultilevel"/>
    <w:tmpl w:val="CA884E2E"/>
    <w:lvl w:ilvl="0" w:tplc="4C5E0B2A">
      <w:start w:val="1"/>
      <w:numFmt w:val="upperRoman"/>
      <w:lvlText w:val="%1."/>
      <w:lvlJc w:val="left"/>
      <w:pPr>
        <w:ind w:left="502" w:hanging="360"/>
      </w:pPr>
      <w:rPr>
        <w:rFonts w:hint="default"/>
        <w:b w:val="0"/>
        <w:i w:val="0"/>
      </w:rPr>
    </w:lvl>
    <w:lvl w:ilvl="1" w:tplc="BF6C42C8">
      <w:start w:val="1"/>
      <w:numFmt w:val="lowerLetter"/>
      <w:lvlText w:val="%2."/>
      <w:lvlJc w:val="left"/>
      <w:pPr>
        <w:ind w:left="1440" w:hanging="360"/>
      </w:pPr>
      <w:rPr>
        <w:b w:val="0"/>
        <w:i w:val="0"/>
      </w:rPr>
    </w:lvl>
    <w:lvl w:ilvl="2" w:tplc="58A4F278" w:tentative="1">
      <w:start w:val="1"/>
      <w:numFmt w:val="lowerRoman"/>
      <w:lvlText w:val="%3."/>
      <w:lvlJc w:val="right"/>
      <w:pPr>
        <w:ind w:left="2160" w:hanging="180"/>
      </w:pPr>
    </w:lvl>
    <w:lvl w:ilvl="3" w:tplc="99805EA2" w:tentative="1">
      <w:start w:val="1"/>
      <w:numFmt w:val="decimal"/>
      <w:lvlText w:val="%4."/>
      <w:lvlJc w:val="left"/>
      <w:pPr>
        <w:ind w:left="2880" w:hanging="360"/>
      </w:pPr>
    </w:lvl>
    <w:lvl w:ilvl="4" w:tplc="FA3C5898" w:tentative="1">
      <w:start w:val="1"/>
      <w:numFmt w:val="lowerLetter"/>
      <w:lvlText w:val="%5."/>
      <w:lvlJc w:val="left"/>
      <w:pPr>
        <w:ind w:left="3600" w:hanging="360"/>
      </w:pPr>
    </w:lvl>
    <w:lvl w:ilvl="5" w:tplc="201E8DC4" w:tentative="1">
      <w:start w:val="1"/>
      <w:numFmt w:val="lowerRoman"/>
      <w:lvlText w:val="%6."/>
      <w:lvlJc w:val="right"/>
      <w:pPr>
        <w:ind w:left="4320" w:hanging="180"/>
      </w:pPr>
    </w:lvl>
    <w:lvl w:ilvl="6" w:tplc="FB10363C" w:tentative="1">
      <w:start w:val="1"/>
      <w:numFmt w:val="decimal"/>
      <w:lvlText w:val="%7."/>
      <w:lvlJc w:val="left"/>
      <w:pPr>
        <w:ind w:left="5040" w:hanging="360"/>
      </w:pPr>
    </w:lvl>
    <w:lvl w:ilvl="7" w:tplc="1C6CBCA0" w:tentative="1">
      <w:start w:val="1"/>
      <w:numFmt w:val="lowerLetter"/>
      <w:lvlText w:val="%8."/>
      <w:lvlJc w:val="left"/>
      <w:pPr>
        <w:ind w:left="5760" w:hanging="360"/>
      </w:pPr>
    </w:lvl>
    <w:lvl w:ilvl="8" w:tplc="BEF0A622" w:tentative="1">
      <w:start w:val="1"/>
      <w:numFmt w:val="lowerRoman"/>
      <w:lvlText w:val="%9."/>
      <w:lvlJc w:val="right"/>
      <w:pPr>
        <w:ind w:left="6480" w:hanging="180"/>
      </w:pPr>
    </w:lvl>
  </w:abstractNum>
  <w:abstractNum w:abstractNumId="123" w15:restartNumberingAfterBreak="0">
    <w:nsid w:val="50476AD8"/>
    <w:multiLevelType w:val="multilevel"/>
    <w:tmpl w:val="6BA8A63E"/>
    <w:lvl w:ilvl="0">
      <w:start w:val="4"/>
      <w:numFmt w:val="decimal"/>
      <w:lvlText w:val="%1"/>
      <w:lvlJc w:val="left"/>
      <w:pPr>
        <w:ind w:left="630" w:hanging="630"/>
      </w:pPr>
      <w:rPr>
        <w:rFonts w:eastAsia="Times New Roman" w:hint="default"/>
        <w:b w:val="0"/>
      </w:rPr>
    </w:lvl>
    <w:lvl w:ilvl="1">
      <w:start w:val="19"/>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440" w:hanging="144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2160" w:hanging="216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124" w15:restartNumberingAfterBreak="0">
    <w:nsid w:val="50591A9A"/>
    <w:multiLevelType w:val="hybridMultilevel"/>
    <w:tmpl w:val="2B2A4EF2"/>
    <w:lvl w:ilvl="0" w:tplc="FC2CD5DE">
      <w:start w:val="1"/>
      <w:numFmt w:val="decimal"/>
      <w:lvlText w:val="%1."/>
      <w:lvlJc w:val="left"/>
      <w:pPr>
        <w:ind w:left="786" w:hanging="360"/>
      </w:pPr>
      <w:rPr>
        <w:i w:val="0"/>
        <w:iCs w:val="0"/>
      </w:rPr>
    </w:lvl>
    <w:lvl w:ilvl="1" w:tplc="3682A186" w:tentative="1">
      <w:start w:val="1"/>
      <w:numFmt w:val="lowerLetter"/>
      <w:lvlText w:val="%2."/>
      <w:lvlJc w:val="left"/>
      <w:pPr>
        <w:ind w:left="1506" w:hanging="360"/>
      </w:pPr>
    </w:lvl>
    <w:lvl w:ilvl="2" w:tplc="0B063A3C" w:tentative="1">
      <w:start w:val="1"/>
      <w:numFmt w:val="lowerRoman"/>
      <w:lvlText w:val="%3."/>
      <w:lvlJc w:val="right"/>
      <w:pPr>
        <w:ind w:left="2226" w:hanging="180"/>
      </w:pPr>
    </w:lvl>
    <w:lvl w:ilvl="3" w:tplc="6492A6EE" w:tentative="1">
      <w:start w:val="1"/>
      <w:numFmt w:val="decimal"/>
      <w:lvlText w:val="%4."/>
      <w:lvlJc w:val="left"/>
      <w:pPr>
        <w:ind w:left="2946" w:hanging="360"/>
      </w:pPr>
    </w:lvl>
    <w:lvl w:ilvl="4" w:tplc="7278EBB6" w:tentative="1">
      <w:start w:val="1"/>
      <w:numFmt w:val="lowerLetter"/>
      <w:lvlText w:val="%5."/>
      <w:lvlJc w:val="left"/>
      <w:pPr>
        <w:ind w:left="3666" w:hanging="360"/>
      </w:pPr>
    </w:lvl>
    <w:lvl w:ilvl="5" w:tplc="2E920DDE" w:tentative="1">
      <w:start w:val="1"/>
      <w:numFmt w:val="lowerRoman"/>
      <w:lvlText w:val="%6."/>
      <w:lvlJc w:val="right"/>
      <w:pPr>
        <w:ind w:left="4386" w:hanging="180"/>
      </w:pPr>
    </w:lvl>
    <w:lvl w:ilvl="6" w:tplc="77DA52BC" w:tentative="1">
      <w:start w:val="1"/>
      <w:numFmt w:val="decimal"/>
      <w:lvlText w:val="%7."/>
      <w:lvlJc w:val="left"/>
      <w:pPr>
        <w:ind w:left="5106" w:hanging="360"/>
      </w:pPr>
    </w:lvl>
    <w:lvl w:ilvl="7" w:tplc="7A0824F4" w:tentative="1">
      <w:start w:val="1"/>
      <w:numFmt w:val="lowerLetter"/>
      <w:lvlText w:val="%8."/>
      <w:lvlJc w:val="left"/>
      <w:pPr>
        <w:ind w:left="5826" w:hanging="360"/>
      </w:pPr>
    </w:lvl>
    <w:lvl w:ilvl="8" w:tplc="1EF2A1B0" w:tentative="1">
      <w:start w:val="1"/>
      <w:numFmt w:val="lowerRoman"/>
      <w:lvlText w:val="%9."/>
      <w:lvlJc w:val="right"/>
      <w:pPr>
        <w:ind w:left="6546" w:hanging="180"/>
      </w:pPr>
    </w:lvl>
  </w:abstractNum>
  <w:abstractNum w:abstractNumId="125" w15:restartNumberingAfterBreak="0">
    <w:nsid w:val="51097B10"/>
    <w:multiLevelType w:val="hybridMultilevel"/>
    <w:tmpl w:val="E8C2EE40"/>
    <w:lvl w:ilvl="0" w:tplc="EA5EB42E">
      <w:start w:val="1"/>
      <w:numFmt w:val="lowerLetter"/>
      <w:lvlText w:val="%1)"/>
      <w:lvlJc w:val="left"/>
      <w:pPr>
        <w:ind w:left="720" w:hanging="360"/>
      </w:pPr>
    </w:lvl>
    <w:lvl w:ilvl="1" w:tplc="FAA089C6" w:tentative="1">
      <w:start w:val="1"/>
      <w:numFmt w:val="lowerLetter"/>
      <w:lvlText w:val="%2."/>
      <w:lvlJc w:val="left"/>
      <w:pPr>
        <w:ind w:left="1440" w:hanging="360"/>
      </w:pPr>
    </w:lvl>
    <w:lvl w:ilvl="2" w:tplc="1954ED02" w:tentative="1">
      <w:start w:val="1"/>
      <w:numFmt w:val="lowerRoman"/>
      <w:lvlText w:val="%3."/>
      <w:lvlJc w:val="right"/>
      <w:pPr>
        <w:ind w:left="2160" w:hanging="180"/>
      </w:pPr>
    </w:lvl>
    <w:lvl w:ilvl="3" w:tplc="EC0039B0" w:tentative="1">
      <w:start w:val="1"/>
      <w:numFmt w:val="decimal"/>
      <w:lvlText w:val="%4."/>
      <w:lvlJc w:val="left"/>
      <w:pPr>
        <w:ind w:left="2880" w:hanging="360"/>
      </w:pPr>
    </w:lvl>
    <w:lvl w:ilvl="4" w:tplc="7836100E" w:tentative="1">
      <w:start w:val="1"/>
      <w:numFmt w:val="lowerLetter"/>
      <w:lvlText w:val="%5."/>
      <w:lvlJc w:val="left"/>
      <w:pPr>
        <w:ind w:left="3600" w:hanging="360"/>
      </w:pPr>
    </w:lvl>
    <w:lvl w:ilvl="5" w:tplc="55504252" w:tentative="1">
      <w:start w:val="1"/>
      <w:numFmt w:val="lowerRoman"/>
      <w:lvlText w:val="%6."/>
      <w:lvlJc w:val="right"/>
      <w:pPr>
        <w:ind w:left="4320" w:hanging="180"/>
      </w:pPr>
    </w:lvl>
    <w:lvl w:ilvl="6" w:tplc="96F6D6C8" w:tentative="1">
      <w:start w:val="1"/>
      <w:numFmt w:val="decimal"/>
      <w:lvlText w:val="%7."/>
      <w:lvlJc w:val="left"/>
      <w:pPr>
        <w:ind w:left="5040" w:hanging="360"/>
      </w:pPr>
    </w:lvl>
    <w:lvl w:ilvl="7" w:tplc="2FE26FE0" w:tentative="1">
      <w:start w:val="1"/>
      <w:numFmt w:val="lowerLetter"/>
      <w:lvlText w:val="%8."/>
      <w:lvlJc w:val="left"/>
      <w:pPr>
        <w:ind w:left="5760" w:hanging="360"/>
      </w:pPr>
    </w:lvl>
    <w:lvl w:ilvl="8" w:tplc="7892EB90" w:tentative="1">
      <w:start w:val="1"/>
      <w:numFmt w:val="lowerRoman"/>
      <w:lvlText w:val="%9."/>
      <w:lvlJc w:val="right"/>
      <w:pPr>
        <w:ind w:left="6480" w:hanging="180"/>
      </w:pPr>
    </w:lvl>
  </w:abstractNum>
  <w:abstractNum w:abstractNumId="126" w15:restartNumberingAfterBreak="0">
    <w:nsid w:val="522F1F28"/>
    <w:multiLevelType w:val="hybridMultilevel"/>
    <w:tmpl w:val="677EA2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52CD39EA"/>
    <w:multiLevelType w:val="hybridMultilevel"/>
    <w:tmpl w:val="E0222110"/>
    <w:lvl w:ilvl="0" w:tplc="C390F72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8" w15:restartNumberingAfterBreak="0">
    <w:nsid w:val="55235EE9"/>
    <w:multiLevelType w:val="hybridMultilevel"/>
    <w:tmpl w:val="9AF65760"/>
    <w:lvl w:ilvl="0" w:tplc="690C5A6A">
      <w:start w:val="1"/>
      <w:numFmt w:val="decimal"/>
      <w:lvlText w:val="3.2.%1."/>
      <w:lvlJc w:val="left"/>
      <w:pPr>
        <w:ind w:left="720" w:hanging="360"/>
      </w:pPr>
      <w:rPr>
        <w:rFonts w:hint="default"/>
        <w:b w:val="0"/>
        <w:bCs/>
      </w:rPr>
    </w:lvl>
    <w:lvl w:ilvl="1" w:tplc="02E8F9CC" w:tentative="1">
      <w:start w:val="1"/>
      <w:numFmt w:val="lowerLetter"/>
      <w:lvlText w:val="%2."/>
      <w:lvlJc w:val="left"/>
      <w:pPr>
        <w:ind w:left="1440" w:hanging="360"/>
      </w:pPr>
    </w:lvl>
    <w:lvl w:ilvl="2" w:tplc="BC1890F8" w:tentative="1">
      <w:start w:val="1"/>
      <w:numFmt w:val="lowerRoman"/>
      <w:lvlText w:val="%3."/>
      <w:lvlJc w:val="right"/>
      <w:pPr>
        <w:ind w:left="2160" w:hanging="180"/>
      </w:pPr>
    </w:lvl>
    <w:lvl w:ilvl="3" w:tplc="FBC43270" w:tentative="1">
      <w:start w:val="1"/>
      <w:numFmt w:val="decimal"/>
      <w:lvlText w:val="%4."/>
      <w:lvlJc w:val="left"/>
      <w:pPr>
        <w:ind w:left="2880" w:hanging="360"/>
      </w:pPr>
    </w:lvl>
    <w:lvl w:ilvl="4" w:tplc="72408C16" w:tentative="1">
      <w:start w:val="1"/>
      <w:numFmt w:val="lowerLetter"/>
      <w:lvlText w:val="%5."/>
      <w:lvlJc w:val="left"/>
      <w:pPr>
        <w:ind w:left="3600" w:hanging="360"/>
      </w:pPr>
    </w:lvl>
    <w:lvl w:ilvl="5" w:tplc="B80E7930" w:tentative="1">
      <w:start w:val="1"/>
      <w:numFmt w:val="lowerRoman"/>
      <w:lvlText w:val="%6."/>
      <w:lvlJc w:val="right"/>
      <w:pPr>
        <w:ind w:left="4320" w:hanging="180"/>
      </w:pPr>
    </w:lvl>
    <w:lvl w:ilvl="6" w:tplc="90DE055A" w:tentative="1">
      <w:start w:val="1"/>
      <w:numFmt w:val="decimal"/>
      <w:lvlText w:val="%7."/>
      <w:lvlJc w:val="left"/>
      <w:pPr>
        <w:ind w:left="5040" w:hanging="360"/>
      </w:pPr>
    </w:lvl>
    <w:lvl w:ilvl="7" w:tplc="89C6ED06" w:tentative="1">
      <w:start w:val="1"/>
      <w:numFmt w:val="lowerLetter"/>
      <w:lvlText w:val="%8."/>
      <w:lvlJc w:val="left"/>
      <w:pPr>
        <w:ind w:left="5760" w:hanging="360"/>
      </w:pPr>
    </w:lvl>
    <w:lvl w:ilvl="8" w:tplc="C72EBA78" w:tentative="1">
      <w:start w:val="1"/>
      <w:numFmt w:val="lowerRoman"/>
      <w:lvlText w:val="%9."/>
      <w:lvlJc w:val="right"/>
      <w:pPr>
        <w:ind w:left="6480" w:hanging="180"/>
      </w:pPr>
    </w:lvl>
  </w:abstractNum>
  <w:abstractNum w:abstractNumId="129" w15:restartNumberingAfterBreak="0">
    <w:nsid w:val="56624411"/>
    <w:multiLevelType w:val="hybridMultilevel"/>
    <w:tmpl w:val="4B72C714"/>
    <w:lvl w:ilvl="0" w:tplc="43B037D8">
      <w:start w:val="1"/>
      <w:numFmt w:val="lowerRoman"/>
      <w:lvlText w:val="(%1)"/>
      <w:lvlJc w:val="left"/>
      <w:pPr>
        <w:ind w:left="1080" w:hanging="360"/>
      </w:pPr>
      <w:rPr>
        <w:rFonts w:hint="default"/>
        <w:b w:val="0"/>
        <w:bCs/>
      </w:rPr>
    </w:lvl>
    <w:lvl w:ilvl="1" w:tplc="B1E2BC2A" w:tentative="1">
      <w:start w:val="1"/>
      <w:numFmt w:val="lowerLetter"/>
      <w:lvlText w:val="%2."/>
      <w:lvlJc w:val="left"/>
      <w:pPr>
        <w:ind w:left="1800" w:hanging="360"/>
      </w:pPr>
    </w:lvl>
    <w:lvl w:ilvl="2" w:tplc="36781B40" w:tentative="1">
      <w:start w:val="1"/>
      <w:numFmt w:val="lowerRoman"/>
      <w:lvlText w:val="%3."/>
      <w:lvlJc w:val="right"/>
      <w:pPr>
        <w:ind w:left="2520" w:hanging="180"/>
      </w:pPr>
    </w:lvl>
    <w:lvl w:ilvl="3" w:tplc="C27ED73A" w:tentative="1">
      <w:start w:val="1"/>
      <w:numFmt w:val="decimal"/>
      <w:lvlText w:val="%4."/>
      <w:lvlJc w:val="left"/>
      <w:pPr>
        <w:ind w:left="3240" w:hanging="360"/>
      </w:pPr>
    </w:lvl>
    <w:lvl w:ilvl="4" w:tplc="7E563846" w:tentative="1">
      <w:start w:val="1"/>
      <w:numFmt w:val="lowerLetter"/>
      <w:lvlText w:val="%5."/>
      <w:lvlJc w:val="left"/>
      <w:pPr>
        <w:ind w:left="3960" w:hanging="360"/>
      </w:pPr>
    </w:lvl>
    <w:lvl w:ilvl="5" w:tplc="57D01AC0" w:tentative="1">
      <w:start w:val="1"/>
      <w:numFmt w:val="lowerRoman"/>
      <w:lvlText w:val="%6."/>
      <w:lvlJc w:val="right"/>
      <w:pPr>
        <w:ind w:left="4680" w:hanging="180"/>
      </w:pPr>
    </w:lvl>
    <w:lvl w:ilvl="6" w:tplc="8FD0B7B0" w:tentative="1">
      <w:start w:val="1"/>
      <w:numFmt w:val="decimal"/>
      <w:lvlText w:val="%7."/>
      <w:lvlJc w:val="left"/>
      <w:pPr>
        <w:ind w:left="5400" w:hanging="360"/>
      </w:pPr>
    </w:lvl>
    <w:lvl w:ilvl="7" w:tplc="79427118" w:tentative="1">
      <w:start w:val="1"/>
      <w:numFmt w:val="lowerLetter"/>
      <w:lvlText w:val="%8."/>
      <w:lvlJc w:val="left"/>
      <w:pPr>
        <w:ind w:left="6120" w:hanging="360"/>
      </w:pPr>
    </w:lvl>
    <w:lvl w:ilvl="8" w:tplc="3C200FA4" w:tentative="1">
      <w:start w:val="1"/>
      <w:numFmt w:val="lowerRoman"/>
      <w:lvlText w:val="%9."/>
      <w:lvlJc w:val="right"/>
      <w:pPr>
        <w:ind w:left="6840" w:hanging="180"/>
      </w:pPr>
    </w:lvl>
  </w:abstractNum>
  <w:abstractNum w:abstractNumId="130" w15:restartNumberingAfterBreak="0">
    <w:nsid w:val="566C3993"/>
    <w:multiLevelType w:val="hybridMultilevel"/>
    <w:tmpl w:val="361411D6"/>
    <w:lvl w:ilvl="0" w:tplc="41FCCB60">
      <w:start w:val="1"/>
      <w:numFmt w:val="decimal"/>
      <w:lvlText w:val="6.%1."/>
      <w:lvlJc w:val="left"/>
      <w:pPr>
        <w:ind w:left="2149" w:hanging="360"/>
      </w:pPr>
      <w:rPr>
        <w:rFonts w:hint="default"/>
        <w:b w:val="0"/>
        <w:bCs w:val="0"/>
        <w:i w:val="0"/>
        <w:iCs/>
      </w:rPr>
    </w:lvl>
    <w:lvl w:ilvl="1" w:tplc="D700D858">
      <w:start w:val="1"/>
      <w:numFmt w:val="lowerLetter"/>
      <w:lvlText w:val="%2."/>
      <w:lvlJc w:val="left"/>
      <w:pPr>
        <w:ind w:left="1440" w:hanging="360"/>
      </w:pPr>
    </w:lvl>
    <w:lvl w:ilvl="2" w:tplc="29D662D6" w:tentative="1">
      <w:start w:val="1"/>
      <w:numFmt w:val="lowerRoman"/>
      <w:lvlText w:val="%3."/>
      <w:lvlJc w:val="right"/>
      <w:pPr>
        <w:ind w:left="2160" w:hanging="180"/>
      </w:pPr>
    </w:lvl>
    <w:lvl w:ilvl="3" w:tplc="173CB9B6" w:tentative="1">
      <w:start w:val="1"/>
      <w:numFmt w:val="decimal"/>
      <w:lvlText w:val="%4."/>
      <w:lvlJc w:val="left"/>
      <w:pPr>
        <w:ind w:left="2880" w:hanging="360"/>
      </w:pPr>
    </w:lvl>
    <w:lvl w:ilvl="4" w:tplc="16B2EA68" w:tentative="1">
      <w:start w:val="1"/>
      <w:numFmt w:val="lowerLetter"/>
      <w:lvlText w:val="%5."/>
      <w:lvlJc w:val="left"/>
      <w:pPr>
        <w:ind w:left="3600" w:hanging="360"/>
      </w:pPr>
    </w:lvl>
    <w:lvl w:ilvl="5" w:tplc="32FAFA3E" w:tentative="1">
      <w:start w:val="1"/>
      <w:numFmt w:val="lowerRoman"/>
      <w:lvlText w:val="%6."/>
      <w:lvlJc w:val="right"/>
      <w:pPr>
        <w:ind w:left="4320" w:hanging="180"/>
      </w:pPr>
    </w:lvl>
    <w:lvl w:ilvl="6" w:tplc="A448E4E2" w:tentative="1">
      <w:start w:val="1"/>
      <w:numFmt w:val="decimal"/>
      <w:lvlText w:val="%7."/>
      <w:lvlJc w:val="left"/>
      <w:pPr>
        <w:ind w:left="5040" w:hanging="360"/>
      </w:pPr>
    </w:lvl>
    <w:lvl w:ilvl="7" w:tplc="73F29CE2" w:tentative="1">
      <w:start w:val="1"/>
      <w:numFmt w:val="lowerLetter"/>
      <w:lvlText w:val="%8."/>
      <w:lvlJc w:val="left"/>
      <w:pPr>
        <w:ind w:left="5760" w:hanging="360"/>
      </w:pPr>
    </w:lvl>
    <w:lvl w:ilvl="8" w:tplc="2370FAF2" w:tentative="1">
      <w:start w:val="1"/>
      <w:numFmt w:val="lowerRoman"/>
      <w:lvlText w:val="%9."/>
      <w:lvlJc w:val="right"/>
      <w:pPr>
        <w:ind w:left="6480" w:hanging="180"/>
      </w:pPr>
    </w:lvl>
  </w:abstractNum>
  <w:abstractNum w:abstractNumId="131" w15:restartNumberingAfterBreak="0">
    <w:nsid w:val="589F1669"/>
    <w:multiLevelType w:val="multilevel"/>
    <w:tmpl w:val="E922831E"/>
    <w:lvl w:ilvl="0">
      <w:start w:val="11"/>
      <w:numFmt w:val="decimal"/>
      <w:lvlText w:val="%1"/>
      <w:lvlJc w:val="left"/>
      <w:pPr>
        <w:ind w:left="480" w:hanging="480"/>
      </w:pPr>
      <w:rPr>
        <w:rFonts w:hint="default"/>
      </w:rPr>
    </w:lvl>
    <w:lvl w:ilvl="1">
      <w:start w:val="1"/>
      <w:numFmt w:val="decimal"/>
      <w:lvlText w:val="12.%2"/>
      <w:lvlJc w:val="left"/>
      <w:pPr>
        <w:ind w:left="1429" w:hanging="720"/>
      </w:pPr>
      <w:rPr>
        <w:rFonts w:hint="default"/>
      </w:rPr>
    </w:lvl>
    <w:lvl w:ilvl="2">
      <w:start w:val="1"/>
      <w:numFmt w:val="decimal"/>
      <w:lvlText w:val="12.1.%3"/>
      <w:lvlJc w:val="left"/>
      <w:pPr>
        <w:ind w:left="1778" w:hanging="360"/>
      </w:pPr>
      <w:rPr>
        <w:rFonts w:hint="default"/>
      </w:rPr>
    </w:lvl>
    <w:lvl w:ilvl="3">
      <w:start w:val="11"/>
      <w:numFmt w:val="decimal"/>
      <w:lvlText w:val="12.1.3.%4"/>
      <w:lvlJc w:val="left"/>
      <w:pPr>
        <w:ind w:left="2487" w:hanging="36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32" w15:restartNumberingAfterBreak="0">
    <w:nsid w:val="59CF1F26"/>
    <w:multiLevelType w:val="hybridMultilevel"/>
    <w:tmpl w:val="462C7010"/>
    <w:lvl w:ilvl="0" w:tplc="326A7AE6">
      <w:start w:val="1"/>
      <w:numFmt w:val="lowerLetter"/>
      <w:lvlText w:val="(%1)"/>
      <w:lvlJc w:val="left"/>
      <w:pPr>
        <w:ind w:left="382" w:hanging="360"/>
      </w:pPr>
      <w:rPr>
        <w:rFonts w:hint="default"/>
      </w:rPr>
    </w:lvl>
    <w:lvl w:ilvl="1" w:tplc="3FE8F9DC" w:tentative="1">
      <w:start w:val="1"/>
      <w:numFmt w:val="lowerLetter"/>
      <w:lvlText w:val="%2."/>
      <w:lvlJc w:val="left"/>
      <w:pPr>
        <w:ind w:left="1102" w:hanging="360"/>
      </w:pPr>
    </w:lvl>
    <w:lvl w:ilvl="2" w:tplc="F0A21598" w:tentative="1">
      <w:start w:val="1"/>
      <w:numFmt w:val="lowerRoman"/>
      <w:lvlText w:val="%3."/>
      <w:lvlJc w:val="right"/>
      <w:pPr>
        <w:ind w:left="1822" w:hanging="180"/>
      </w:pPr>
    </w:lvl>
    <w:lvl w:ilvl="3" w:tplc="CC12593A" w:tentative="1">
      <w:start w:val="1"/>
      <w:numFmt w:val="decimal"/>
      <w:lvlText w:val="%4."/>
      <w:lvlJc w:val="left"/>
      <w:pPr>
        <w:ind w:left="2542" w:hanging="360"/>
      </w:pPr>
    </w:lvl>
    <w:lvl w:ilvl="4" w:tplc="9E7A1836" w:tentative="1">
      <w:start w:val="1"/>
      <w:numFmt w:val="lowerLetter"/>
      <w:lvlText w:val="%5."/>
      <w:lvlJc w:val="left"/>
      <w:pPr>
        <w:ind w:left="3262" w:hanging="360"/>
      </w:pPr>
    </w:lvl>
    <w:lvl w:ilvl="5" w:tplc="5256148C" w:tentative="1">
      <w:start w:val="1"/>
      <w:numFmt w:val="lowerRoman"/>
      <w:lvlText w:val="%6."/>
      <w:lvlJc w:val="right"/>
      <w:pPr>
        <w:ind w:left="3982" w:hanging="180"/>
      </w:pPr>
    </w:lvl>
    <w:lvl w:ilvl="6" w:tplc="81FE79C4" w:tentative="1">
      <w:start w:val="1"/>
      <w:numFmt w:val="decimal"/>
      <w:lvlText w:val="%7."/>
      <w:lvlJc w:val="left"/>
      <w:pPr>
        <w:ind w:left="4702" w:hanging="360"/>
      </w:pPr>
    </w:lvl>
    <w:lvl w:ilvl="7" w:tplc="D3E2437A" w:tentative="1">
      <w:start w:val="1"/>
      <w:numFmt w:val="lowerLetter"/>
      <w:lvlText w:val="%8."/>
      <w:lvlJc w:val="left"/>
      <w:pPr>
        <w:ind w:left="5422" w:hanging="360"/>
      </w:pPr>
    </w:lvl>
    <w:lvl w:ilvl="8" w:tplc="2B9A2392" w:tentative="1">
      <w:start w:val="1"/>
      <w:numFmt w:val="lowerRoman"/>
      <w:lvlText w:val="%9."/>
      <w:lvlJc w:val="right"/>
      <w:pPr>
        <w:ind w:left="6142" w:hanging="180"/>
      </w:pPr>
    </w:lvl>
  </w:abstractNum>
  <w:abstractNum w:abstractNumId="133" w15:restartNumberingAfterBreak="0">
    <w:nsid w:val="5A2A3D38"/>
    <w:multiLevelType w:val="hybridMultilevel"/>
    <w:tmpl w:val="E08CF422"/>
    <w:lvl w:ilvl="0" w:tplc="8090B354">
      <w:start w:val="1"/>
      <w:numFmt w:val="decimal"/>
      <w:lvlText w:val="3.5.%1."/>
      <w:lvlJc w:val="left"/>
      <w:pPr>
        <w:ind w:left="720" w:hanging="360"/>
      </w:pPr>
      <w:rPr>
        <w:rFonts w:ascii="Verdana" w:hAnsi="Verdana" w:cs="Times New Roman" w:hint="default"/>
        <w:b w:val="0"/>
        <w:bCs/>
        <w:sz w:val="20"/>
        <w:szCs w:val="20"/>
        <w:lang w:val="pt-BR"/>
      </w:rPr>
    </w:lvl>
    <w:lvl w:ilvl="1" w:tplc="339C35BC">
      <w:start w:val="1"/>
      <w:numFmt w:val="lowerRoman"/>
      <w:lvlText w:val="(%2)"/>
      <w:lvlJc w:val="left"/>
      <w:pPr>
        <w:ind w:left="1800" w:hanging="720"/>
      </w:pPr>
      <w:rPr>
        <w:rFonts w:hint="default"/>
        <w:b w:val="0"/>
        <w:bCs/>
      </w:rPr>
    </w:lvl>
    <w:lvl w:ilvl="2" w:tplc="D4D4421C">
      <w:start w:val="1"/>
      <w:numFmt w:val="lowerRoman"/>
      <w:lvlText w:val="%3."/>
      <w:lvlJc w:val="right"/>
      <w:pPr>
        <w:ind w:left="2160" w:hanging="180"/>
      </w:pPr>
    </w:lvl>
    <w:lvl w:ilvl="3" w:tplc="7DC464AE">
      <w:start w:val="1"/>
      <w:numFmt w:val="lowerLetter"/>
      <w:lvlText w:val="(%4)"/>
      <w:lvlJc w:val="left"/>
      <w:pPr>
        <w:ind w:left="927" w:hanging="360"/>
      </w:pPr>
      <w:rPr>
        <w:rFonts w:cs="Times New Roman" w:hint="eastAsia"/>
        <w:b w:val="0"/>
        <w:bCs/>
        <w:sz w:val="20"/>
        <w:szCs w:val="20"/>
      </w:rPr>
    </w:lvl>
    <w:lvl w:ilvl="4" w:tplc="E2EAB5D6">
      <w:start w:val="1"/>
      <w:numFmt w:val="upperRoman"/>
      <w:lvlText w:val="%5."/>
      <w:lvlJc w:val="left"/>
      <w:pPr>
        <w:ind w:left="3960" w:hanging="720"/>
      </w:pPr>
      <w:rPr>
        <w:rFonts w:hint="default"/>
        <w:b/>
      </w:rPr>
    </w:lvl>
    <w:lvl w:ilvl="5" w:tplc="50ECE2EE">
      <w:start w:val="8"/>
      <w:numFmt w:val="decimal"/>
      <w:lvlText w:val="%6."/>
      <w:lvlJc w:val="left"/>
      <w:pPr>
        <w:ind w:left="4500" w:hanging="360"/>
      </w:pPr>
      <w:rPr>
        <w:rFonts w:hint="default"/>
      </w:rPr>
    </w:lvl>
    <w:lvl w:ilvl="6" w:tplc="406E0764" w:tentative="1">
      <w:start w:val="1"/>
      <w:numFmt w:val="decimal"/>
      <w:lvlText w:val="%7."/>
      <w:lvlJc w:val="left"/>
      <w:pPr>
        <w:ind w:left="5040" w:hanging="360"/>
      </w:pPr>
    </w:lvl>
    <w:lvl w:ilvl="7" w:tplc="C1D0F556" w:tentative="1">
      <w:start w:val="1"/>
      <w:numFmt w:val="lowerLetter"/>
      <w:lvlText w:val="%8."/>
      <w:lvlJc w:val="left"/>
      <w:pPr>
        <w:ind w:left="5760" w:hanging="360"/>
      </w:pPr>
    </w:lvl>
    <w:lvl w:ilvl="8" w:tplc="7CE86854" w:tentative="1">
      <w:start w:val="1"/>
      <w:numFmt w:val="lowerRoman"/>
      <w:lvlText w:val="%9."/>
      <w:lvlJc w:val="right"/>
      <w:pPr>
        <w:ind w:left="6480" w:hanging="180"/>
      </w:pPr>
    </w:lvl>
  </w:abstractNum>
  <w:abstractNum w:abstractNumId="134" w15:restartNumberingAfterBreak="0">
    <w:nsid w:val="5A362332"/>
    <w:multiLevelType w:val="hybridMultilevel"/>
    <w:tmpl w:val="7DB875C8"/>
    <w:lvl w:ilvl="0" w:tplc="7B5E5E66">
      <w:start w:val="1"/>
      <w:numFmt w:val="lowerRoman"/>
      <w:lvlText w:val="(%1)"/>
      <w:lvlJc w:val="left"/>
      <w:pPr>
        <w:ind w:left="1810" w:hanging="1080"/>
      </w:pPr>
      <w:rPr>
        <w:rFonts w:hint="default"/>
        <w:b/>
        <w:color w:val="auto"/>
        <w:sz w:val="20"/>
      </w:rPr>
    </w:lvl>
    <w:lvl w:ilvl="1" w:tplc="0D084232" w:tentative="1">
      <w:start w:val="1"/>
      <w:numFmt w:val="lowerLetter"/>
      <w:lvlText w:val="%2."/>
      <w:lvlJc w:val="left"/>
      <w:pPr>
        <w:ind w:left="1810" w:hanging="360"/>
      </w:pPr>
    </w:lvl>
    <w:lvl w:ilvl="2" w:tplc="CF4061CA" w:tentative="1">
      <w:start w:val="1"/>
      <w:numFmt w:val="lowerRoman"/>
      <w:lvlText w:val="%3."/>
      <w:lvlJc w:val="right"/>
      <w:pPr>
        <w:ind w:left="2530" w:hanging="180"/>
      </w:pPr>
    </w:lvl>
    <w:lvl w:ilvl="3" w:tplc="D6AE7FC0" w:tentative="1">
      <w:start w:val="1"/>
      <w:numFmt w:val="decimal"/>
      <w:lvlText w:val="%4."/>
      <w:lvlJc w:val="left"/>
      <w:pPr>
        <w:ind w:left="3250" w:hanging="360"/>
      </w:pPr>
    </w:lvl>
    <w:lvl w:ilvl="4" w:tplc="5CBAE3AA" w:tentative="1">
      <w:start w:val="1"/>
      <w:numFmt w:val="lowerLetter"/>
      <w:lvlText w:val="%5."/>
      <w:lvlJc w:val="left"/>
      <w:pPr>
        <w:ind w:left="3970" w:hanging="360"/>
      </w:pPr>
    </w:lvl>
    <w:lvl w:ilvl="5" w:tplc="7588568E" w:tentative="1">
      <w:start w:val="1"/>
      <w:numFmt w:val="lowerRoman"/>
      <w:lvlText w:val="%6."/>
      <w:lvlJc w:val="right"/>
      <w:pPr>
        <w:ind w:left="4690" w:hanging="180"/>
      </w:pPr>
    </w:lvl>
    <w:lvl w:ilvl="6" w:tplc="F0F6A7EE" w:tentative="1">
      <w:start w:val="1"/>
      <w:numFmt w:val="decimal"/>
      <w:lvlText w:val="%7."/>
      <w:lvlJc w:val="left"/>
      <w:pPr>
        <w:ind w:left="5410" w:hanging="360"/>
      </w:pPr>
    </w:lvl>
    <w:lvl w:ilvl="7" w:tplc="E4FE8F8E" w:tentative="1">
      <w:start w:val="1"/>
      <w:numFmt w:val="lowerLetter"/>
      <w:lvlText w:val="%8."/>
      <w:lvlJc w:val="left"/>
      <w:pPr>
        <w:ind w:left="6130" w:hanging="360"/>
      </w:pPr>
    </w:lvl>
    <w:lvl w:ilvl="8" w:tplc="E466C0FC" w:tentative="1">
      <w:start w:val="1"/>
      <w:numFmt w:val="lowerRoman"/>
      <w:lvlText w:val="%9."/>
      <w:lvlJc w:val="right"/>
      <w:pPr>
        <w:ind w:left="6850" w:hanging="180"/>
      </w:pPr>
    </w:lvl>
  </w:abstractNum>
  <w:abstractNum w:abstractNumId="135" w15:restartNumberingAfterBreak="0">
    <w:nsid w:val="5A8C72B1"/>
    <w:multiLevelType w:val="hybridMultilevel"/>
    <w:tmpl w:val="20941C3C"/>
    <w:lvl w:ilvl="0" w:tplc="7B32885E">
      <w:start w:val="1"/>
      <w:numFmt w:val="lowerLetter"/>
      <w:pStyle w:val="FooterReference"/>
      <w:lvlText w:val="(%1)"/>
      <w:lvlJc w:val="left"/>
      <w:pPr>
        <w:ind w:left="1429" w:hanging="360"/>
      </w:pPr>
      <w:rPr>
        <w:rFonts w:ascii="Verdana" w:hAnsi="Verdana" w:cs="Arial" w:hint="default"/>
        <w:b w:val="0"/>
        <w:i w:val="0"/>
        <w:spacing w:val="0"/>
        <w:sz w:val="20"/>
        <w:szCs w:val="20"/>
      </w:rPr>
    </w:lvl>
    <w:lvl w:ilvl="1" w:tplc="C6C2B9F4" w:tentative="1">
      <w:start w:val="1"/>
      <w:numFmt w:val="lowerLetter"/>
      <w:lvlText w:val="%2."/>
      <w:lvlJc w:val="left"/>
      <w:pPr>
        <w:ind w:left="2149" w:hanging="360"/>
      </w:pPr>
    </w:lvl>
    <w:lvl w:ilvl="2" w:tplc="6E1ECDB8" w:tentative="1">
      <w:start w:val="1"/>
      <w:numFmt w:val="lowerRoman"/>
      <w:lvlText w:val="%3."/>
      <w:lvlJc w:val="right"/>
      <w:pPr>
        <w:ind w:left="2869" w:hanging="180"/>
      </w:pPr>
    </w:lvl>
    <w:lvl w:ilvl="3" w:tplc="BF662C60" w:tentative="1">
      <w:start w:val="1"/>
      <w:numFmt w:val="decimal"/>
      <w:lvlText w:val="%4."/>
      <w:lvlJc w:val="left"/>
      <w:pPr>
        <w:ind w:left="3589" w:hanging="360"/>
      </w:pPr>
    </w:lvl>
    <w:lvl w:ilvl="4" w:tplc="E468F5D6" w:tentative="1">
      <w:start w:val="1"/>
      <w:numFmt w:val="lowerLetter"/>
      <w:lvlText w:val="%5."/>
      <w:lvlJc w:val="left"/>
      <w:pPr>
        <w:ind w:left="4309" w:hanging="360"/>
      </w:pPr>
    </w:lvl>
    <w:lvl w:ilvl="5" w:tplc="B12A10CA" w:tentative="1">
      <w:start w:val="1"/>
      <w:numFmt w:val="lowerRoman"/>
      <w:lvlText w:val="%6."/>
      <w:lvlJc w:val="right"/>
      <w:pPr>
        <w:ind w:left="5029" w:hanging="180"/>
      </w:pPr>
    </w:lvl>
    <w:lvl w:ilvl="6" w:tplc="6A6C2312" w:tentative="1">
      <w:start w:val="1"/>
      <w:numFmt w:val="decimal"/>
      <w:lvlText w:val="%7."/>
      <w:lvlJc w:val="left"/>
      <w:pPr>
        <w:ind w:left="5749" w:hanging="360"/>
      </w:pPr>
    </w:lvl>
    <w:lvl w:ilvl="7" w:tplc="E8B64B26" w:tentative="1">
      <w:start w:val="1"/>
      <w:numFmt w:val="lowerLetter"/>
      <w:lvlText w:val="%8."/>
      <w:lvlJc w:val="left"/>
      <w:pPr>
        <w:ind w:left="6469" w:hanging="360"/>
      </w:pPr>
    </w:lvl>
    <w:lvl w:ilvl="8" w:tplc="5E02058A" w:tentative="1">
      <w:start w:val="1"/>
      <w:numFmt w:val="lowerRoman"/>
      <w:lvlText w:val="%9."/>
      <w:lvlJc w:val="right"/>
      <w:pPr>
        <w:ind w:left="7189" w:hanging="180"/>
      </w:pPr>
    </w:lvl>
  </w:abstractNum>
  <w:abstractNum w:abstractNumId="136" w15:restartNumberingAfterBreak="0">
    <w:nsid w:val="5CB71262"/>
    <w:multiLevelType w:val="multilevel"/>
    <w:tmpl w:val="B37AFE18"/>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7" w15:restartNumberingAfterBreak="0">
    <w:nsid w:val="5DC05339"/>
    <w:multiLevelType w:val="multilevel"/>
    <w:tmpl w:val="6C7C47C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2.4.%3."/>
      <w:lvlJc w:val="left"/>
      <w:pPr>
        <w:ind w:left="360" w:hanging="36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5EDA26EA"/>
    <w:multiLevelType w:val="hybridMultilevel"/>
    <w:tmpl w:val="E8823F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F0E5913"/>
    <w:multiLevelType w:val="multilevel"/>
    <w:tmpl w:val="E24283C0"/>
    <w:lvl w:ilvl="0">
      <w:start w:val="8"/>
      <w:numFmt w:val="decimal"/>
      <w:suff w:val="space"/>
      <w:lvlText w:val="CLÁUSULA %1 -"/>
      <w:lvlJc w:val="center"/>
      <w:pPr>
        <w:ind w:left="357" w:hanging="69"/>
      </w:pPr>
      <w:rPr>
        <w:rFonts w:ascii="Tahoma" w:hAnsi="Tahoma" w:hint="default"/>
        <w:b/>
        <w:i w:val="0"/>
        <w:sz w:val="22"/>
      </w:rPr>
    </w:lvl>
    <w:lvl w:ilvl="1">
      <w:start w:val="1"/>
      <w:numFmt w:val="decimal"/>
      <w:lvlText w:val="%1.%2."/>
      <w:lvlJc w:val="left"/>
      <w:pPr>
        <w:ind w:left="680" w:hanging="680"/>
      </w:pPr>
      <w:rPr>
        <w:rFonts w:ascii="Tahoma" w:hAnsi="Tahoma" w:hint="default"/>
        <w:b w:val="0"/>
        <w:i w:val="0"/>
        <w:sz w:val="22"/>
      </w:rPr>
    </w:lvl>
    <w:lvl w:ilvl="2">
      <w:start w:val="1"/>
      <w:numFmt w:val="decimal"/>
      <w:lvlText w:val="%1.%2.%3."/>
      <w:lvlJc w:val="left"/>
      <w:pPr>
        <w:tabs>
          <w:tab w:val="num" w:pos="851"/>
        </w:tabs>
        <w:ind w:left="0" w:firstLine="0"/>
      </w:pPr>
      <w:rPr>
        <w:rFonts w:ascii="Tahoma" w:hAnsi="Tahoma" w:hint="default"/>
        <w:b w:val="0"/>
        <w:i w:val="0"/>
        <w:sz w:val="22"/>
      </w:rPr>
    </w:lvl>
    <w:lvl w:ilvl="3">
      <w:start w:val="1"/>
      <w:numFmt w:val="lowerLetter"/>
      <w:lvlText w:val="(%4)"/>
      <w:lvlJc w:val="left"/>
      <w:pPr>
        <w:ind w:left="709" w:hanging="709"/>
      </w:pPr>
      <w:rPr>
        <w:rFonts w:ascii="Tahoma" w:hAnsi="Tahoma" w:hint="default"/>
        <w:b w:val="0"/>
        <w:i w:val="0"/>
        <w:sz w:val="22"/>
      </w:rPr>
    </w:lvl>
    <w:lvl w:ilvl="4">
      <w:start w:val="1"/>
      <w:numFmt w:val="decimal"/>
      <w:suff w:val="space"/>
      <w:lvlText w:val="%1.%2.%3.%5."/>
      <w:lvlJc w:val="left"/>
      <w:pPr>
        <w:ind w:left="0" w:firstLine="0"/>
      </w:pPr>
      <w:rPr>
        <w:rFonts w:ascii="Tahoma" w:hAnsi="Tahoma" w:hint="default"/>
        <w:b w:val="0"/>
        <w:i w:val="0"/>
        <w:sz w:val="22"/>
      </w:rPr>
    </w:lvl>
    <w:lvl w:ilvl="5">
      <w:start w:val="1"/>
      <w:numFmt w:val="lowerRoman"/>
      <w:lvlText w:val="(%6)"/>
      <w:lvlJc w:val="left"/>
      <w:pPr>
        <w:ind w:left="680" w:hanging="680"/>
      </w:pPr>
      <w:rPr>
        <w:rFonts w:ascii="Verdana" w:hAnsi="Verdana" w:hint="default"/>
        <w:b w:val="0"/>
        <w:i w:val="0"/>
        <w:sz w:val="20"/>
        <w:szCs w:val="20"/>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40" w15:restartNumberingAfterBreak="0">
    <w:nsid w:val="628C70AA"/>
    <w:multiLevelType w:val="hybridMultilevel"/>
    <w:tmpl w:val="3B00F530"/>
    <w:lvl w:ilvl="0" w:tplc="04160001">
      <w:start w:val="1"/>
      <w:numFmt w:val="bullet"/>
      <w:lvlText w:val=""/>
      <w:lvlJc w:val="left"/>
      <w:pPr>
        <w:ind w:left="1070" w:hanging="710"/>
      </w:pPr>
      <w:rPr>
        <w:rFonts w:ascii="Symbol" w:hAnsi="Symbol" w:hint="default"/>
        <w:b w:val="0"/>
        <w:bCs w:val="0"/>
        <w:i w:val="0"/>
        <w:iCs w:val="0"/>
        <w:w w:val="102"/>
        <w:sz w:val="19"/>
        <w:szCs w:val="19"/>
        <w:lang w:val="pt-P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62AD56A0"/>
    <w:multiLevelType w:val="multilevel"/>
    <w:tmpl w:val="EE0CFFDE"/>
    <w:lvl w:ilvl="0">
      <w:start w:val="11"/>
      <w:numFmt w:val="decimal"/>
      <w:lvlText w:val="%1."/>
      <w:lvlJc w:val="left"/>
      <w:pPr>
        <w:ind w:left="530" w:hanging="5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2" w15:restartNumberingAfterBreak="0">
    <w:nsid w:val="646D7284"/>
    <w:multiLevelType w:val="multilevel"/>
    <w:tmpl w:val="B462A11E"/>
    <w:lvl w:ilvl="0">
      <w:start w:val="1"/>
      <w:numFmt w:val="decimal"/>
      <w:lvlText w:val="%1."/>
      <w:lvlJc w:val="left"/>
      <w:pPr>
        <w:ind w:left="360" w:hanging="360"/>
      </w:pPr>
      <w:rPr>
        <w:rFonts w:ascii="Verdana" w:hAnsi="Verdana" w:hint="default"/>
        <w:sz w:val="20"/>
        <w:szCs w:val="20"/>
      </w:rPr>
    </w:lvl>
    <w:lvl w:ilvl="1">
      <w:start w:val="1"/>
      <w:numFmt w:val="decimal"/>
      <w:lvlText w:val="%1.%2."/>
      <w:lvlJc w:val="left"/>
      <w:pPr>
        <w:ind w:left="792" w:hanging="432"/>
      </w:pPr>
      <w:rPr>
        <w:b/>
      </w:rPr>
    </w:lvl>
    <w:lvl w:ilvl="2">
      <w:start w:val="1"/>
      <w:numFmt w:val="decimal"/>
      <w:lvlText w:val="2.2.%3."/>
      <w:lvlJc w:val="left"/>
      <w:pPr>
        <w:ind w:left="1080" w:hanging="360"/>
      </w:pPr>
      <w:rPr>
        <w:rFonts w:cs="Times New Roman" w:hint="eastAsia"/>
        <w:b w:val="0"/>
        <w:bCs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4876873"/>
    <w:multiLevelType w:val="hybridMultilevel"/>
    <w:tmpl w:val="21866150"/>
    <w:lvl w:ilvl="0" w:tplc="FFFFFFFF">
      <w:start w:val="1"/>
      <w:numFmt w:val="lowerLetter"/>
      <w:lvlText w:val="(%1)"/>
      <w:lvlJc w:val="left"/>
      <w:pPr>
        <w:tabs>
          <w:tab w:val="num" w:pos="1069"/>
        </w:tabs>
        <w:ind w:left="1069" w:hanging="360"/>
      </w:pPr>
      <w:rPr>
        <w:rFonts w:ascii="Verdana" w:hAnsi="Verdana" w:cs="Times New Roman" w:hint="default"/>
        <w:b w:val="0"/>
        <w:i w:val="0"/>
        <w:color w:val="auto"/>
        <w:sz w:val="20"/>
        <w:szCs w:val="20"/>
      </w:rPr>
    </w:lvl>
    <w:lvl w:ilvl="1" w:tplc="FFFFFFFF">
      <w:start w:val="1"/>
      <w:numFmt w:val="none"/>
      <w:lvlText w:val="r.2)"/>
      <w:lvlJc w:val="left"/>
      <w:pPr>
        <w:tabs>
          <w:tab w:val="num" w:pos="2149"/>
        </w:tabs>
        <w:ind w:left="2149" w:hanging="360"/>
      </w:pPr>
      <w:rPr>
        <w:rFonts w:cs="Times New Roman" w:hint="eastAsia"/>
      </w:rPr>
    </w:lvl>
    <w:lvl w:ilvl="2" w:tplc="FFFFFFFF">
      <w:start w:val="1"/>
      <w:numFmt w:val="lowerRoman"/>
      <w:lvlText w:val="%3."/>
      <w:lvlJc w:val="right"/>
      <w:pPr>
        <w:tabs>
          <w:tab w:val="num" w:pos="2869"/>
        </w:tabs>
        <w:ind w:left="2869" w:hanging="180"/>
      </w:pPr>
      <w:rPr>
        <w:rFonts w:cs="Times New Roman"/>
      </w:rPr>
    </w:lvl>
    <w:lvl w:ilvl="3" w:tplc="FFFFFFFF">
      <w:start w:val="1"/>
      <w:numFmt w:val="decimal"/>
      <w:lvlText w:val="%4."/>
      <w:lvlJc w:val="left"/>
      <w:pPr>
        <w:tabs>
          <w:tab w:val="num" w:pos="3589"/>
        </w:tabs>
        <w:ind w:left="3589" w:hanging="360"/>
      </w:pPr>
      <w:rPr>
        <w:rFonts w:cs="Times New Roman"/>
      </w:rPr>
    </w:lvl>
    <w:lvl w:ilvl="4" w:tplc="FFFFFFFF">
      <w:start w:val="1"/>
      <w:numFmt w:val="lowerLetter"/>
      <w:lvlText w:val="%5."/>
      <w:lvlJc w:val="left"/>
      <w:pPr>
        <w:tabs>
          <w:tab w:val="num" w:pos="4309"/>
        </w:tabs>
        <w:ind w:left="4309" w:hanging="360"/>
      </w:pPr>
      <w:rPr>
        <w:rFonts w:cs="Times New Roman"/>
      </w:rPr>
    </w:lvl>
    <w:lvl w:ilvl="5" w:tplc="FFFFFFFF">
      <w:start w:val="1"/>
      <w:numFmt w:val="lowerRoman"/>
      <w:lvlText w:val="%6."/>
      <w:lvlJc w:val="right"/>
      <w:pPr>
        <w:tabs>
          <w:tab w:val="num" w:pos="5029"/>
        </w:tabs>
        <w:ind w:left="5029" w:hanging="180"/>
      </w:pPr>
      <w:rPr>
        <w:rFonts w:cs="Times New Roman"/>
      </w:rPr>
    </w:lvl>
    <w:lvl w:ilvl="6" w:tplc="FFFFFFFF">
      <w:start w:val="1"/>
      <w:numFmt w:val="decimal"/>
      <w:lvlText w:val="%7."/>
      <w:lvlJc w:val="left"/>
      <w:pPr>
        <w:tabs>
          <w:tab w:val="num" w:pos="5749"/>
        </w:tabs>
        <w:ind w:left="5749" w:hanging="360"/>
      </w:pPr>
      <w:rPr>
        <w:rFonts w:cs="Times New Roman"/>
      </w:rPr>
    </w:lvl>
    <w:lvl w:ilvl="7" w:tplc="FFFFFFFF">
      <w:start w:val="1"/>
      <w:numFmt w:val="lowerLetter"/>
      <w:lvlText w:val="%8."/>
      <w:lvlJc w:val="left"/>
      <w:pPr>
        <w:tabs>
          <w:tab w:val="num" w:pos="6469"/>
        </w:tabs>
        <w:ind w:left="6469" w:hanging="360"/>
      </w:pPr>
      <w:rPr>
        <w:rFonts w:cs="Times New Roman"/>
      </w:rPr>
    </w:lvl>
    <w:lvl w:ilvl="8" w:tplc="FFFFFFFF">
      <w:start w:val="1"/>
      <w:numFmt w:val="lowerRoman"/>
      <w:lvlText w:val="%9."/>
      <w:lvlJc w:val="right"/>
      <w:pPr>
        <w:tabs>
          <w:tab w:val="num" w:pos="7189"/>
        </w:tabs>
        <w:ind w:left="7189" w:hanging="180"/>
      </w:pPr>
      <w:rPr>
        <w:rFonts w:cs="Times New Roman"/>
      </w:rPr>
    </w:lvl>
  </w:abstractNum>
  <w:abstractNum w:abstractNumId="144" w15:restartNumberingAfterBreak="0">
    <w:nsid w:val="67502742"/>
    <w:multiLevelType w:val="hybridMultilevel"/>
    <w:tmpl w:val="D84434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5" w15:restartNumberingAfterBreak="0">
    <w:nsid w:val="679F05ED"/>
    <w:multiLevelType w:val="multilevel"/>
    <w:tmpl w:val="FE5A80B4"/>
    <w:lvl w:ilvl="0">
      <w:start w:val="4"/>
      <w:numFmt w:val="decimal"/>
      <w:lvlText w:val="%1"/>
      <w:lvlJc w:val="left"/>
      <w:pPr>
        <w:ind w:left="510" w:hanging="510"/>
      </w:pPr>
    </w:lvl>
    <w:lvl w:ilvl="1">
      <w:start w:val="9"/>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46" w15:restartNumberingAfterBreak="0">
    <w:nsid w:val="67EF77F6"/>
    <w:multiLevelType w:val="multilevel"/>
    <w:tmpl w:val="BA3ACA38"/>
    <w:lvl w:ilvl="0">
      <w:start w:val="4"/>
      <w:numFmt w:val="decimal"/>
      <w:lvlText w:val="%1"/>
      <w:lvlJc w:val="left"/>
      <w:pPr>
        <w:ind w:left="630" w:hanging="63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7" w15:restartNumberingAfterBreak="0">
    <w:nsid w:val="68903575"/>
    <w:multiLevelType w:val="hybridMultilevel"/>
    <w:tmpl w:val="AF8ABB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95D5AF4"/>
    <w:multiLevelType w:val="hybridMultilevel"/>
    <w:tmpl w:val="B6A09204"/>
    <w:lvl w:ilvl="0" w:tplc="51EC4846">
      <w:start w:val="1"/>
      <w:numFmt w:val="decimal"/>
      <w:lvlText w:val="2.1.%1."/>
      <w:lvlJc w:val="left"/>
      <w:pPr>
        <w:ind w:left="720" w:hanging="360"/>
      </w:pPr>
      <w:rPr>
        <w:rFonts w:hint="default"/>
        <w:b w:val="0"/>
        <w:bCs/>
      </w:rPr>
    </w:lvl>
    <w:lvl w:ilvl="1" w:tplc="2E5A8574" w:tentative="1">
      <w:start w:val="1"/>
      <w:numFmt w:val="lowerLetter"/>
      <w:lvlText w:val="%2."/>
      <w:lvlJc w:val="left"/>
      <w:pPr>
        <w:ind w:left="1440" w:hanging="360"/>
      </w:pPr>
    </w:lvl>
    <w:lvl w:ilvl="2" w:tplc="317E2AD0" w:tentative="1">
      <w:start w:val="1"/>
      <w:numFmt w:val="lowerRoman"/>
      <w:lvlText w:val="%3."/>
      <w:lvlJc w:val="right"/>
      <w:pPr>
        <w:ind w:left="2160" w:hanging="180"/>
      </w:pPr>
    </w:lvl>
    <w:lvl w:ilvl="3" w:tplc="F30CB068" w:tentative="1">
      <w:start w:val="1"/>
      <w:numFmt w:val="decimal"/>
      <w:lvlText w:val="%4."/>
      <w:lvlJc w:val="left"/>
      <w:pPr>
        <w:ind w:left="2880" w:hanging="360"/>
      </w:pPr>
    </w:lvl>
    <w:lvl w:ilvl="4" w:tplc="189A257A" w:tentative="1">
      <w:start w:val="1"/>
      <w:numFmt w:val="lowerLetter"/>
      <w:lvlText w:val="%5."/>
      <w:lvlJc w:val="left"/>
      <w:pPr>
        <w:ind w:left="3600" w:hanging="360"/>
      </w:pPr>
    </w:lvl>
    <w:lvl w:ilvl="5" w:tplc="FF060BDA" w:tentative="1">
      <w:start w:val="1"/>
      <w:numFmt w:val="lowerRoman"/>
      <w:lvlText w:val="%6."/>
      <w:lvlJc w:val="right"/>
      <w:pPr>
        <w:ind w:left="4320" w:hanging="180"/>
      </w:pPr>
    </w:lvl>
    <w:lvl w:ilvl="6" w:tplc="F96E95B6" w:tentative="1">
      <w:start w:val="1"/>
      <w:numFmt w:val="decimal"/>
      <w:lvlText w:val="%7."/>
      <w:lvlJc w:val="left"/>
      <w:pPr>
        <w:ind w:left="5040" w:hanging="360"/>
      </w:pPr>
    </w:lvl>
    <w:lvl w:ilvl="7" w:tplc="CB003CF8" w:tentative="1">
      <w:start w:val="1"/>
      <w:numFmt w:val="lowerLetter"/>
      <w:lvlText w:val="%8."/>
      <w:lvlJc w:val="left"/>
      <w:pPr>
        <w:ind w:left="5760" w:hanging="360"/>
      </w:pPr>
    </w:lvl>
    <w:lvl w:ilvl="8" w:tplc="85744CE4" w:tentative="1">
      <w:start w:val="1"/>
      <w:numFmt w:val="lowerRoman"/>
      <w:lvlText w:val="%9."/>
      <w:lvlJc w:val="right"/>
      <w:pPr>
        <w:ind w:left="6480" w:hanging="180"/>
      </w:pPr>
    </w:lvl>
  </w:abstractNum>
  <w:abstractNum w:abstractNumId="149" w15:restartNumberingAfterBreak="0">
    <w:nsid w:val="6B1D1232"/>
    <w:multiLevelType w:val="multilevel"/>
    <w:tmpl w:val="5FAEFF34"/>
    <w:lvl w:ilvl="0">
      <w:start w:val="1"/>
      <w:numFmt w:val="decimal"/>
      <w:pStyle w:val="Level1"/>
      <w:lvlText w:val="%1"/>
      <w:lvlJc w:val="left"/>
      <w:pPr>
        <w:tabs>
          <w:tab w:val="num" w:pos="567"/>
        </w:tabs>
        <w:ind w:left="567" w:hanging="567"/>
      </w:pPr>
      <w:rPr>
        <w:rFonts w:ascii="Garamond" w:hAnsi="Garamond" w:hint="default"/>
        <w:b/>
        <w:i w:val="0"/>
        <w:sz w:val="24"/>
        <w:szCs w:val="24"/>
      </w:rPr>
    </w:lvl>
    <w:lvl w:ilvl="1">
      <w:start w:val="1"/>
      <w:numFmt w:val="decimal"/>
      <w:pStyle w:val="Level2"/>
      <w:lvlText w:val="%1.%2"/>
      <w:lvlJc w:val="left"/>
      <w:pPr>
        <w:tabs>
          <w:tab w:val="num" w:pos="1220"/>
        </w:tabs>
        <w:ind w:left="1220" w:hanging="680"/>
      </w:pPr>
      <w:rPr>
        <w:rFonts w:ascii="Garamond" w:hAnsi="Garamond" w:hint="default"/>
        <w:b/>
        <w:i w:val="0"/>
        <w:sz w:val="24"/>
        <w:szCs w:val="24"/>
      </w:rPr>
    </w:lvl>
    <w:lvl w:ilvl="2">
      <w:start w:val="1"/>
      <w:numFmt w:val="decimal"/>
      <w:pStyle w:val="Level3"/>
      <w:lvlText w:val="%1.%2.%3"/>
      <w:lvlJc w:val="left"/>
      <w:pPr>
        <w:tabs>
          <w:tab w:val="num" w:pos="4196"/>
        </w:tabs>
        <w:ind w:left="4196" w:hanging="794"/>
      </w:pPr>
      <w:rPr>
        <w:rFonts w:ascii="Garamond" w:hAnsi="Garamond" w:hint="default"/>
        <w:b/>
        <w:i w:val="0"/>
        <w:sz w:val="24"/>
        <w:szCs w:val="24"/>
      </w:rPr>
    </w:lvl>
    <w:lvl w:ilvl="3">
      <w:start w:val="1"/>
      <w:numFmt w:val="lowerRoman"/>
      <w:pStyle w:val="Level3"/>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50" w15:restartNumberingAfterBreak="0">
    <w:nsid w:val="6B311665"/>
    <w:multiLevelType w:val="multilevel"/>
    <w:tmpl w:val="9EE651F2"/>
    <w:lvl w:ilvl="0">
      <w:start w:val="9"/>
      <w:numFmt w:val="decimal"/>
      <w:lvlText w:val="%1"/>
      <w:lvlJc w:val="left"/>
      <w:pPr>
        <w:ind w:left="510" w:hanging="51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1" w15:restartNumberingAfterBreak="0">
    <w:nsid w:val="6C2B6F93"/>
    <w:multiLevelType w:val="hybridMultilevel"/>
    <w:tmpl w:val="959C2E46"/>
    <w:lvl w:ilvl="0" w:tplc="C3147C46">
      <w:start w:val="1"/>
      <w:numFmt w:val="upperRoman"/>
      <w:lvlText w:val="%1-"/>
      <w:lvlJc w:val="left"/>
      <w:pPr>
        <w:ind w:left="1080" w:hanging="720"/>
      </w:pPr>
      <w:rPr>
        <w:rFonts w:hint="default"/>
      </w:rPr>
    </w:lvl>
    <w:lvl w:ilvl="1" w:tplc="040CBC9E">
      <w:start w:val="1"/>
      <w:numFmt w:val="lowerLetter"/>
      <w:lvlText w:val="%2."/>
      <w:lvlJc w:val="left"/>
      <w:pPr>
        <w:ind w:left="1440" w:hanging="360"/>
      </w:pPr>
    </w:lvl>
    <w:lvl w:ilvl="2" w:tplc="B06EF0A8">
      <w:start w:val="1"/>
      <w:numFmt w:val="lowerRoman"/>
      <w:lvlText w:val="%3."/>
      <w:lvlJc w:val="right"/>
      <w:pPr>
        <w:ind w:left="2160" w:hanging="180"/>
      </w:pPr>
    </w:lvl>
    <w:lvl w:ilvl="3" w:tplc="EFE0F1D2" w:tentative="1">
      <w:start w:val="1"/>
      <w:numFmt w:val="decimal"/>
      <w:lvlText w:val="%4."/>
      <w:lvlJc w:val="left"/>
      <w:pPr>
        <w:ind w:left="2880" w:hanging="360"/>
      </w:pPr>
    </w:lvl>
    <w:lvl w:ilvl="4" w:tplc="B6BCCA1A" w:tentative="1">
      <w:start w:val="1"/>
      <w:numFmt w:val="lowerLetter"/>
      <w:lvlText w:val="%5."/>
      <w:lvlJc w:val="left"/>
      <w:pPr>
        <w:ind w:left="3600" w:hanging="360"/>
      </w:pPr>
    </w:lvl>
    <w:lvl w:ilvl="5" w:tplc="D8EA205C" w:tentative="1">
      <w:start w:val="1"/>
      <w:numFmt w:val="lowerRoman"/>
      <w:lvlText w:val="%6."/>
      <w:lvlJc w:val="right"/>
      <w:pPr>
        <w:ind w:left="4320" w:hanging="180"/>
      </w:pPr>
    </w:lvl>
    <w:lvl w:ilvl="6" w:tplc="B560C7D0" w:tentative="1">
      <w:start w:val="1"/>
      <w:numFmt w:val="decimal"/>
      <w:lvlText w:val="%7."/>
      <w:lvlJc w:val="left"/>
      <w:pPr>
        <w:ind w:left="5040" w:hanging="360"/>
      </w:pPr>
    </w:lvl>
    <w:lvl w:ilvl="7" w:tplc="22464CBE" w:tentative="1">
      <w:start w:val="1"/>
      <w:numFmt w:val="lowerLetter"/>
      <w:lvlText w:val="%8."/>
      <w:lvlJc w:val="left"/>
      <w:pPr>
        <w:ind w:left="5760" w:hanging="360"/>
      </w:pPr>
    </w:lvl>
    <w:lvl w:ilvl="8" w:tplc="89108C5C" w:tentative="1">
      <w:start w:val="1"/>
      <w:numFmt w:val="lowerRoman"/>
      <w:lvlText w:val="%9."/>
      <w:lvlJc w:val="right"/>
      <w:pPr>
        <w:ind w:left="6480" w:hanging="180"/>
      </w:pPr>
    </w:lvl>
  </w:abstractNum>
  <w:abstractNum w:abstractNumId="152" w15:restartNumberingAfterBreak="0">
    <w:nsid w:val="6C891DAB"/>
    <w:multiLevelType w:val="hybridMultilevel"/>
    <w:tmpl w:val="460C9F76"/>
    <w:lvl w:ilvl="0" w:tplc="0688D7EC">
      <w:start w:val="1"/>
      <w:numFmt w:val="lowerRoman"/>
      <w:lvlText w:val="(%1)"/>
      <w:lvlJc w:val="left"/>
      <w:pPr>
        <w:ind w:left="927" w:hanging="360"/>
      </w:pPr>
      <w:rPr>
        <w:rFonts w:hint="default"/>
        <w:b w:val="0"/>
        <w:bCs/>
        <w:sz w:val="20"/>
        <w:szCs w:val="20"/>
      </w:rPr>
    </w:lvl>
    <w:lvl w:ilvl="1" w:tplc="3294BC24" w:tentative="1">
      <w:start w:val="1"/>
      <w:numFmt w:val="lowerLetter"/>
      <w:lvlText w:val="%2."/>
      <w:lvlJc w:val="left"/>
      <w:pPr>
        <w:ind w:left="1440" w:hanging="360"/>
      </w:pPr>
    </w:lvl>
    <w:lvl w:ilvl="2" w:tplc="56A0974E" w:tentative="1">
      <w:start w:val="1"/>
      <w:numFmt w:val="lowerRoman"/>
      <w:lvlText w:val="%3."/>
      <w:lvlJc w:val="right"/>
      <w:pPr>
        <w:ind w:left="2160" w:hanging="180"/>
      </w:pPr>
    </w:lvl>
    <w:lvl w:ilvl="3" w:tplc="33C80308" w:tentative="1">
      <w:start w:val="1"/>
      <w:numFmt w:val="decimal"/>
      <w:lvlText w:val="%4."/>
      <w:lvlJc w:val="left"/>
      <w:pPr>
        <w:ind w:left="2880" w:hanging="360"/>
      </w:pPr>
    </w:lvl>
    <w:lvl w:ilvl="4" w:tplc="864EC66A" w:tentative="1">
      <w:start w:val="1"/>
      <w:numFmt w:val="lowerLetter"/>
      <w:lvlText w:val="%5."/>
      <w:lvlJc w:val="left"/>
      <w:pPr>
        <w:ind w:left="3600" w:hanging="360"/>
      </w:pPr>
    </w:lvl>
    <w:lvl w:ilvl="5" w:tplc="505C3A38" w:tentative="1">
      <w:start w:val="1"/>
      <w:numFmt w:val="lowerRoman"/>
      <w:lvlText w:val="%6."/>
      <w:lvlJc w:val="right"/>
      <w:pPr>
        <w:ind w:left="4320" w:hanging="180"/>
      </w:pPr>
    </w:lvl>
    <w:lvl w:ilvl="6" w:tplc="D34EDDEC" w:tentative="1">
      <w:start w:val="1"/>
      <w:numFmt w:val="decimal"/>
      <w:lvlText w:val="%7."/>
      <w:lvlJc w:val="left"/>
      <w:pPr>
        <w:ind w:left="5040" w:hanging="360"/>
      </w:pPr>
    </w:lvl>
    <w:lvl w:ilvl="7" w:tplc="5F5E2376" w:tentative="1">
      <w:start w:val="1"/>
      <w:numFmt w:val="lowerLetter"/>
      <w:lvlText w:val="%8."/>
      <w:lvlJc w:val="left"/>
      <w:pPr>
        <w:ind w:left="5760" w:hanging="360"/>
      </w:pPr>
    </w:lvl>
    <w:lvl w:ilvl="8" w:tplc="C55031CE" w:tentative="1">
      <w:start w:val="1"/>
      <w:numFmt w:val="lowerRoman"/>
      <w:lvlText w:val="%9."/>
      <w:lvlJc w:val="right"/>
      <w:pPr>
        <w:ind w:left="6480" w:hanging="180"/>
      </w:pPr>
    </w:lvl>
  </w:abstractNum>
  <w:abstractNum w:abstractNumId="153" w15:restartNumberingAfterBreak="0">
    <w:nsid w:val="6CB114B9"/>
    <w:multiLevelType w:val="hybridMultilevel"/>
    <w:tmpl w:val="FFFFFFFF"/>
    <w:lvl w:ilvl="0" w:tplc="FE44401E">
      <w:start w:val="1"/>
      <w:numFmt w:val="lowerLetter"/>
      <w:lvlText w:val=""/>
      <w:lvlJc w:val="left"/>
    </w:lvl>
    <w:lvl w:ilvl="1" w:tplc="4D0AD63C">
      <w:numFmt w:val="decimal"/>
      <w:lvlText w:val=""/>
      <w:lvlJc w:val="left"/>
    </w:lvl>
    <w:lvl w:ilvl="2" w:tplc="507C3956">
      <w:numFmt w:val="decimal"/>
      <w:lvlText w:val=""/>
      <w:lvlJc w:val="left"/>
    </w:lvl>
    <w:lvl w:ilvl="3" w:tplc="EAA68202">
      <w:numFmt w:val="decimal"/>
      <w:lvlText w:val=""/>
      <w:lvlJc w:val="left"/>
    </w:lvl>
    <w:lvl w:ilvl="4" w:tplc="E96A1092">
      <w:numFmt w:val="decimal"/>
      <w:lvlText w:val=""/>
      <w:lvlJc w:val="left"/>
    </w:lvl>
    <w:lvl w:ilvl="5" w:tplc="20026522">
      <w:numFmt w:val="decimal"/>
      <w:lvlText w:val=""/>
      <w:lvlJc w:val="left"/>
    </w:lvl>
    <w:lvl w:ilvl="6" w:tplc="2D963D96">
      <w:numFmt w:val="decimal"/>
      <w:lvlText w:val=""/>
      <w:lvlJc w:val="left"/>
    </w:lvl>
    <w:lvl w:ilvl="7" w:tplc="34F4CC04">
      <w:numFmt w:val="decimal"/>
      <w:lvlText w:val=""/>
      <w:lvlJc w:val="left"/>
    </w:lvl>
    <w:lvl w:ilvl="8" w:tplc="646286DA">
      <w:numFmt w:val="decimal"/>
      <w:lvlText w:val=""/>
      <w:lvlJc w:val="left"/>
    </w:lvl>
  </w:abstractNum>
  <w:abstractNum w:abstractNumId="154" w15:restartNumberingAfterBreak="0">
    <w:nsid w:val="6CD61A33"/>
    <w:multiLevelType w:val="multilevel"/>
    <w:tmpl w:val="9FB689E4"/>
    <w:lvl w:ilvl="0">
      <w:start w:val="1"/>
      <w:numFmt w:val="decimal"/>
      <w:lvlRestart w:val="0"/>
      <w:lvlText w:val="%1"/>
      <w:lvlJc w:val="left"/>
      <w:pPr>
        <w:tabs>
          <w:tab w:val="num" w:pos="680"/>
        </w:tabs>
        <w:ind w:left="680" w:hanging="680"/>
      </w:pPr>
      <w:rPr>
        <w:rFonts w:ascii="Arial" w:hAnsi="Arial" w:cs="Arial"/>
        <w:b/>
        <w:caps w:val="0"/>
        <w:strike w:val="0"/>
        <w:dstrike w:val="0"/>
        <w:vanish w:val="0"/>
        <w:color w:val="000000"/>
        <w:sz w:val="22"/>
        <w:vertAlign w:val="baseline"/>
      </w:rPr>
    </w:lvl>
    <w:lvl w:ilvl="1">
      <w:start w:val="1"/>
      <w:numFmt w:val="decimal"/>
      <w:lvlText w:val="%1.%2"/>
      <w:lvlJc w:val="left"/>
      <w:pPr>
        <w:tabs>
          <w:tab w:val="num" w:pos="680"/>
        </w:tabs>
        <w:ind w:left="680" w:hanging="680"/>
      </w:pPr>
      <w:rPr>
        <w:rFonts w:ascii="Arial" w:hAnsi="Arial" w:cs="Arial"/>
        <w:b/>
        <w:i w:val="0"/>
        <w:caps w:val="0"/>
        <w:strike w:val="0"/>
        <w:dstrike w:val="0"/>
        <w:vanish w:val="0"/>
        <w:color w:val="000000"/>
        <w:sz w:val="21"/>
        <w:vertAlign w:val="baseline"/>
      </w:rPr>
    </w:lvl>
    <w:lvl w:ilvl="2">
      <w:start w:val="1"/>
      <w:numFmt w:val="decimal"/>
      <w:lvlText w:val="%1.%2.%3"/>
      <w:lvlJc w:val="left"/>
      <w:pPr>
        <w:tabs>
          <w:tab w:val="num" w:pos="1361"/>
        </w:tabs>
        <w:ind w:left="1361" w:hanging="681"/>
      </w:pPr>
      <w:rPr>
        <w:rFonts w:ascii="Arial" w:hAnsi="Arial" w:cs="Arial"/>
        <w:b/>
        <w:i w:val="0"/>
        <w:caps w:val="0"/>
        <w:strike w:val="0"/>
        <w:dstrike w:val="0"/>
        <w:vanish w:val="0"/>
        <w:color w:val="000000"/>
        <w:sz w:val="17"/>
        <w:vertAlign w:val="baseline"/>
      </w:rPr>
    </w:lvl>
    <w:lvl w:ilvl="3">
      <w:start w:val="1"/>
      <w:numFmt w:val="lowerRoman"/>
      <w:lvlText w:val="(%4)"/>
      <w:lvlJc w:val="left"/>
      <w:pPr>
        <w:tabs>
          <w:tab w:val="num" w:pos="2041"/>
        </w:tabs>
        <w:ind w:left="2041" w:hanging="680"/>
      </w:pPr>
      <w:rPr>
        <w:rFonts w:asciiTheme="minorHAnsi" w:hAnsiTheme="minorHAnsi" w:cstheme="minorHAnsi" w:hint="default"/>
        <w:b/>
        <w:bCs/>
        <w:i w:val="0"/>
        <w:caps w:val="0"/>
        <w:strike w:val="0"/>
        <w:dstrike w:val="0"/>
        <w:vanish w:val="0"/>
        <w:color w:val="000000"/>
        <w:sz w:val="20"/>
        <w:vertAlign w:val="baseline"/>
      </w:rPr>
    </w:lvl>
    <w:lvl w:ilvl="4">
      <w:start w:val="1"/>
      <w:numFmt w:val="lowerLetter"/>
      <w:lvlText w:val="(%5)"/>
      <w:lvlJc w:val="left"/>
      <w:pPr>
        <w:tabs>
          <w:tab w:val="num" w:pos="2721"/>
        </w:tabs>
        <w:ind w:left="2721" w:hanging="680"/>
      </w:pPr>
      <w:rPr>
        <w:rFonts w:ascii="Arial" w:hAnsi="Arial" w:cs="Arial"/>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b w:val="0"/>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6DC437C0"/>
    <w:multiLevelType w:val="hybridMultilevel"/>
    <w:tmpl w:val="375AEEF6"/>
    <w:lvl w:ilvl="0" w:tplc="E4D2F33E">
      <w:start w:val="1"/>
      <w:numFmt w:val="lowerRoman"/>
      <w:lvlText w:val="(%1)"/>
      <w:lvlJc w:val="left"/>
      <w:pPr>
        <w:ind w:left="1429" w:hanging="720"/>
      </w:pPr>
      <w:rPr>
        <w:rFonts w:hint="default"/>
        <w:b w:val="0"/>
        <w:bCs/>
      </w:rPr>
    </w:lvl>
    <w:lvl w:ilvl="1" w:tplc="22BE3DC6">
      <w:start w:val="1"/>
      <w:numFmt w:val="lowerLetter"/>
      <w:lvlText w:val="(%2)"/>
      <w:lvlJc w:val="left"/>
      <w:pPr>
        <w:ind w:left="2149" w:hanging="360"/>
      </w:pPr>
      <w:rPr>
        <w:rFonts w:hint="default"/>
        <w:b w:val="0"/>
        <w:bCs w:val="0"/>
      </w:rPr>
    </w:lvl>
    <w:lvl w:ilvl="2" w:tplc="62E679CE" w:tentative="1">
      <w:start w:val="1"/>
      <w:numFmt w:val="lowerRoman"/>
      <w:lvlText w:val="%3."/>
      <w:lvlJc w:val="right"/>
      <w:pPr>
        <w:ind w:left="2869" w:hanging="180"/>
      </w:pPr>
    </w:lvl>
    <w:lvl w:ilvl="3" w:tplc="70C262E4">
      <w:start w:val="1"/>
      <w:numFmt w:val="decimal"/>
      <w:lvlText w:val="%4."/>
      <w:lvlJc w:val="left"/>
      <w:pPr>
        <w:ind w:left="3589" w:hanging="360"/>
      </w:pPr>
    </w:lvl>
    <w:lvl w:ilvl="4" w:tplc="5C8022F8" w:tentative="1">
      <w:start w:val="1"/>
      <w:numFmt w:val="lowerLetter"/>
      <w:lvlText w:val="%5."/>
      <w:lvlJc w:val="left"/>
      <w:pPr>
        <w:ind w:left="4309" w:hanging="360"/>
      </w:pPr>
    </w:lvl>
    <w:lvl w:ilvl="5" w:tplc="DB224CF0" w:tentative="1">
      <w:start w:val="1"/>
      <w:numFmt w:val="lowerRoman"/>
      <w:lvlText w:val="%6."/>
      <w:lvlJc w:val="right"/>
      <w:pPr>
        <w:ind w:left="5029" w:hanging="180"/>
      </w:pPr>
    </w:lvl>
    <w:lvl w:ilvl="6" w:tplc="FDBA9696" w:tentative="1">
      <w:start w:val="1"/>
      <w:numFmt w:val="decimal"/>
      <w:lvlText w:val="%7."/>
      <w:lvlJc w:val="left"/>
      <w:pPr>
        <w:ind w:left="5749" w:hanging="360"/>
      </w:pPr>
    </w:lvl>
    <w:lvl w:ilvl="7" w:tplc="937697F2" w:tentative="1">
      <w:start w:val="1"/>
      <w:numFmt w:val="lowerLetter"/>
      <w:lvlText w:val="%8."/>
      <w:lvlJc w:val="left"/>
      <w:pPr>
        <w:ind w:left="6469" w:hanging="360"/>
      </w:pPr>
    </w:lvl>
    <w:lvl w:ilvl="8" w:tplc="A7B8EC9A" w:tentative="1">
      <w:start w:val="1"/>
      <w:numFmt w:val="lowerRoman"/>
      <w:lvlText w:val="%9."/>
      <w:lvlJc w:val="right"/>
      <w:pPr>
        <w:ind w:left="7189" w:hanging="180"/>
      </w:pPr>
    </w:lvl>
  </w:abstractNum>
  <w:abstractNum w:abstractNumId="156" w15:restartNumberingAfterBreak="0">
    <w:nsid w:val="6E1C6810"/>
    <w:multiLevelType w:val="hybridMultilevel"/>
    <w:tmpl w:val="0C127CB0"/>
    <w:lvl w:ilvl="0" w:tplc="C04CBF72">
      <w:start w:val="1"/>
      <w:numFmt w:val="lowerLetter"/>
      <w:lvlText w:val="%1)"/>
      <w:lvlJc w:val="left"/>
      <w:pPr>
        <w:ind w:left="720" w:hanging="360"/>
      </w:pPr>
      <w:rPr>
        <w:rFonts w:ascii="Arial" w:hAnsi="Arial" w:cs="Arial" w:hint="default"/>
        <w:sz w:val="22"/>
      </w:rPr>
    </w:lvl>
    <w:lvl w:ilvl="1" w:tplc="E9A28B32">
      <w:start w:val="1"/>
      <w:numFmt w:val="lowerLetter"/>
      <w:lvlText w:val="%2."/>
      <w:lvlJc w:val="left"/>
      <w:pPr>
        <w:ind w:left="1440" w:hanging="360"/>
      </w:pPr>
    </w:lvl>
    <w:lvl w:ilvl="2" w:tplc="94367566" w:tentative="1">
      <w:start w:val="1"/>
      <w:numFmt w:val="lowerRoman"/>
      <w:lvlText w:val="%3."/>
      <w:lvlJc w:val="right"/>
      <w:pPr>
        <w:ind w:left="2160" w:hanging="180"/>
      </w:pPr>
    </w:lvl>
    <w:lvl w:ilvl="3" w:tplc="3948C6C8" w:tentative="1">
      <w:start w:val="1"/>
      <w:numFmt w:val="decimal"/>
      <w:lvlText w:val="%4."/>
      <w:lvlJc w:val="left"/>
      <w:pPr>
        <w:ind w:left="2880" w:hanging="360"/>
      </w:pPr>
    </w:lvl>
    <w:lvl w:ilvl="4" w:tplc="A24EFFCE" w:tentative="1">
      <w:start w:val="1"/>
      <w:numFmt w:val="lowerLetter"/>
      <w:lvlText w:val="%5."/>
      <w:lvlJc w:val="left"/>
      <w:pPr>
        <w:ind w:left="3600" w:hanging="360"/>
      </w:pPr>
    </w:lvl>
    <w:lvl w:ilvl="5" w:tplc="3FFCF9C0" w:tentative="1">
      <w:start w:val="1"/>
      <w:numFmt w:val="lowerRoman"/>
      <w:lvlText w:val="%6."/>
      <w:lvlJc w:val="right"/>
      <w:pPr>
        <w:ind w:left="4320" w:hanging="180"/>
      </w:pPr>
    </w:lvl>
    <w:lvl w:ilvl="6" w:tplc="BBB83264" w:tentative="1">
      <w:start w:val="1"/>
      <w:numFmt w:val="decimal"/>
      <w:lvlText w:val="%7."/>
      <w:lvlJc w:val="left"/>
      <w:pPr>
        <w:ind w:left="5040" w:hanging="360"/>
      </w:pPr>
    </w:lvl>
    <w:lvl w:ilvl="7" w:tplc="713463FA" w:tentative="1">
      <w:start w:val="1"/>
      <w:numFmt w:val="lowerLetter"/>
      <w:lvlText w:val="%8."/>
      <w:lvlJc w:val="left"/>
      <w:pPr>
        <w:ind w:left="5760" w:hanging="360"/>
      </w:pPr>
    </w:lvl>
    <w:lvl w:ilvl="8" w:tplc="0DF24050" w:tentative="1">
      <w:start w:val="1"/>
      <w:numFmt w:val="lowerRoman"/>
      <w:lvlText w:val="%9."/>
      <w:lvlJc w:val="right"/>
      <w:pPr>
        <w:ind w:left="6480" w:hanging="180"/>
      </w:pPr>
    </w:lvl>
  </w:abstractNum>
  <w:abstractNum w:abstractNumId="157" w15:restartNumberingAfterBreak="0">
    <w:nsid w:val="6FA85A6E"/>
    <w:multiLevelType w:val="multilevel"/>
    <w:tmpl w:val="739ED6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6FCD4F2E"/>
    <w:multiLevelType w:val="multilevel"/>
    <w:tmpl w:val="9986479C"/>
    <w:lvl w:ilvl="0">
      <w:start w:val="1"/>
      <w:numFmt w:val="decimal"/>
      <w:lvlText w:val="%1."/>
      <w:lvlJc w:val="left"/>
      <w:pPr>
        <w:tabs>
          <w:tab w:val="num" w:pos="709"/>
        </w:tabs>
        <w:ind w:left="709" w:hanging="709"/>
      </w:pPr>
      <w:rPr>
        <w:rFonts w:ascii="Verdana" w:hAnsi="Verdana" w:hint="default"/>
        <w:b/>
        <w:i w:val="0"/>
        <w:sz w:val="20"/>
        <w:szCs w:val="20"/>
      </w:rPr>
    </w:lvl>
    <w:lvl w:ilvl="1">
      <w:start w:val="1"/>
      <w:numFmt w:val="decimal"/>
      <w:lvlText w:val="%1.%2"/>
      <w:lvlJc w:val="left"/>
      <w:pPr>
        <w:tabs>
          <w:tab w:val="num" w:pos="709"/>
        </w:tabs>
        <w:ind w:left="709" w:hanging="709"/>
      </w:pPr>
      <w:rPr>
        <w:rFonts w:ascii="Verdana" w:hAnsi="Verdana" w:cs="Segoe UI" w:hint="default"/>
        <w:b/>
        <w:i w:val="0"/>
      </w:rPr>
    </w:lvl>
    <w:lvl w:ilvl="2">
      <w:start w:val="1"/>
      <w:numFmt w:val="decimal"/>
      <w:lvlText w:val="%1.%2.%3"/>
      <w:lvlJc w:val="left"/>
      <w:pPr>
        <w:tabs>
          <w:tab w:val="num" w:pos="709"/>
        </w:tabs>
        <w:ind w:left="709" w:hanging="709"/>
      </w:pPr>
      <w:rPr>
        <w:rFonts w:hint="default"/>
        <w:b/>
        <w:i w:val="0"/>
        <w:iCs/>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9" w15:restartNumberingAfterBreak="0">
    <w:nsid w:val="6FD805CB"/>
    <w:multiLevelType w:val="multilevel"/>
    <w:tmpl w:val="E9388DF6"/>
    <w:lvl w:ilvl="0">
      <w:start w:val="4"/>
      <w:numFmt w:val="decimal"/>
      <w:lvlText w:val="%1"/>
      <w:lvlJc w:val="left"/>
      <w:pPr>
        <w:ind w:left="630" w:hanging="630"/>
      </w:pPr>
      <w:rPr>
        <w:rFonts w:hint="default"/>
        <w:b w:val="0"/>
      </w:rPr>
    </w:lvl>
    <w:lvl w:ilvl="1">
      <w:start w:val="18"/>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60" w15:restartNumberingAfterBreak="0">
    <w:nsid w:val="705E1991"/>
    <w:multiLevelType w:val="hybridMultilevel"/>
    <w:tmpl w:val="E700ACC6"/>
    <w:lvl w:ilvl="0" w:tplc="E0D012CA">
      <w:start w:val="1"/>
      <w:numFmt w:val="upperRoman"/>
      <w:lvlText w:val="%1."/>
      <w:lvlJc w:val="right"/>
      <w:pPr>
        <w:ind w:left="720" w:hanging="360"/>
      </w:pPr>
    </w:lvl>
    <w:lvl w:ilvl="1" w:tplc="1382C376">
      <w:start w:val="1"/>
      <w:numFmt w:val="lowerLetter"/>
      <w:lvlText w:val="%2)"/>
      <w:lvlJc w:val="left"/>
      <w:pPr>
        <w:ind w:left="1440" w:hanging="360"/>
      </w:pPr>
      <w:rPr>
        <w:rFonts w:hint="default"/>
      </w:rPr>
    </w:lvl>
    <w:lvl w:ilvl="2" w:tplc="073864BA" w:tentative="1">
      <w:start w:val="1"/>
      <w:numFmt w:val="lowerRoman"/>
      <w:lvlText w:val="%3."/>
      <w:lvlJc w:val="right"/>
      <w:pPr>
        <w:ind w:left="2160" w:hanging="180"/>
      </w:pPr>
    </w:lvl>
    <w:lvl w:ilvl="3" w:tplc="9BB85550" w:tentative="1">
      <w:start w:val="1"/>
      <w:numFmt w:val="decimal"/>
      <w:lvlText w:val="%4."/>
      <w:lvlJc w:val="left"/>
      <w:pPr>
        <w:ind w:left="2880" w:hanging="360"/>
      </w:pPr>
    </w:lvl>
    <w:lvl w:ilvl="4" w:tplc="3B02254A" w:tentative="1">
      <w:start w:val="1"/>
      <w:numFmt w:val="lowerLetter"/>
      <w:lvlText w:val="%5."/>
      <w:lvlJc w:val="left"/>
      <w:pPr>
        <w:ind w:left="3600" w:hanging="360"/>
      </w:pPr>
    </w:lvl>
    <w:lvl w:ilvl="5" w:tplc="E8AA895A" w:tentative="1">
      <w:start w:val="1"/>
      <w:numFmt w:val="lowerRoman"/>
      <w:lvlText w:val="%6."/>
      <w:lvlJc w:val="right"/>
      <w:pPr>
        <w:ind w:left="4320" w:hanging="180"/>
      </w:pPr>
    </w:lvl>
    <w:lvl w:ilvl="6" w:tplc="AF9A3EA6" w:tentative="1">
      <w:start w:val="1"/>
      <w:numFmt w:val="decimal"/>
      <w:lvlText w:val="%7."/>
      <w:lvlJc w:val="left"/>
      <w:pPr>
        <w:ind w:left="5040" w:hanging="360"/>
      </w:pPr>
    </w:lvl>
    <w:lvl w:ilvl="7" w:tplc="CCF0ABFC" w:tentative="1">
      <w:start w:val="1"/>
      <w:numFmt w:val="lowerLetter"/>
      <w:lvlText w:val="%8."/>
      <w:lvlJc w:val="left"/>
      <w:pPr>
        <w:ind w:left="5760" w:hanging="360"/>
      </w:pPr>
    </w:lvl>
    <w:lvl w:ilvl="8" w:tplc="79485A26" w:tentative="1">
      <w:start w:val="1"/>
      <w:numFmt w:val="lowerRoman"/>
      <w:lvlText w:val="%9."/>
      <w:lvlJc w:val="right"/>
      <w:pPr>
        <w:ind w:left="6480" w:hanging="180"/>
      </w:pPr>
    </w:lvl>
  </w:abstractNum>
  <w:abstractNum w:abstractNumId="161" w15:restartNumberingAfterBreak="0">
    <w:nsid w:val="70B9464B"/>
    <w:multiLevelType w:val="multilevel"/>
    <w:tmpl w:val="081204C4"/>
    <w:lvl w:ilvl="0">
      <w:start w:val="2"/>
      <w:numFmt w:val="decimal"/>
      <w:lvlText w:val="%1."/>
      <w:lvlJc w:val="left"/>
      <w:pPr>
        <w:ind w:left="540" w:hanging="540"/>
      </w:pPr>
      <w:rPr>
        <w:rFonts w:hint="default"/>
        <w:i/>
        <w:u w:val="single"/>
      </w:rPr>
    </w:lvl>
    <w:lvl w:ilvl="1">
      <w:start w:val="4"/>
      <w:numFmt w:val="decimal"/>
      <w:lvlText w:val="%1.%2."/>
      <w:lvlJc w:val="left"/>
      <w:pPr>
        <w:ind w:left="540" w:hanging="540"/>
      </w:pPr>
      <w:rPr>
        <w:rFonts w:hint="default"/>
        <w:i/>
        <w:u w:val="single"/>
      </w:rPr>
    </w:lvl>
    <w:lvl w:ilvl="2">
      <w:start w:val="1"/>
      <w:numFmt w:val="decimal"/>
      <w:lvlText w:val="%1.%2.%3."/>
      <w:lvlJc w:val="left"/>
      <w:pPr>
        <w:ind w:left="720" w:hanging="720"/>
      </w:pPr>
      <w:rPr>
        <w:rFonts w:hint="default"/>
        <w:b/>
        <w:i w:val="0"/>
        <w:sz w:val="20"/>
        <w:szCs w:val="20"/>
        <w:u w:val="none"/>
      </w:rPr>
    </w:lvl>
    <w:lvl w:ilvl="3">
      <w:start w:val="1"/>
      <w:numFmt w:val="decimal"/>
      <w:lvlText w:val="%1.%2.%3.%4."/>
      <w:lvlJc w:val="left"/>
      <w:pPr>
        <w:ind w:left="720" w:hanging="720"/>
      </w:pPr>
      <w:rPr>
        <w:rFonts w:hint="default"/>
        <w:i/>
        <w:u w:val="singl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080" w:hanging="108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440" w:hanging="1440"/>
      </w:pPr>
      <w:rPr>
        <w:rFonts w:hint="default"/>
        <w:i/>
        <w:u w:val="single"/>
      </w:rPr>
    </w:lvl>
    <w:lvl w:ilvl="8">
      <w:start w:val="1"/>
      <w:numFmt w:val="decimal"/>
      <w:lvlText w:val="%1.%2.%3.%4.%5.%6.%7.%8.%9."/>
      <w:lvlJc w:val="left"/>
      <w:pPr>
        <w:ind w:left="1800" w:hanging="1800"/>
      </w:pPr>
      <w:rPr>
        <w:rFonts w:hint="default"/>
        <w:i/>
        <w:u w:val="single"/>
      </w:rPr>
    </w:lvl>
  </w:abstractNum>
  <w:abstractNum w:abstractNumId="162" w15:restartNumberingAfterBreak="0">
    <w:nsid w:val="71231423"/>
    <w:multiLevelType w:val="multilevel"/>
    <w:tmpl w:val="55ECDB28"/>
    <w:lvl w:ilvl="0">
      <w:start w:val="4"/>
      <w:numFmt w:val="decimal"/>
      <w:lvlText w:val="%1"/>
      <w:lvlJc w:val="left"/>
      <w:pPr>
        <w:ind w:left="630" w:hanging="63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736945D6"/>
    <w:multiLevelType w:val="multilevel"/>
    <w:tmpl w:val="AB9C062C"/>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rPr>
        <w:rFonts w:ascii="Tahoma" w:hAnsi="Tahoma" w:cs="Tahoma" w:hint="default"/>
        <w:b/>
      </w:rPr>
    </w:lvl>
    <w:lvl w:ilvl="2">
      <w:start w:val="1"/>
      <w:numFmt w:val="decimal"/>
      <w:lvlText w:val="%1.%2.%3."/>
      <w:lvlJc w:val="left"/>
      <w:pPr>
        <w:ind w:left="1224" w:hanging="504"/>
      </w:pPr>
      <w:rPr>
        <w:rFonts w:ascii="Tahoma" w:hAnsi="Tahoma" w:cs="Tahoma" w:hint="default"/>
        <w:b/>
        <w:sz w:val="22"/>
        <w:szCs w:val="22"/>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740F2FC9"/>
    <w:multiLevelType w:val="multilevel"/>
    <w:tmpl w:val="69462992"/>
    <w:name w:val="zzmpCorrespond||Correspondence|3|5|1|1|0|32||1|0|32||1|0|32||mpNA||mpNA||mpNA||mpNA||mpNA||mpNA||"/>
    <w:lvl w:ilvl="0">
      <w:start w:val="1"/>
      <w:numFmt w:val="decimal"/>
      <w:lvlRestart w:val="0"/>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24"/>
      </w:rPr>
    </w:lvl>
    <w:lvl w:ilvl="4">
      <w:start w:val="1"/>
      <w:numFmt w:val="lowerLetter"/>
      <w:lvlText w:val="(%5)"/>
      <w:lvlJc w:val="left"/>
      <w:pPr>
        <w:tabs>
          <w:tab w:val="num" w:pos="1800"/>
        </w:tabs>
        <w:ind w:left="1800" w:hanging="360"/>
      </w:pPr>
      <w:rPr>
        <w:rFonts w:ascii="Times New Roman" w:hAnsi="Times New Roman" w:cs="Times New Roman"/>
        <w:sz w:val="24"/>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165" w15:restartNumberingAfterBreak="0">
    <w:nsid w:val="749C5794"/>
    <w:multiLevelType w:val="hybridMultilevel"/>
    <w:tmpl w:val="3750861C"/>
    <w:lvl w:ilvl="0" w:tplc="52A01526">
      <w:start w:val="1"/>
      <w:numFmt w:val="lowerRoman"/>
      <w:lvlText w:val="(%1)"/>
      <w:lvlJc w:val="left"/>
      <w:pPr>
        <w:ind w:left="1086" w:hanging="812"/>
      </w:pPr>
      <w:rPr>
        <w:rFonts w:hint="default"/>
        <w:b w:val="0"/>
        <w:bCs w:val="0"/>
        <w:spacing w:val="-1"/>
        <w:w w:val="100"/>
        <w:lang w:val="pt-BR" w:eastAsia="en-US" w:bidi="ar-SA"/>
      </w:rPr>
    </w:lvl>
    <w:lvl w:ilvl="1" w:tplc="FFFFFFFF">
      <w:numFmt w:val="bullet"/>
      <w:lvlText w:val="•"/>
      <w:lvlJc w:val="left"/>
      <w:pPr>
        <w:ind w:left="2055" w:hanging="812"/>
      </w:pPr>
      <w:rPr>
        <w:rFonts w:hint="default"/>
        <w:lang w:val="pt-PT" w:eastAsia="en-US" w:bidi="ar-SA"/>
      </w:rPr>
    </w:lvl>
    <w:lvl w:ilvl="2" w:tplc="FFFFFFFF">
      <w:numFmt w:val="bullet"/>
      <w:lvlText w:val="•"/>
      <w:lvlJc w:val="left"/>
      <w:pPr>
        <w:ind w:left="3031" w:hanging="812"/>
      </w:pPr>
      <w:rPr>
        <w:rFonts w:hint="default"/>
        <w:lang w:val="pt-PT" w:eastAsia="en-US" w:bidi="ar-SA"/>
      </w:rPr>
    </w:lvl>
    <w:lvl w:ilvl="3" w:tplc="FFFFFFFF">
      <w:numFmt w:val="bullet"/>
      <w:lvlText w:val="•"/>
      <w:lvlJc w:val="left"/>
      <w:pPr>
        <w:ind w:left="4007" w:hanging="812"/>
      </w:pPr>
      <w:rPr>
        <w:rFonts w:hint="default"/>
        <w:lang w:val="pt-PT" w:eastAsia="en-US" w:bidi="ar-SA"/>
      </w:rPr>
    </w:lvl>
    <w:lvl w:ilvl="4" w:tplc="FFFFFFFF">
      <w:numFmt w:val="bullet"/>
      <w:lvlText w:val="•"/>
      <w:lvlJc w:val="left"/>
      <w:pPr>
        <w:ind w:left="4983" w:hanging="812"/>
      </w:pPr>
      <w:rPr>
        <w:rFonts w:hint="default"/>
        <w:lang w:val="pt-PT" w:eastAsia="en-US" w:bidi="ar-SA"/>
      </w:rPr>
    </w:lvl>
    <w:lvl w:ilvl="5" w:tplc="FFFFFFFF">
      <w:numFmt w:val="bullet"/>
      <w:lvlText w:val="•"/>
      <w:lvlJc w:val="left"/>
      <w:pPr>
        <w:ind w:left="5959" w:hanging="812"/>
      </w:pPr>
      <w:rPr>
        <w:rFonts w:hint="default"/>
        <w:lang w:val="pt-PT" w:eastAsia="en-US" w:bidi="ar-SA"/>
      </w:rPr>
    </w:lvl>
    <w:lvl w:ilvl="6" w:tplc="FFFFFFFF">
      <w:numFmt w:val="bullet"/>
      <w:lvlText w:val="•"/>
      <w:lvlJc w:val="left"/>
      <w:pPr>
        <w:ind w:left="6935" w:hanging="812"/>
      </w:pPr>
      <w:rPr>
        <w:rFonts w:hint="default"/>
        <w:lang w:val="pt-PT" w:eastAsia="en-US" w:bidi="ar-SA"/>
      </w:rPr>
    </w:lvl>
    <w:lvl w:ilvl="7" w:tplc="FFFFFFFF">
      <w:numFmt w:val="bullet"/>
      <w:lvlText w:val="•"/>
      <w:lvlJc w:val="left"/>
      <w:pPr>
        <w:ind w:left="7911" w:hanging="812"/>
      </w:pPr>
      <w:rPr>
        <w:rFonts w:hint="default"/>
        <w:lang w:val="pt-PT" w:eastAsia="en-US" w:bidi="ar-SA"/>
      </w:rPr>
    </w:lvl>
    <w:lvl w:ilvl="8" w:tplc="FFFFFFFF">
      <w:numFmt w:val="bullet"/>
      <w:lvlText w:val="•"/>
      <w:lvlJc w:val="left"/>
      <w:pPr>
        <w:ind w:left="8887" w:hanging="812"/>
      </w:pPr>
      <w:rPr>
        <w:rFonts w:hint="default"/>
        <w:lang w:val="pt-PT" w:eastAsia="en-US" w:bidi="ar-SA"/>
      </w:rPr>
    </w:lvl>
  </w:abstractNum>
  <w:abstractNum w:abstractNumId="166" w15:restartNumberingAfterBreak="0">
    <w:nsid w:val="7673705E"/>
    <w:multiLevelType w:val="multilevel"/>
    <w:tmpl w:val="E68ADCAE"/>
    <w:lvl w:ilvl="0">
      <w:start w:val="6"/>
      <w:numFmt w:val="decimal"/>
      <w:lvlRestart w:val="0"/>
      <w:lvlText w:val="%1"/>
      <w:lvlJc w:val="left"/>
      <w:pPr>
        <w:tabs>
          <w:tab w:val="num" w:pos="680"/>
        </w:tabs>
        <w:ind w:left="680" w:hanging="680"/>
      </w:pPr>
      <w:rPr>
        <w:rFonts w:asciiTheme="minorHAnsi" w:hAnsiTheme="minorHAnsi" w:cstheme="minorHAnsi" w:hint="default"/>
        <w:b/>
        <w:i w:val="0"/>
        <w:caps w:val="0"/>
        <w:strike w:val="0"/>
        <w:dstrike w:val="0"/>
        <w:vanish w:val="0"/>
        <w:color w:val="000000"/>
        <w:sz w:val="24"/>
        <w:szCs w:val="24"/>
        <w:vertAlign w:val="baseline"/>
      </w:rPr>
    </w:lvl>
    <w:lvl w:ilvl="1">
      <w:start w:val="1"/>
      <w:numFmt w:val="decimal"/>
      <w:lvlText w:val="%1.%2"/>
      <w:lvlJc w:val="left"/>
      <w:pPr>
        <w:tabs>
          <w:tab w:val="num" w:pos="822"/>
        </w:tabs>
        <w:ind w:left="822" w:hanging="680"/>
      </w:pPr>
      <w:rPr>
        <w:rFonts w:asciiTheme="minorHAnsi" w:hAnsiTheme="minorHAnsi" w:cstheme="minorHAnsi" w:hint="default"/>
        <w:b/>
        <w:i w:val="0"/>
        <w:caps w:val="0"/>
        <w:strike w:val="0"/>
        <w:dstrike w:val="0"/>
        <w:vanish w:val="0"/>
        <w:color w:val="000000"/>
        <w:sz w:val="22"/>
        <w:szCs w:val="22"/>
        <w:vertAlign w:val="baseline"/>
      </w:rPr>
    </w:lvl>
    <w:lvl w:ilvl="2">
      <w:start w:val="1"/>
      <w:numFmt w:val="decimal"/>
      <w:lvlText w:val="%1.%2.%3"/>
      <w:lvlJc w:val="left"/>
      <w:pPr>
        <w:tabs>
          <w:tab w:val="num" w:pos="1248"/>
        </w:tabs>
        <w:ind w:left="1248" w:hanging="681"/>
      </w:pPr>
      <w:rPr>
        <w:rFonts w:asciiTheme="minorHAnsi" w:hAnsiTheme="minorHAnsi" w:cstheme="minorHAnsi" w:hint="default"/>
        <w:b/>
        <w:bCs w:val="0"/>
        <w:i w:val="0"/>
        <w:iCs w:val="0"/>
        <w:caps w:val="0"/>
        <w:smallCaps w:val="0"/>
        <w:strike w:val="0"/>
        <w:dstrike w:val="0"/>
        <w:vanish w:val="0"/>
        <w:color w:val="000000"/>
        <w:spacing w:val="0"/>
        <w:position w:val="0"/>
        <w:sz w:val="22"/>
        <w:szCs w:val="22"/>
        <w:u w:val="none"/>
        <w:effect w:val="none"/>
        <w:vertAlign w:val="baseline"/>
        <w:em w:val="none"/>
      </w:rPr>
    </w:lvl>
    <w:lvl w:ilvl="3">
      <w:start w:val="1"/>
      <w:numFmt w:val="lowerRoman"/>
      <w:lvlText w:val="(%4)"/>
      <w:lvlJc w:val="left"/>
      <w:pPr>
        <w:tabs>
          <w:tab w:val="num" w:pos="1390"/>
        </w:tabs>
        <w:ind w:left="1390" w:hanging="680"/>
      </w:pPr>
      <w:rPr>
        <w:rFonts w:asciiTheme="minorHAnsi" w:hAnsiTheme="minorHAnsi" w:cstheme="minorHAnsi" w:hint="default"/>
        <w:b w:val="0"/>
        <w:i w:val="0"/>
        <w:caps w:val="0"/>
        <w:strike w:val="0"/>
        <w:dstrike w:val="0"/>
        <w:vanish w:val="0"/>
        <w:color w:val="000000"/>
        <w:sz w:val="22"/>
        <w:szCs w:val="22"/>
        <w:vertAlign w:val="baseline"/>
      </w:rPr>
    </w:lvl>
    <w:lvl w:ilvl="4">
      <w:start w:val="1"/>
      <w:numFmt w:val="lowerLetter"/>
      <w:lvlText w:val="(%5)"/>
      <w:lvlJc w:val="left"/>
      <w:pPr>
        <w:tabs>
          <w:tab w:val="num" w:pos="2721"/>
        </w:tabs>
        <w:ind w:left="2721" w:hanging="680"/>
      </w:pPr>
      <w:rPr>
        <w:rFonts w:asciiTheme="minorHAnsi" w:hAnsiTheme="minorHAnsi" w:cstheme="minorHAnsi" w:hint="default"/>
        <w:b w:val="0"/>
        <w:i w:val="0"/>
        <w:caps w:val="0"/>
        <w:strike w:val="0"/>
        <w:dstrike w:val="0"/>
        <w:vanish w:val="0"/>
        <w:color w:val="000000"/>
        <w:sz w:val="20"/>
        <w:szCs w:val="20"/>
        <w:vertAlign w:val="baseline"/>
      </w:rPr>
    </w:lvl>
    <w:lvl w:ilvl="5">
      <w:start w:val="1"/>
      <w:numFmt w:val="upperRoman"/>
      <w:lvlText w:val="(%6)"/>
      <w:lvlJc w:val="left"/>
      <w:pPr>
        <w:tabs>
          <w:tab w:val="num" w:pos="3402"/>
        </w:tabs>
        <w:ind w:left="3402" w:hanging="681"/>
      </w:pPr>
      <w:rPr>
        <w:rFonts w:ascii="Tahoma" w:hAnsi="Tahoma" w:cs="Tahoma" w:hint="default"/>
        <w:b w:val="0"/>
        <w:i w:val="0"/>
        <w:caps w:val="0"/>
        <w:strike w:val="0"/>
        <w:dstrike w:val="0"/>
        <w:vanish w:val="0"/>
        <w:color w:val="000000"/>
        <w:spacing w:val="0"/>
        <w:sz w:val="22"/>
        <w:szCs w:val="22"/>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76F90C7D"/>
    <w:multiLevelType w:val="multilevel"/>
    <w:tmpl w:val="4E6ACC54"/>
    <w:lvl w:ilvl="0">
      <w:start w:val="3"/>
      <w:numFmt w:val="decimal"/>
      <w:lvlText w:val="%1"/>
      <w:lvlJc w:val="left"/>
      <w:pPr>
        <w:ind w:left="510" w:hanging="510"/>
      </w:pPr>
      <w:rPr>
        <w:rFonts w:hint="default"/>
        <w:b/>
        <w:bCs/>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8" w15:restartNumberingAfterBreak="0">
    <w:nsid w:val="79C55F81"/>
    <w:multiLevelType w:val="multilevel"/>
    <w:tmpl w:val="8570C170"/>
    <w:lvl w:ilvl="0">
      <w:start w:val="1"/>
      <w:numFmt w:val="decimal"/>
      <w:lvlText w:val="%1."/>
      <w:lvlJc w:val="left"/>
      <w:pPr>
        <w:ind w:left="0" w:firstLine="0"/>
      </w:pPr>
      <w:rPr>
        <w:rFonts w:hint="default"/>
        <w:b/>
        <w:bCs/>
        <w:i w:val="0"/>
        <w:iCs w:val="0"/>
        <w:sz w:val="20"/>
        <w:szCs w:val="20"/>
      </w:rPr>
    </w:lvl>
    <w:lvl w:ilvl="1">
      <w:start w:val="1"/>
      <w:numFmt w:val="decimal"/>
      <w:lvlText w:val="%1.%2."/>
      <w:lvlJc w:val="left"/>
      <w:pPr>
        <w:ind w:left="0" w:firstLine="0"/>
      </w:pPr>
      <w:rPr>
        <w:rFonts w:hint="default"/>
        <w:b w:val="0"/>
        <w:bCs w:val="0"/>
        <w:i w:val="0"/>
        <w:iCs w:val="0"/>
        <w:sz w:val="20"/>
        <w:szCs w:val="20"/>
      </w:rPr>
    </w:lvl>
    <w:lvl w:ilvl="2">
      <w:start w:val="1"/>
      <w:numFmt w:val="decimal"/>
      <w:lvlText w:val="%1.%2.%3."/>
      <w:lvlJc w:val="left"/>
      <w:pPr>
        <w:ind w:left="0" w:firstLine="0"/>
      </w:pPr>
      <w:rPr>
        <w:rFonts w:hint="default"/>
        <w:b w:val="0"/>
        <w:bCs w:val="0"/>
        <w:i w:val="0"/>
        <w:iCs w:val="0"/>
        <w:strike w:val="0"/>
        <w:sz w:val="20"/>
        <w:szCs w:val="20"/>
      </w:rPr>
    </w:lvl>
    <w:lvl w:ilvl="3">
      <w:start w:val="1"/>
      <w:numFmt w:val="decimal"/>
      <w:lvlText w:val="%1.%2.%3.%4."/>
      <w:lvlJc w:val="left"/>
      <w:pPr>
        <w:ind w:left="0" w:firstLine="0"/>
      </w:pPr>
      <w:rPr>
        <w:rFonts w:hint="default"/>
        <w:b w:val="0"/>
        <w:bCs w:val="0"/>
        <w:i w:val="0"/>
        <w:iCs w:val="0"/>
        <w:sz w:val="20"/>
        <w:szCs w:val="20"/>
      </w:rPr>
    </w:lvl>
    <w:lvl w:ilvl="4">
      <w:start w:val="1"/>
      <w:numFmt w:val="decimal"/>
      <w:lvlText w:val="%1.%2.%3.%4.%5."/>
      <w:lvlJc w:val="left"/>
      <w:pPr>
        <w:ind w:left="0" w:firstLine="0"/>
      </w:pPr>
      <w:rPr>
        <w:rFonts w:hint="default"/>
        <w:b w:val="0"/>
        <w:bCs w:val="0"/>
        <w:i w:val="0"/>
        <w:iCs w:val="0"/>
        <w:sz w:val="20"/>
        <w:szCs w:val="20"/>
      </w:rPr>
    </w:lvl>
    <w:lvl w:ilvl="5">
      <w:start w:val="1"/>
      <w:numFmt w:val="none"/>
      <w:lvlText w:val="6.20.1"/>
      <w:lvlJc w:val="left"/>
      <w:pPr>
        <w:ind w:left="0" w:firstLine="0"/>
      </w:pPr>
      <w:rPr>
        <w:rFonts w:hint="default"/>
        <w:b w:val="0"/>
        <w:bCs w:val="0"/>
        <w:i w:val="0"/>
        <w:iCs w:val="0"/>
        <w:sz w:val="20"/>
        <w:szCs w:val="20"/>
      </w:rPr>
    </w:lvl>
    <w:lvl w:ilvl="6">
      <w:start w:val="1"/>
      <w:numFmt w:val="decimal"/>
      <w:lvlText w:val="%1.%2.%3"/>
      <w:lvlJc w:val="left"/>
      <w:pPr>
        <w:ind w:left="0" w:firstLine="0"/>
      </w:pPr>
      <w:rPr>
        <w:rFonts w:hint="default"/>
        <w:b w:val="0"/>
        <w:bCs w:val="0"/>
        <w:i w:val="0"/>
        <w:iCs w:val="0"/>
        <w:sz w:val="20"/>
        <w:szCs w:val="20"/>
      </w:rPr>
    </w:lvl>
    <w:lvl w:ilvl="7">
      <w:start w:val="1"/>
      <w:numFmt w:val="decimal"/>
      <w:lvlText w:val="%1.%2.%3.%4.%5.%6.%7.%8."/>
      <w:lvlJc w:val="left"/>
      <w:pPr>
        <w:ind w:left="0" w:firstLine="0"/>
      </w:pPr>
      <w:rPr>
        <w:rFonts w:hint="default"/>
        <w:b w:val="0"/>
        <w:bCs w:val="0"/>
        <w:i w:val="0"/>
        <w:iCs w:val="0"/>
        <w:sz w:val="20"/>
        <w:szCs w:val="20"/>
      </w:rPr>
    </w:lvl>
    <w:lvl w:ilvl="8">
      <w:start w:val="1"/>
      <w:numFmt w:val="decimal"/>
      <w:lvlText w:val="%1.%2.%3.%4.%5.%6.%7.%8.%9."/>
      <w:lvlJc w:val="left"/>
      <w:pPr>
        <w:ind w:left="0" w:firstLine="0"/>
      </w:pPr>
      <w:rPr>
        <w:rFonts w:hint="default"/>
        <w:b w:val="0"/>
        <w:bCs w:val="0"/>
        <w:i w:val="0"/>
        <w:iCs w:val="0"/>
        <w:sz w:val="26"/>
        <w:szCs w:val="26"/>
      </w:rPr>
    </w:lvl>
  </w:abstractNum>
  <w:abstractNum w:abstractNumId="169" w15:restartNumberingAfterBreak="0">
    <w:nsid w:val="7A0C74CD"/>
    <w:multiLevelType w:val="multilevel"/>
    <w:tmpl w:val="10EC99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0" w15:restartNumberingAfterBreak="0">
    <w:nsid w:val="7AA7235F"/>
    <w:multiLevelType w:val="hybridMultilevel"/>
    <w:tmpl w:val="2D6C09EA"/>
    <w:lvl w:ilvl="0" w:tplc="23E6A060">
      <w:start w:val="1"/>
      <w:numFmt w:val="lowerRoman"/>
      <w:lvlText w:val="%1."/>
      <w:lvlJc w:val="left"/>
      <w:pPr>
        <w:ind w:left="862" w:hanging="72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1" w15:restartNumberingAfterBreak="0">
    <w:nsid w:val="7AB11F49"/>
    <w:multiLevelType w:val="hybridMultilevel"/>
    <w:tmpl w:val="A56CD480"/>
    <w:lvl w:ilvl="0" w:tplc="AFDAC47A">
      <w:start w:val="1"/>
      <w:numFmt w:val="lowerRoman"/>
      <w:lvlText w:val="(%1)"/>
      <w:lvlJc w:val="left"/>
      <w:pPr>
        <w:tabs>
          <w:tab w:val="num" w:pos="1069"/>
        </w:tabs>
        <w:ind w:left="1069" w:hanging="360"/>
      </w:pPr>
      <w:rPr>
        <w:rFonts w:hint="default"/>
        <w:b w:val="0"/>
        <w:i w:val="0"/>
        <w:color w:val="auto"/>
        <w:sz w:val="16"/>
        <w:szCs w:val="16"/>
      </w:rPr>
    </w:lvl>
    <w:lvl w:ilvl="1" w:tplc="96C0CB06">
      <w:start w:val="1"/>
      <w:numFmt w:val="none"/>
      <w:lvlText w:val="r.2)"/>
      <w:lvlJc w:val="left"/>
      <w:pPr>
        <w:tabs>
          <w:tab w:val="num" w:pos="2149"/>
        </w:tabs>
        <w:ind w:left="2149" w:hanging="360"/>
      </w:pPr>
      <w:rPr>
        <w:rFonts w:cs="Times New Roman" w:hint="eastAsia"/>
      </w:rPr>
    </w:lvl>
    <w:lvl w:ilvl="2" w:tplc="322AD6DA">
      <w:start w:val="1"/>
      <w:numFmt w:val="lowerRoman"/>
      <w:lvlText w:val="%3."/>
      <w:lvlJc w:val="right"/>
      <w:pPr>
        <w:tabs>
          <w:tab w:val="num" w:pos="2869"/>
        </w:tabs>
        <w:ind w:left="2869" w:hanging="180"/>
      </w:pPr>
      <w:rPr>
        <w:rFonts w:cs="Times New Roman"/>
      </w:rPr>
    </w:lvl>
    <w:lvl w:ilvl="3" w:tplc="0FBA9960">
      <w:start w:val="1"/>
      <w:numFmt w:val="decimal"/>
      <w:lvlText w:val="%4."/>
      <w:lvlJc w:val="left"/>
      <w:pPr>
        <w:tabs>
          <w:tab w:val="num" w:pos="3589"/>
        </w:tabs>
        <w:ind w:left="3589" w:hanging="360"/>
      </w:pPr>
      <w:rPr>
        <w:rFonts w:cs="Times New Roman"/>
      </w:rPr>
    </w:lvl>
    <w:lvl w:ilvl="4" w:tplc="6C624A70">
      <w:start w:val="1"/>
      <w:numFmt w:val="lowerLetter"/>
      <w:lvlText w:val="%5."/>
      <w:lvlJc w:val="left"/>
      <w:pPr>
        <w:tabs>
          <w:tab w:val="num" w:pos="4309"/>
        </w:tabs>
        <w:ind w:left="4309" w:hanging="360"/>
      </w:pPr>
      <w:rPr>
        <w:rFonts w:cs="Times New Roman"/>
      </w:rPr>
    </w:lvl>
    <w:lvl w:ilvl="5" w:tplc="0C9635DE">
      <w:start w:val="1"/>
      <w:numFmt w:val="lowerRoman"/>
      <w:lvlText w:val="%6."/>
      <w:lvlJc w:val="right"/>
      <w:pPr>
        <w:tabs>
          <w:tab w:val="num" w:pos="5029"/>
        </w:tabs>
        <w:ind w:left="5029" w:hanging="180"/>
      </w:pPr>
      <w:rPr>
        <w:rFonts w:cs="Times New Roman"/>
      </w:rPr>
    </w:lvl>
    <w:lvl w:ilvl="6" w:tplc="EC0C1252">
      <w:start w:val="1"/>
      <w:numFmt w:val="decimal"/>
      <w:lvlText w:val="%7."/>
      <w:lvlJc w:val="left"/>
      <w:pPr>
        <w:tabs>
          <w:tab w:val="num" w:pos="5749"/>
        </w:tabs>
        <w:ind w:left="5749" w:hanging="360"/>
      </w:pPr>
      <w:rPr>
        <w:rFonts w:cs="Times New Roman"/>
      </w:rPr>
    </w:lvl>
    <w:lvl w:ilvl="7" w:tplc="1CF0ADBE">
      <w:start w:val="1"/>
      <w:numFmt w:val="lowerLetter"/>
      <w:lvlText w:val="%8."/>
      <w:lvlJc w:val="left"/>
      <w:pPr>
        <w:tabs>
          <w:tab w:val="num" w:pos="6469"/>
        </w:tabs>
        <w:ind w:left="6469" w:hanging="360"/>
      </w:pPr>
      <w:rPr>
        <w:rFonts w:cs="Times New Roman"/>
      </w:rPr>
    </w:lvl>
    <w:lvl w:ilvl="8" w:tplc="D3CAAAC0">
      <w:start w:val="1"/>
      <w:numFmt w:val="lowerRoman"/>
      <w:lvlText w:val="%9."/>
      <w:lvlJc w:val="right"/>
      <w:pPr>
        <w:tabs>
          <w:tab w:val="num" w:pos="7189"/>
        </w:tabs>
        <w:ind w:left="7189" w:hanging="180"/>
      </w:pPr>
      <w:rPr>
        <w:rFonts w:cs="Times New Roman"/>
      </w:rPr>
    </w:lvl>
  </w:abstractNum>
  <w:abstractNum w:abstractNumId="172" w15:restartNumberingAfterBreak="0">
    <w:nsid w:val="7B6B782E"/>
    <w:multiLevelType w:val="multilevel"/>
    <w:tmpl w:val="FC864740"/>
    <w:lvl w:ilvl="0">
      <w:start w:val="1"/>
      <w:numFmt w:val="decimal"/>
      <w:lvlRestart w:val="0"/>
      <w:lvlText w:val="%1"/>
      <w:lvlJc w:val="left"/>
      <w:pPr>
        <w:tabs>
          <w:tab w:val="num" w:pos="680"/>
        </w:tabs>
        <w:ind w:left="680" w:hanging="680"/>
      </w:pPr>
      <w:rPr>
        <w:rFonts w:ascii="Arial" w:hAnsi="Arial" w:cs="Arial"/>
        <w:b/>
        <w:caps w:val="0"/>
        <w:strike w:val="0"/>
        <w:dstrike w:val="0"/>
        <w:vanish w:val="0"/>
        <w:color w:val="000000"/>
        <w:sz w:val="22"/>
        <w:vertAlign w:val="baseline"/>
      </w:rPr>
    </w:lvl>
    <w:lvl w:ilvl="1">
      <w:start w:val="1"/>
      <w:numFmt w:val="decimal"/>
      <w:lvlText w:val="%1.%2"/>
      <w:lvlJc w:val="left"/>
      <w:pPr>
        <w:tabs>
          <w:tab w:val="num" w:pos="680"/>
        </w:tabs>
        <w:ind w:left="680" w:hanging="680"/>
      </w:pPr>
      <w:rPr>
        <w:rFonts w:ascii="Arial" w:hAnsi="Arial" w:cs="Arial"/>
        <w:b/>
        <w:i w:val="0"/>
        <w:caps w:val="0"/>
        <w:strike w:val="0"/>
        <w:dstrike w:val="0"/>
        <w:vanish w:val="0"/>
        <w:color w:val="000000"/>
        <w:sz w:val="21"/>
        <w:vertAlign w:val="baseline"/>
      </w:rPr>
    </w:lvl>
    <w:lvl w:ilvl="2">
      <w:start w:val="1"/>
      <w:numFmt w:val="decimal"/>
      <w:lvlText w:val="%1.%2.%3"/>
      <w:lvlJc w:val="left"/>
      <w:pPr>
        <w:tabs>
          <w:tab w:val="num" w:pos="1361"/>
        </w:tabs>
        <w:ind w:left="1361" w:hanging="681"/>
      </w:pPr>
      <w:rPr>
        <w:rFonts w:ascii="Arial" w:hAnsi="Arial" w:cs="Arial"/>
        <w:b/>
        <w:i w:val="0"/>
        <w:caps w:val="0"/>
        <w:strike w:val="0"/>
        <w:dstrike w:val="0"/>
        <w:vanish w:val="0"/>
        <w:color w:val="000000"/>
        <w:sz w:val="17"/>
        <w:vertAlign w:val="baseline"/>
      </w:rPr>
    </w:lvl>
    <w:lvl w:ilvl="3">
      <w:start w:val="1"/>
      <w:numFmt w:val="lowerRoman"/>
      <w:lvlText w:val="(%4)"/>
      <w:lvlJc w:val="left"/>
      <w:pPr>
        <w:tabs>
          <w:tab w:val="num" w:pos="2041"/>
        </w:tabs>
        <w:ind w:left="2041" w:hanging="680"/>
      </w:pPr>
      <w:rPr>
        <w:rFonts w:asciiTheme="minorHAnsi" w:hAnsiTheme="minorHAnsi" w:cstheme="minorHAnsi" w:hint="default"/>
        <w:b/>
        <w:bCs/>
        <w:i w:val="0"/>
        <w:caps w:val="0"/>
        <w:strike w:val="0"/>
        <w:dstrike w:val="0"/>
        <w:vanish w:val="0"/>
        <w:color w:val="000000"/>
        <w:sz w:val="20"/>
        <w:vertAlign w:val="baseline"/>
      </w:rPr>
    </w:lvl>
    <w:lvl w:ilvl="4">
      <w:start w:val="1"/>
      <w:numFmt w:val="lowerLetter"/>
      <w:lvlText w:val="(%5)"/>
      <w:lvlJc w:val="left"/>
      <w:pPr>
        <w:tabs>
          <w:tab w:val="num" w:pos="2721"/>
        </w:tabs>
        <w:ind w:left="2721" w:hanging="680"/>
      </w:pPr>
      <w:rPr>
        <w:rFonts w:ascii="Arial" w:hAnsi="Arial" w:cs="Arial"/>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b w:val="0"/>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15:restartNumberingAfterBreak="0">
    <w:nsid w:val="7CD1377B"/>
    <w:multiLevelType w:val="multilevel"/>
    <w:tmpl w:val="32C061F2"/>
    <w:lvl w:ilvl="0">
      <w:start w:val="4"/>
      <w:numFmt w:val="decimal"/>
      <w:lvlText w:val="%1"/>
      <w:lvlJc w:val="left"/>
      <w:pPr>
        <w:ind w:left="630" w:hanging="63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4" w15:restartNumberingAfterBreak="0">
    <w:nsid w:val="7E556897"/>
    <w:multiLevelType w:val="hybridMultilevel"/>
    <w:tmpl w:val="AAC49B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F263995"/>
    <w:multiLevelType w:val="multilevel"/>
    <w:tmpl w:val="8BB87ABE"/>
    <w:lvl w:ilvl="0">
      <w:start w:val="3"/>
      <w:numFmt w:val="decimal"/>
      <w:lvlText w:val="%1"/>
      <w:lvlJc w:val="left"/>
      <w:pPr>
        <w:ind w:left="510" w:hanging="51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6" w15:restartNumberingAfterBreak="0">
    <w:nsid w:val="7F4005B7"/>
    <w:multiLevelType w:val="hybridMultilevel"/>
    <w:tmpl w:val="4DECCA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8127908">
    <w:abstractNumId w:val="1"/>
  </w:num>
  <w:num w:numId="2" w16cid:durableId="190657407">
    <w:abstractNumId w:val="81"/>
  </w:num>
  <w:num w:numId="3" w16cid:durableId="377172916">
    <w:abstractNumId w:val="170"/>
  </w:num>
  <w:num w:numId="4" w16cid:durableId="680622792">
    <w:abstractNumId w:val="69"/>
  </w:num>
  <w:num w:numId="5" w16cid:durableId="771511238">
    <w:abstractNumId w:val="149"/>
  </w:num>
  <w:num w:numId="6" w16cid:durableId="1449936232">
    <w:abstractNumId w:val="38"/>
  </w:num>
  <w:num w:numId="7" w16cid:durableId="233859216">
    <w:abstractNumId w:val="144"/>
  </w:num>
  <w:num w:numId="8" w16cid:durableId="1192842861">
    <w:abstractNumId w:val="172"/>
  </w:num>
  <w:num w:numId="9" w16cid:durableId="1916939004">
    <w:abstractNumId w:val="154"/>
  </w:num>
  <w:num w:numId="10" w16cid:durableId="1480346207">
    <w:abstractNumId w:val="90"/>
  </w:num>
  <w:num w:numId="11" w16cid:durableId="306203018">
    <w:abstractNumId w:val="68"/>
  </w:num>
  <w:num w:numId="12" w16cid:durableId="210692519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4459870">
    <w:abstractNumId w:val="25"/>
  </w:num>
  <w:num w:numId="14" w16cid:durableId="1243370161">
    <w:abstractNumId w:val="8"/>
  </w:num>
  <w:num w:numId="15" w16cid:durableId="2071616426">
    <w:abstractNumId w:val="171"/>
  </w:num>
  <w:num w:numId="16" w16cid:durableId="1061442651">
    <w:abstractNumId w:val="29"/>
  </w:num>
  <w:num w:numId="17" w16cid:durableId="1526555920">
    <w:abstractNumId w:val="165"/>
  </w:num>
  <w:num w:numId="18" w16cid:durableId="1113592367">
    <w:abstractNumId w:val="52"/>
  </w:num>
  <w:num w:numId="19" w16cid:durableId="34744283">
    <w:abstractNumId w:val="127"/>
  </w:num>
  <w:num w:numId="20" w16cid:durableId="182480903">
    <w:abstractNumId w:val="113"/>
  </w:num>
  <w:num w:numId="21" w16cid:durableId="2084521020">
    <w:abstractNumId w:val="138"/>
  </w:num>
  <w:num w:numId="22" w16cid:durableId="1762531944">
    <w:abstractNumId w:val="107"/>
  </w:num>
  <w:num w:numId="23" w16cid:durableId="980698315">
    <w:abstractNumId w:val="41"/>
  </w:num>
  <w:num w:numId="24" w16cid:durableId="1798403422">
    <w:abstractNumId w:val="147"/>
  </w:num>
  <w:num w:numId="25" w16cid:durableId="1268851523">
    <w:abstractNumId w:val="176"/>
  </w:num>
  <w:num w:numId="26" w16cid:durableId="701513242">
    <w:abstractNumId w:val="174"/>
  </w:num>
  <w:num w:numId="27" w16cid:durableId="1760058743">
    <w:abstractNumId w:val="120"/>
  </w:num>
  <w:num w:numId="28" w16cid:durableId="1175340723">
    <w:abstractNumId w:val="140"/>
  </w:num>
  <w:num w:numId="29" w16cid:durableId="1390031225">
    <w:abstractNumId w:val="126"/>
  </w:num>
  <w:num w:numId="30" w16cid:durableId="1087118048">
    <w:abstractNumId w:val="10"/>
  </w:num>
  <w:num w:numId="31" w16cid:durableId="1497916448">
    <w:abstractNumId w:val="2"/>
  </w:num>
  <w:num w:numId="32" w16cid:durableId="2052260357">
    <w:abstractNumId w:val="9"/>
  </w:num>
  <w:num w:numId="33" w16cid:durableId="1347637761">
    <w:abstractNumId w:val="11"/>
  </w:num>
  <w:num w:numId="34" w16cid:durableId="1857621818">
    <w:abstractNumId w:val="5"/>
  </w:num>
  <w:num w:numId="35" w16cid:durableId="1087195051">
    <w:abstractNumId w:val="3"/>
  </w:num>
  <w:num w:numId="36" w16cid:durableId="1296453335">
    <w:abstractNumId w:val="7"/>
  </w:num>
  <w:num w:numId="37" w16cid:durableId="99491928">
    <w:abstractNumId w:val="6"/>
  </w:num>
  <w:num w:numId="38" w16cid:durableId="48694267">
    <w:abstractNumId w:val="56"/>
  </w:num>
  <w:num w:numId="39" w16cid:durableId="271789686">
    <w:abstractNumId w:val="142"/>
  </w:num>
  <w:num w:numId="40" w16cid:durableId="1022436198">
    <w:abstractNumId w:val="148"/>
  </w:num>
  <w:num w:numId="41" w16cid:durableId="804006372">
    <w:abstractNumId w:val="54"/>
  </w:num>
  <w:num w:numId="42" w16cid:durableId="2038702329">
    <w:abstractNumId w:val="128"/>
  </w:num>
  <w:num w:numId="43" w16cid:durableId="1452438614">
    <w:abstractNumId w:val="133"/>
  </w:num>
  <w:num w:numId="44" w16cid:durableId="1630089502">
    <w:abstractNumId w:val="135"/>
  </w:num>
  <w:num w:numId="45" w16cid:durableId="1859002580">
    <w:abstractNumId w:val="109"/>
  </w:num>
  <w:num w:numId="46" w16cid:durableId="1958413816">
    <w:abstractNumId w:val="28"/>
  </w:num>
  <w:num w:numId="47" w16cid:durableId="1505390985">
    <w:abstractNumId w:val="157"/>
  </w:num>
  <w:num w:numId="48" w16cid:durableId="1819491148">
    <w:abstractNumId w:val="57"/>
  </w:num>
  <w:num w:numId="49" w16cid:durableId="306321805">
    <w:abstractNumId w:val="105"/>
  </w:num>
  <w:num w:numId="50" w16cid:durableId="1921057540">
    <w:abstractNumId w:val="22"/>
  </w:num>
  <w:num w:numId="51" w16cid:durableId="737022176">
    <w:abstractNumId w:val="121"/>
  </w:num>
  <w:num w:numId="52" w16cid:durableId="1738630763">
    <w:abstractNumId w:val="91"/>
  </w:num>
  <w:num w:numId="53" w16cid:durableId="393161462">
    <w:abstractNumId w:val="11"/>
    <w:lvlOverride w:ilvl="0">
      <w:lvl w:ilvl="0">
        <w:start w:val="8"/>
        <w:numFmt w:val="decimal"/>
        <w:pStyle w:val="PargrafodaLista1"/>
        <w:lvlText w:val="%1."/>
        <w:lvlJc w:val="left"/>
        <w:pPr>
          <w:widowControl w:val="0"/>
          <w:autoSpaceDE w:val="0"/>
          <w:autoSpaceDN w:val="0"/>
          <w:adjustRightInd w:val="0"/>
          <w:spacing w:after="120"/>
          <w:ind w:left="390" w:hanging="390"/>
          <w:jc w:val="both"/>
        </w:pPr>
        <w:rPr>
          <w:rFonts w:ascii="Times New Roman" w:hAnsi="Times New Roman" w:cs="Times New Roman"/>
          <w:color w:val="0000FF"/>
          <w:sz w:val="26"/>
          <w:szCs w:val="26"/>
          <w:u w:val="double"/>
        </w:rPr>
      </w:lvl>
    </w:lvlOverride>
    <w:lvlOverride w:ilvl="1">
      <w:lvl w:ilvl="1">
        <w:start w:val="1"/>
        <w:numFmt w:val="decimal"/>
        <w:pStyle w:val="ContratoN3"/>
        <w:lvlText w:val="%1.%2."/>
        <w:lvlJc w:val="left"/>
        <w:pPr>
          <w:widowControl w:val="0"/>
          <w:autoSpaceDE w:val="0"/>
          <w:autoSpaceDN w:val="0"/>
          <w:adjustRightInd w:val="0"/>
          <w:spacing w:after="120"/>
          <w:ind w:left="1421" w:hanging="720"/>
          <w:jc w:val="both"/>
        </w:pPr>
        <w:rPr>
          <w:rFonts w:ascii="Times New Roman" w:hAnsi="Times New Roman" w:cs="Times New Roman"/>
          <w:color w:val="0000FF"/>
          <w:sz w:val="26"/>
          <w:szCs w:val="26"/>
          <w:u w:val="double"/>
        </w:rPr>
      </w:lvl>
    </w:lvlOverride>
    <w:lvlOverride w:ilvl="2">
      <w:lvl w:ilvl="2">
        <w:start w:val="1"/>
        <w:numFmt w:val="lowerRoman"/>
        <w:pStyle w:val="EstiloContratoN1PretoVersalete"/>
        <w:lvlText w:val="(%3)"/>
        <w:lvlJc w:val="left"/>
        <w:pPr>
          <w:widowControl w:val="0"/>
          <w:autoSpaceDE w:val="0"/>
          <w:autoSpaceDN w:val="0"/>
          <w:adjustRightInd w:val="0"/>
          <w:spacing w:after="120"/>
          <w:ind w:left="2122" w:hanging="720"/>
          <w:jc w:val="both"/>
        </w:pPr>
        <w:rPr>
          <w:rFonts w:ascii="Times New Roman" w:hAnsi="Times New Roman" w:cs="Times New Roman"/>
          <w:color w:val="0000FF"/>
          <w:sz w:val="26"/>
          <w:szCs w:val="26"/>
          <w:u w:val="double"/>
        </w:rPr>
      </w:lvl>
    </w:lvlOverride>
    <w:lvlOverride w:ilvl="3">
      <w:lvl w:ilvl="3">
        <w:start w:val="1"/>
        <w:numFmt w:val="lowerLetter"/>
        <w:lvlText w:val="(%4)"/>
        <w:lvlJc w:val="left"/>
        <w:pPr>
          <w:widowControl w:val="0"/>
          <w:autoSpaceDE w:val="0"/>
          <w:autoSpaceDN w:val="0"/>
          <w:adjustRightInd w:val="0"/>
          <w:spacing w:after="120"/>
          <w:ind w:left="3183" w:hanging="1080"/>
          <w:jc w:val="both"/>
        </w:pPr>
        <w:rPr>
          <w:rFonts w:ascii="Verdana" w:hAnsi="Verdana" w:cs="Times New Roman" w:hint="default"/>
          <w:b w:val="0"/>
          <w:bCs w:val="0"/>
          <w:i w:val="0"/>
          <w:iCs w:val="0"/>
          <w:color w:val="auto"/>
          <w:sz w:val="20"/>
          <w:szCs w:val="20"/>
          <w:u w:val="none"/>
        </w:rPr>
      </w:lvl>
    </w:lvlOverride>
    <w:lvlOverride w:ilvl="4">
      <w:lvl w:ilvl="4">
        <w:start w:val="1"/>
        <w:numFmt w:val="decimal"/>
        <w:lvlText w:val="%1.%2.%3.%4.%5."/>
        <w:lvlJc w:val="left"/>
        <w:pPr>
          <w:widowControl w:val="0"/>
          <w:autoSpaceDE w:val="0"/>
          <w:autoSpaceDN w:val="0"/>
          <w:adjustRightInd w:val="0"/>
          <w:spacing w:after="120"/>
          <w:ind w:left="4244" w:hanging="1440"/>
          <w:jc w:val="both"/>
        </w:pPr>
        <w:rPr>
          <w:rFonts w:ascii="Times New Roman" w:hAnsi="Times New Roman" w:cs="Times New Roman"/>
          <w:color w:val="0000FF"/>
          <w:sz w:val="26"/>
          <w:szCs w:val="26"/>
          <w:u w:val="double"/>
        </w:rPr>
      </w:lvl>
    </w:lvlOverride>
    <w:lvlOverride w:ilvl="5">
      <w:lvl w:ilvl="5">
        <w:start w:val="1"/>
        <w:numFmt w:val="decimal"/>
        <w:lvlText w:val="%1.%2.%3.%4.%5.%6."/>
        <w:lvlJc w:val="left"/>
        <w:pPr>
          <w:widowControl w:val="0"/>
          <w:autoSpaceDE w:val="0"/>
          <w:autoSpaceDN w:val="0"/>
          <w:adjustRightInd w:val="0"/>
          <w:spacing w:after="120"/>
          <w:ind w:left="4945" w:hanging="1440"/>
          <w:jc w:val="both"/>
        </w:pPr>
        <w:rPr>
          <w:rFonts w:ascii="Times New Roman" w:hAnsi="Times New Roman" w:cs="Times New Roman"/>
          <w:color w:val="0000FF"/>
          <w:sz w:val="26"/>
          <w:szCs w:val="26"/>
          <w:u w:val="double"/>
        </w:rPr>
      </w:lvl>
    </w:lvlOverride>
    <w:lvlOverride w:ilvl="6">
      <w:lvl w:ilvl="6">
        <w:start w:val="1"/>
        <w:numFmt w:val="decimal"/>
        <w:lvlText w:val="%1.%2.%3.%4.%5.%6.%7."/>
        <w:lvlJc w:val="left"/>
        <w:pPr>
          <w:widowControl w:val="0"/>
          <w:autoSpaceDE w:val="0"/>
          <w:autoSpaceDN w:val="0"/>
          <w:adjustRightInd w:val="0"/>
          <w:spacing w:after="120"/>
          <w:ind w:left="6006" w:hanging="1800"/>
          <w:jc w:val="both"/>
        </w:pPr>
        <w:rPr>
          <w:rFonts w:ascii="Times New Roman" w:hAnsi="Times New Roman" w:cs="Times New Roman"/>
          <w:color w:val="0000FF"/>
          <w:sz w:val="26"/>
          <w:szCs w:val="26"/>
          <w:u w:val="double"/>
        </w:rPr>
      </w:lvl>
    </w:lvlOverride>
    <w:lvlOverride w:ilvl="7">
      <w:lvl w:ilvl="7">
        <w:start w:val="1"/>
        <w:numFmt w:val="decimal"/>
        <w:lvlText w:val="%1.%2.%3.%4.%5.%6.%7.%8."/>
        <w:lvlJc w:val="left"/>
        <w:pPr>
          <w:widowControl w:val="0"/>
          <w:autoSpaceDE w:val="0"/>
          <w:autoSpaceDN w:val="0"/>
          <w:adjustRightInd w:val="0"/>
          <w:spacing w:after="120"/>
          <w:ind w:left="7067" w:hanging="2160"/>
          <w:jc w:val="both"/>
        </w:pPr>
        <w:rPr>
          <w:rFonts w:ascii="Times New Roman" w:hAnsi="Times New Roman" w:cs="Times New Roman"/>
          <w:color w:val="0000FF"/>
          <w:sz w:val="26"/>
          <w:szCs w:val="26"/>
          <w:u w:val="double"/>
        </w:rPr>
      </w:lvl>
    </w:lvlOverride>
    <w:lvlOverride w:ilvl="8">
      <w:lvl w:ilvl="8">
        <w:start w:val="1"/>
        <w:numFmt w:val="decimal"/>
        <w:lvlText w:val="%1.%2.%3.%4.%5.%6.%7.%8.%9."/>
        <w:lvlJc w:val="left"/>
        <w:pPr>
          <w:widowControl w:val="0"/>
          <w:autoSpaceDE w:val="0"/>
          <w:autoSpaceDN w:val="0"/>
          <w:adjustRightInd w:val="0"/>
          <w:spacing w:after="120"/>
          <w:ind w:left="7768" w:hanging="2160"/>
          <w:jc w:val="both"/>
        </w:pPr>
        <w:rPr>
          <w:rFonts w:ascii="Times New Roman" w:hAnsi="Times New Roman" w:cs="Times New Roman"/>
          <w:color w:val="0000FF"/>
          <w:sz w:val="26"/>
          <w:szCs w:val="26"/>
          <w:u w:val="double"/>
        </w:rPr>
      </w:lvl>
    </w:lvlOverride>
  </w:num>
  <w:num w:numId="54" w16cid:durableId="2002735790">
    <w:abstractNumId w:val="111"/>
  </w:num>
  <w:num w:numId="55" w16cid:durableId="304504856">
    <w:abstractNumId w:val="76"/>
  </w:num>
  <w:num w:numId="56" w16cid:durableId="2092117188">
    <w:abstractNumId w:val="35"/>
  </w:num>
  <w:num w:numId="57" w16cid:durableId="469708781">
    <w:abstractNumId w:val="72"/>
  </w:num>
  <w:num w:numId="58" w16cid:durableId="616060017">
    <w:abstractNumId w:val="85"/>
  </w:num>
  <w:num w:numId="59" w16cid:durableId="217135847">
    <w:abstractNumId w:val="78"/>
  </w:num>
  <w:num w:numId="60" w16cid:durableId="1474105546">
    <w:abstractNumId w:val="73"/>
  </w:num>
  <w:num w:numId="61" w16cid:durableId="1600066420">
    <w:abstractNumId w:val="168"/>
  </w:num>
  <w:num w:numId="62" w16cid:durableId="1089932714">
    <w:abstractNumId w:val="27"/>
  </w:num>
  <w:num w:numId="63" w16cid:durableId="210113939">
    <w:abstractNumId w:val="37"/>
  </w:num>
  <w:num w:numId="64" w16cid:durableId="575211182">
    <w:abstractNumId w:val="87"/>
  </w:num>
  <w:num w:numId="65" w16cid:durableId="1022517627">
    <w:abstractNumId w:val="98"/>
  </w:num>
  <w:num w:numId="66" w16cid:durableId="571351029">
    <w:abstractNumId w:val="130"/>
  </w:num>
  <w:num w:numId="67" w16cid:durableId="1685520857">
    <w:abstractNumId w:val="51"/>
  </w:num>
  <w:num w:numId="68" w16cid:durableId="132795356">
    <w:abstractNumId w:val="23"/>
  </w:num>
  <w:num w:numId="69" w16cid:durableId="141582976">
    <w:abstractNumId w:val="115"/>
  </w:num>
  <w:num w:numId="70" w16cid:durableId="2122525165">
    <w:abstractNumId w:val="48"/>
  </w:num>
  <w:num w:numId="71" w16cid:durableId="1387603311">
    <w:abstractNumId w:val="118"/>
  </w:num>
  <w:num w:numId="72" w16cid:durableId="588541517">
    <w:abstractNumId w:val="34"/>
  </w:num>
  <w:num w:numId="73" w16cid:durableId="1930580633">
    <w:abstractNumId w:val="89"/>
  </w:num>
  <w:num w:numId="74" w16cid:durableId="1737894705">
    <w:abstractNumId w:val="24"/>
  </w:num>
  <w:num w:numId="75" w16cid:durableId="1167359056">
    <w:abstractNumId w:val="46"/>
  </w:num>
  <w:num w:numId="76" w16cid:durableId="1298682376">
    <w:abstractNumId w:val="100"/>
  </w:num>
  <w:num w:numId="77" w16cid:durableId="206989367">
    <w:abstractNumId w:val="55"/>
  </w:num>
  <w:num w:numId="78" w16cid:durableId="44722272">
    <w:abstractNumId w:val="84"/>
  </w:num>
  <w:num w:numId="79" w16cid:durableId="320282098">
    <w:abstractNumId w:val="129"/>
  </w:num>
  <w:num w:numId="80" w16cid:durableId="1351371703">
    <w:abstractNumId w:val="50"/>
  </w:num>
  <w:num w:numId="81" w16cid:durableId="1513951815">
    <w:abstractNumId w:val="169"/>
  </w:num>
  <w:num w:numId="82" w16cid:durableId="1374890235">
    <w:abstractNumId w:val="94"/>
  </w:num>
  <w:num w:numId="83" w16cid:durableId="462847992">
    <w:abstractNumId w:val="58"/>
  </w:num>
  <w:num w:numId="84" w16cid:durableId="1382552538">
    <w:abstractNumId w:val="21"/>
  </w:num>
  <w:num w:numId="85" w16cid:durableId="867063019">
    <w:abstractNumId w:val="150"/>
  </w:num>
  <w:num w:numId="86" w16cid:durableId="2111536961">
    <w:abstractNumId w:val="86"/>
  </w:num>
  <w:num w:numId="87" w16cid:durableId="940184533">
    <w:abstractNumId w:val="175"/>
  </w:num>
  <w:num w:numId="88" w16cid:durableId="1263955577">
    <w:abstractNumId w:val="167"/>
  </w:num>
  <w:num w:numId="89" w16cid:durableId="805970472">
    <w:abstractNumId w:val="92"/>
  </w:num>
  <w:num w:numId="90" w16cid:durableId="1997613240">
    <w:abstractNumId w:val="53"/>
  </w:num>
  <w:num w:numId="91" w16cid:durableId="1160845727">
    <w:abstractNumId w:val="146"/>
  </w:num>
  <w:num w:numId="92" w16cid:durableId="784424694">
    <w:abstractNumId w:val="45"/>
  </w:num>
  <w:num w:numId="93" w16cid:durableId="1546063908">
    <w:abstractNumId w:val="114"/>
  </w:num>
  <w:num w:numId="94" w16cid:durableId="218441396">
    <w:abstractNumId w:val="162"/>
  </w:num>
  <w:num w:numId="95" w16cid:durableId="398288029">
    <w:abstractNumId w:val="173"/>
  </w:num>
  <w:num w:numId="96" w16cid:durableId="80102578">
    <w:abstractNumId w:val="59"/>
  </w:num>
  <w:num w:numId="97" w16cid:durableId="668102070">
    <w:abstractNumId w:val="159"/>
  </w:num>
  <w:num w:numId="98" w16cid:durableId="357896968">
    <w:abstractNumId w:val="123"/>
  </w:num>
  <w:num w:numId="99" w16cid:durableId="2058040307">
    <w:abstractNumId w:val="88"/>
  </w:num>
  <w:num w:numId="100" w16cid:durableId="1456220973">
    <w:abstractNumId w:val="49"/>
  </w:num>
  <w:num w:numId="101" w16cid:durableId="29038027">
    <w:abstractNumId w:val="70"/>
  </w:num>
  <w:num w:numId="102" w16cid:durableId="1280452443">
    <w:abstractNumId w:val="43"/>
  </w:num>
  <w:num w:numId="103" w16cid:durableId="717433839">
    <w:abstractNumId w:val="161"/>
  </w:num>
  <w:num w:numId="104" w16cid:durableId="1587573423">
    <w:abstractNumId w:val="47"/>
  </w:num>
  <w:num w:numId="105" w16cid:durableId="251352962">
    <w:abstractNumId w:val="97"/>
  </w:num>
  <w:num w:numId="106" w16cid:durableId="912079456">
    <w:abstractNumId w:val="77"/>
  </w:num>
  <w:num w:numId="107" w16cid:durableId="1675254807">
    <w:abstractNumId w:val="63"/>
  </w:num>
  <w:num w:numId="108" w16cid:durableId="1547528487">
    <w:abstractNumId w:val="136"/>
  </w:num>
  <w:num w:numId="109" w16cid:durableId="241379361">
    <w:abstractNumId w:val="44"/>
  </w:num>
  <w:num w:numId="110" w16cid:durableId="1570921990">
    <w:abstractNumId w:val="39"/>
  </w:num>
  <w:num w:numId="111" w16cid:durableId="1516336175">
    <w:abstractNumId w:val="31"/>
  </w:num>
  <w:num w:numId="112" w16cid:durableId="1627927814">
    <w:abstractNumId w:val="95"/>
  </w:num>
  <w:num w:numId="113" w16cid:durableId="186991373">
    <w:abstractNumId w:val="151"/>
  </w:num>
  <w:num w:numId="114" w16cid:durableId="478109907">
    <w:abstractNumId w:val="139"/>
  </w:num>
  <w:num w:numId="115" w16cid:durableId="645938606">
    <w:abstractNumId w:val="61"/>
  </w:num>
  <w:num w:numId="116" w16cid:durableId="687408663">
    <w:abstractNumId w:val="156"/>
  </w:num>
  <w:num w:numId="117" w16cid:durableId="1116217204">
    <w:abstractNumId w:val="17"/>
  </w:num>
  <w:num w:numId="118" w16cid:durableId="1240602588">
    <w:abstractNumId w:val="134"/>
  </w:num>
  <w:num w:numId="119" w16cid:durableId="680619511">
    <w:abstractNumId w:val="117"/>
  </w:num>
  <w:num w:numId="120" w16cid:durableId="206723401">
    <w:abstractNumId w:val="42"/>
  </w:num>
  <w:num w:numId="121" w16cid:durableId="1881551392">
    <w:abstractNumId w:val="153"/>
  </w:num>
  <w:num w:numId="122" w16cid:durableId="836729505">
    <w:abstractNumId w:val="108"/>
  </w:num>
  <w:num w:numId="123" w16cid:durableId="366180385">
    <w:abstractNumId w:val="110"/>
  </w:num>
  <w:num w:numId="124" w16cid:durableId="884483615">
    <w:abstractNumId w:val="71"/>
  </w:num>
  <w:num w:numId="125" w16cid:durableId="360545792">
    <w:abstractNumId w:val="102"/>
  </w:num>
  <w:num w:numId="126" w16cid:durableId="832916716">
    <w:abstractNumId w:val="60"/>
  </w:num>
  <w:num w:numId="127" w16cid:durableId="922959140">
    <w:abstractNumId w:val="4"/>
  </w:num>
  <w:num w:numId="128" w16cid:durableId="397630475">
    <w:abstractNumId w:val="66"/>
  </w:num>
  <w:num w:numId="129" w16cid:durableId="298072457">
    <w:abstractNumId w:val="155"/>
  </w:num>
  <w:num w:numId="130" w16cid:durableId="1597396943">
    <w:abstractNumId w:val="122"/>
  </w:num>
  <w:num w:numId="131" w16cid:durableId="18875948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708871620">
    <w:abstractNumId w:val="160"/>
  </w:num>
  <w:num w:numId="133" w16cid:durableId="970406195">
    <w:abstractNumId w:val="74"/>
  </w:num>
  <w:num w:numId="134" w16cid:durableId="424495029">
    <w:abstractNumId w:val="33"/>
  </w:num>
  <w:num w:numId="135" w16cid:durableId="344402639">
    <w:abstractNumId w:val="82"/>
  </w:num>
  <w:num w:numId="136" w16cid:durableId="320814926">
    <w:abstractNumId w:val="163"/>
  </w:num>
  <w:num w:numId="137" w16cid:durableId="828864984">
    <w:abstractNumId w:val="32"/>
  </w:num>
  <w:num w:numId="138" w16cid:durableId="796796962">
    <w:abstractNumId w:val="99"/>
  </w:num>
  <w:num w:numId="139" w16cid:durableId="1981957070">
    <w:abstractNumId w:val="158"/>
  </w:num>
  <w:num w:numId="140" w16cid:durableId="369889308">
    <w:abstractNumId w:val="20"/>
  </w:num>
  <w:num w:numId="141" w16cid:durableId="1506944429">
    <w:abstractNumId w:val="30"/>
  </w:num>
  <w:num w:numId="142" w16cid:durableId="281349580">
    <w:abstractNumId w:val="101"/>
  </w:num>
  <w:num w:numId="143" w16cid:durableId="1591045531">
    <w:abstractNumId w:val="124"/>
  </w:num>
  <w:num w:numId="144" w16cid:durableId="1705404097">
    <w:abstractNumId w:val="132"/>
  </w:num>
  <w:num w:numId="145" w16cid:durableId="340473591">
    <w:abstractNumId w:val="62"/>
  </w:num>
  <w:num w:numId="146" w16cid:durableId="2027516466">
    <w:abstractNumId w:val="79"/>
  </w:num>
  <w:num w:numId="147" w16cid:durableId="2025083152">
    <w:abstractNumId w:val="15"/>
  </w:num>
  <w:num w:numId="148" w16cid:durableId="2118135485">
    <w:abstractNumId w:val="14"/>
  </w:num>
  <w:num w:numId="149" w16cid:durableId="1035544997">
    <w:abstractNumId w:val="12"/>
  </w:num>
  <w:num w:numId="150" w16cid:durableId="1858805793">
    <w:abstractNumId w:val="16"/>
  </w:num>
  <w:num w:numId="151" w16cid:durableId="195429254">
    <w:abstractNumId w:val="106"/>
  </w:num>
  <w:num w:numId="152" w16cid:durableId="308437191">
    <w:abstractNumId w:val="125"/>
  </w:num>
  <w:num w:numId="153" w16cid:durableId="1441799343">
    <w:abstractNumId w:val="26"/>
  </w:num>
  <w:num w:numId="154" w16cid:durableId="1826359155">
    <w:abstractNumId w:val="141"/>
  </w:num>
  <w:num w:numId="155" w16cid:durableId="2067950293">
    <w:abstractNumId w:val="13"/>
  </w:num>
  <w:num w:numId="156" w16cid:durableId="1850101662">
    <w:abstractNumId w:val="103"/>
  </w:num>
  <w:num w:numId="157" w16cid:durableId="432672460">
    <w:abstractNumId w:val="75"/>
  </w:num>
  <w:num w:numId="158" w16cid:durableId="1045372153">
    <w:abstractNumId w:val="80"/>
  </w:num>
  <w:num w:numId="159" w16cid:durableId="1925458880">
    <w:abstractNumId w:val="36"/>
  </w:num>
  <w:num w:numId="160" w16cid:durableId="131288854">
    <w:abstractNumId w:val="131"/>
  </w:num>
  <w:num w:numId="161" w16cid:durableId="1968974305">
    <w:abstractNumId w:val="119"/>
  </w:num>
  <w:num w:numId="162" w16cid:durableId="629020834">
    <w:abstractNumId w:val="40"/>
  </w:num>
  <w:num w:numId="163" w16cid:durableId="690034898">
    <w:abstractNumId w:val="145"/>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85616166">
    <w:abstractNumId w:val="65"/>
  </w:num>
  <w:num w:numId="165" w16cid:durableId="278295249">
    <w:abstractNumId w:val="152"/>
  </w:num>
  <w:num w:numId="166" w16cid:durableId="514423599">
    <w:abstractNumId w:val="18"/>
  </w:num>
  <w:num w:numId="167" w16cid:durableId="1811896551">
    <w:abstractNumId w:val="0"/>
  </w:num>
  <w:num w:numId="168" w16cid:durableId="866648587">
    <w:abstractNumId w:val="137"/>
  </w:num>
  <w:num w:numId="169" w16cid:durableId="1119835874">
    <w:abstractNumId w:val="135"/>
    <w:lvlOverride w:ilvl="0">
      <w:startOverride w:val="1"/>
    </w:lvlOverride>
  </w:num>
  <w:num w:numId="170" w16cid:durableId="420417488">
    <w:abstractNumId w:val="67"/>
  </w:num>
  <w:num w:numId="171" w16cid:durableId="1942956153">
    <w:abstractNumId w:val="143"/>
  </w:num>
  <w:num w:numId="172" w16cid:durableId="46227948">
    <w:abstractNumId w:val="19"/>
  </w:num>
  <w:num w:numId="173" w16cid:durableId="1247887936">
    <w:abstractNumId w:val="166"/>
  </w:num>
  <w:num w:numId="174" w16cid:durableId="1221399681">
    <w:abstractNumId w:val="96"/>
  </w:num>
  <w:num w:numId="175" w16cid:durableId="548760353">
    <w:abstractNumId w:val="83"/>
  </w:num>
  <w:num w:numId="176" w16cid:durableId="1465613070">
    <w:abstractNumId w:val="11"/>
    <w:lvlOverride w:ilvl="0">
      <w:lvl w:ilvl="0">
        <w:start w:val="8"/>
        <w:numFmt w:val="decimal"/>
        <w:pStyle w:val="PargrafodaLista1"/>
        <w:lvlText w:val="%1."/>
        <w:lvlJc w:val="left"/>
        <w:pPr>
          <w:widowControl w:val="0"/>
          <w:autoSpaceDE w:val="0"/>
          <w:autoSpaceDN w:val="0"/>
          <w:adjustRightInd w:val="0"/>
          <w:spacing w:after="120"/>
          <w:ind w:left="390" w:hanging="390"/>
          <w:jc w:val="both"/>
        </w:pPr>
        <w:rPr>
          <w:rFonts w:ascii="Times New Roman" w:hAnsi="Times New Roman" w:cs="Times New Roman"/>
          <w:color w:val="0000FF"/>
          <w:sz w:val="26"/>
          <w:szCs w:val="26"/>
          <w:u w:val="double"/>
        </w:rPr>
      </w:lvl>
    </w:lvlOverride>
    <w:lvlOverride w:ilvl="1">
      <w:lvl w:ilvl="1">
        <w:start w:val="1"/>
        <w:numFmt w:val="decimal"/>
        <w:pStyle w:val="ContratoN3"/>
        <w:lvlText w:val="%1.%2."/>
        <w:lvlJc w:val="left"/>
        <w:pPr>
          <w:widowControl w:val="0"/>
          <w:autoSpaceDE w:val="0"/>
          <w:autoSpaceDN w:val="0"/>
          <w:adjustRightInd w:val="0"/>
          <w:spacing w:after="120"/>
          <w:ind w:left="1421" w:hanging="720"/>
          <w:jc w:val="both"/>
        </w:pPr>
        <w:rPr>
          <w:rFonts w:ascii="Times New Roman" w:hAnsi="Times New Roman" w:cs="Times New Roman"/>
          <w:color w:val="0000FF"/>
          <w:sz w:val="26"/>
          <w:szCs w:val="26"/>
          <w:u w:val="double"/>
        </w:rPr>
      </w:lvl>
    </w:lvlOverride>
    <w:lvlOverride w:ilvl="2">
      <w:lvl w:ilvl="2">
        <w:start w:val="1"/>
        <w:numFmt w:val="lowerRoman"/>
        <w:pStyle w:val="EstiloContratoN1PretoVersalete"/>
        <w:lvlText w:val="(%3)"/>
        <w:lvlJc w:val="left"/>
        <w:pPr>
          <w:widowControl w:val="0"/>
          <w:autoSpaceDE w:val="0"/>
          <w:autoSpaceDN w:val="0"/>
          <w:adjustRightInd w:val="0"/>
          <w:spacing w:after="120"/>
          <w:ind w:left="2122" w:hanging="720"/>
          <w:jc w:val="both"/>
        </w:pPr>
        <w:rPr>
          <w:rFonts w:ascii="Times New Roman" w:hAnsi="Times New Roman" w:cs="Times New Roman"/>
          <w:color w:val="0000FF"/>
          <w:sz w:val="26"/>
          <w:szCs w:val="26"/>
          <w:u w:val="double"/>
        </w:rPr>
      </w:lvl>
    </w:lvlOverride>
    <w:lvlOverride w:ilvl="3">
      <w:lvl w:ilvl="3">
        <w:start w:val="1"/>
        <w:numFmt w:val="lowerLetter"/>
        <w:lvlText w:val="(%4)"/>
        <w:lvlJc w:val="left"/>
        <w:pPr>
          <w:widowControl w:val="0"/>
          <w:autoSpaceDE w:val="0"/>
          <w:autoSpaceDN w:val="0"/>
          <w:adjustRightInd w:val="0"/>
          <w:spacing w:after="120"/>
          <w:ind w:left="3183" w:hanging="1080"/>
          <w:jc w:val="both"/>
        </w:pPr>
        <w:rPr>
          <w:rFonts w:ascii="Verdana" w:hAnsi="Verdana" w:cs="Times New Roman" w:hint="default"/>
          <w:b w:val="0"/>
          <w:bCs w:val="0"/>
          <w:i w:val="0"/>
          <w:iCs w:val="0"/>
          <w:color w:val="auto"/>
          <w:sz w:val="20"/>
          <w:szCs w:val="20"/>
          <w:u w:val="none"/>
        </w:rPr>
      </w:lvl>
    </w:lvlOverride>
    <w:lvlOverride w:ilvl="4">
      <w:lvl w:ilvl="4">
        <w:start w:val="1"/>
        <w:numFmt w:val="decimal"/>
        <w:lvlText w:val="%1.%2.%3.%4.%5."/>
        <w:lvlJc w:val="left"/>
        <w:pPr>
          <w:widowControl w:val="0"/>
          <w:autoSpaceDE w:val="0"/>
          <w:autoSpaceDN w:val="0"/>
          <w:adjustRightInd w:val="0"/>
          <w:spacing w:after="120"/>
          <w:ind w:left="4244" w:hanging="1440"/>
          <w:jc w:val="both"/>
        </w:pPr>
        <w:rPr>
          <w:rFonts w:ascii="Times New Roman" w:hAnsi="Times New Roman" w:cs="Times New Roman"/>
          <w:color w:val="0000FF"/>
          <w:sz w:val="26"/>
          <w:szCs w:val="26"/>
          <w:u w:val="double"/>
        </w:rPr>
      </w:lvl>
    </w:lvlOverride>
    <w:lvlOverride w:ilvl="5">
      <w:lvl w:ilvl="5">
        <w:start w:val="1"/>
        <w:numFmt w:val="decimal"/>
        <w:lvlText w:val="%1.%2.%3.%4.%5.%6."/>
        <w:lvlJc w:val="left"/>
        <w:pPr>
          <w:widowControl w:val="0"/>
          <w:autoSpaceDE w:val="0"/>
          <w:autoSpaceDN w:val="0"/>
          <w:adjustRightInd w:val="0"/>
          <w:spacing w:after="120"/>
          <w:ind w:left="4945" w:hanging="1440"/>
          <w:jc w:val="both"/>
        </w:pPr>
        <w:rPr>
          <w:rFonts w:ascii="Times New Roman" w:hAnsi="Times New Roman" w:cs="Times New Roman"/>
          <w:color w:val="0000FF"/>
          <w:sz w:val="26"/>
          <w:szCs w:val="26"/>
          <w:u w:val="double"/>
        </w:rPr>
      </w:lvl>
    </w:lvlOverride>
    <w:lvlOverride w:ilvl="6">
      <w:lvl w:ilvl="6">
        <w:start w:val="1"/>
        <w:numFmt w:val="decimal"/>
        <w:lvlText w:val="%1.%2.%3.%4.%5.%6.%7."/>
        <w:lvlJc w:val="left"/>
        <w:pPr>
          <w:widowControl w:val="0"/>
          <w:autoSpaceDE w:val="0"/>
          <w:autoSpaceDN w:val="0"/>
          <w:adjustRightInd w:val="0"/>
          <w:spacing w:after="120"/>
          <w:ind w:left="6006" w:hanging="1800"/>
          <w:jc w:val="both"/>
        </w:pPr>
        <w:rPr>
          <w:rFonts w:ascii="Times New Roman" w:hAnsi="Times New Roman" w:cs="Times New Roman"/>
          <w:color w:val="0000FF"/>
          <w:sz w:val="26"/>
          <w:szCs w:val="26"/>
          <w:u w:val="double"/>
        </w:rPr>
      </w:lvl>
    </w:lvlOverride>
    <w:lvlOverride w:ilvl="7">
      <w:lvl w:ilvl="7">
        <w:start w:val="1"/>
        <w:numFmt w:val="decimal"/>
        <w:lvlText w:val="%1.%2.%3.%4.%5.%6.%7.%8."/>
        <w:lvlJc w:val="left"/>
        <w:pPr>
          <w:widowControl w:val="0"/>
          <w:autoSpaceDE w:val="0"/>
          <w:autoSpaceDN w:val="0"/>
          <w:adjustRightInd w:val="0"/>
          <w:spacing w:after="120"/>
          <w:ind w:left="7067" w:hanging="2160"/>
          <w:jc w:val="both"/>
        </w:pPr>
        <w:rPr>
          <w:rFonts w:ascii="Times New Roman" w:hAnsi="Times New Roman" w:cs="Times New Roman"/>
          <w:color w:val="0000FF"/>
          <w:sz w:val="26"/>
          <w:szCs w:val="26"/>
          <w:u w:val="double"/>
        </w:rPr>
      </w:lvl>
    </w:lvlOverride>
    <w:lvlOverride w:ilvl="8">
      <w:lvl w:ilvl="8">
        <w:start w:val="1"/>
        <w:numFmt w:val="decimal"/>
        <w:lvlText w:val="%1.%2.%3.%4.%5.%6.%7.%8.%9."/>
        <w:lvlJc w:val="left"/>
        <w:pPr>
          <w:widowControl w:val="0"/>
          <w:autoSpaceDE w:val="0"/>
          <w:autoSpaceDN w:val="0"/>
          <w:adjustRightInd w:val="0"/>
          <w:spacing w:after="120"/>
          <w:ind w:left="7768" w:hanging="2160"/>
          <w:jc w:val="both"/>
        </w:pPr>
        <w:rPr>
          <w:rFonts w:ascii="Times New Roman" w:hAnsi="Times New Roman" w:cs="Times New Roman"/>
          <w:color w:val="0000FF"/>
          <w:sz w:val="26"/>
          <w:szCs w:val="26"/>
          <w:u w:val="double"/>
        </w:rPr>
      </w:lvl>
    </w:lvlOverride>
  </w:num>
  <w:num w:numId="177" w16cid:durableId="433324220">
    <w:abstractNumId w:val="112"/>
  </w:num>
  <w:num w:numId="178" w16cid:durableId="1961839897">
    <w:abstractNumId w:val="116"/>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4D"/>
    <w:rsid w:val="00001F10"/>
    <w:rsid w:val="0000242D"/>
    <w:rsid w:val="00002849"/>
    <w:rsid w:val="00003A19"/>
    <w:rsid w:val="00003B48"/>
    <w:rsid w:val="00003C53"/>
    <w:rsid w:val="000048E2"/>
    <w:rsid w:val="00004CAE"/>
    <w:rsid w:val="00006692"/>
    <w:rsid w:val="000070F0"/>
    <w:rsid w:val="00014E86"/>
    <w:rsid w:val="00015CFC"/>
    <w:rsid w:val="000176FF"/>
    <w:rsid w:val="00022143"/>
    <w:rsid w:val="00027C36"/>
    <w:rsid w:val="00034CB1"/>
    <w:rsid w:val="00036164"/>
    <w:rsid w:val="000376B6"/>
    <w:rsid w:val="000411C4"/>
    <w:rsid w:val="000413B2"/>
    <w:rsid w:val="00041F93"/>
    <w:rsid w:val="00041F97"/>
    <w:rsid w:val="00045374"/>
    <w:rsid w:val="00046C1F"/>
    <w:rsid w:val="0005675C"/>
    <w:rsid w:val="000568D3"/>
    <w:rsid w:val="00057F75"/>
    <w:rsid w:val="00065DBC"/>
    <w:rsid w:val="00067A71"/>
    <w:rsid w:val="00077CD7"/>
    <w:rsid w:val="0008516C"/>
    <w:rsid w:val="0008565B"/>
    <w:rsid w:val="00086455"/>
    <w:rsid w:val="000865C3"/>
    <w:rsid w:val="00087C3A"/>
    <w:rsid w:val="00095CD2"/>
    <w:rsid w:val="000961C5"/>
    <w:rsid w:val="0009638F"/>
    <w:rsid w:val="00097957"/>
    <w:rsid w:val="000A1614"/>
    <w:rsid w:val="000A71BA"/>
    <w:rsid w:val="000B2793"/>
    <w:rsid w:val="000B7E8F"/>
    <w:rsid w:val="000B7F99"/>
    <w:rsid w:val="000C21F4"/>
    <w:rsid w:val="000C3C74"/>
    <w:rsid w:val="000C3F95"/>
    <w:rsid w:val="000D1366"/>
    <w:rsid w:val="000D5973"/>
    <w:rsid w:val="000D5E35"/>
    <w:rsid w:val="000E2961"/>
    <w:rsid w:val="000F0989"/>
    <w:rsid w:val="000F2A48"/>
    <w:rsid w:val="000F3A3E"/>
    <w:rsid w:val="000F4D62"/>
    <w:rsid w:val="000F6ED7"/>
    <w:rsid w:val="000F7478"/>
    <w:rsid w:val="00100A0D"/>
    <w:rsid w:val="00100C1C"/>
    <w:rsid w:val="001016DA"/>
    <w:rsid w:val="001033CB"/>
    <w:rsid w:val="00104C87"/>
    <w:rsid w:val="001146BA"/>
    <w:rsid w:val="00116422"/>
    <w:rsid w:val="0011719B"/>
    <w:rsid w:val="001203DD"/>
    <w:rsid w:val="001254A8"/>
    <w:rsid w:val="00125F1B"/>
    <w:rsid w:val="001269E3"/>
    <w:rsid w:val="00130198"/>
    <w:rsid w:val="001449B9"/>
    <w:rsid w:val="00144AEC"/>
    <w:rsid w:val="00146035"/>
    <w:rsid w:val="0014675D"/>
    <w:rsid w:val="00151FB7"/>
    <w:rsid w:val="0015374F"/>
    <w:rsid w:val="001548A4"/>
    <w:rsid w:val="0015668D"/>
    <w:rsid w:val="00156B47"/>
    <w:rsid w:val="00161968"/>
    <w:rsid w:val="00162CF8"/>
    <w:rsid w:val="00173DC8"/>
    <w:rsid w:val="0018341B"/>
    <w:rsid w:val="0019085A"/>
    <w:rsid w:val="00191CCF"/>
    <w:rsid w:val="00197387"/>
    <w:rsid w:val="001A2914"/>
    <w:rsid w:val="001B223F"/>
    <w:rsid w:val="001B37DA"/>
    <w:rsid w:val="001B5D09"/>
    <w:rsid w:val="001B6427"/>
    <w:rsid w:val="001B756B"/>
    <w:rsid w:val="001C0B3B"/>
    <w:rsid w:val="001C511A"/>
    <w:rsid w:val="001E1F2D"/>
    <w:rsid w:val="001E5074"/>
    <w:rsid w:val="001E6409"/>
    <w:rsid w:val="001E6CF7"/>
    <w:rsid w:val="001E6E9D"/>
    <w:rsid w:val="001E73E6"/>
    <w:rsid w:val="001E7B73"/>
    <w:rsid w:val="001F0BE5"/>
    <w:rsid w:val="001F322E"/>
    <w:rsid w:val="001F63E4"/>
    <w:rsid w:val="001F7A69"/>
    <w:rsid w:val="001F7EEA"/>
    <w:rsid w:val="002015AC"/>
    <w:rsid w:val="00201B69"/>
    <w:rsid w:val="002030A4"/>
    <w:rsid w:val="00205ADF"/>
    <w:rsid w:val="00206627"/>
    <w:rsid w:val="00210ED1"/>
    <w:rsid w:val="002124A2"/>
    <w:rsid w:val="00212912"/>
    <w:rsid w:val="00212924"/>
    <w:rsid w:val="0021324D"/>
    <w:rsid w:val="00220149"/>
    <w:rsid w:val="00225711"/>
    <w:rsid w:val="002302DD"/>
    <w:rsid w:val="002302DF"/>
    <w:rsid w:val="0023236A"/>
    <w:rsid w:val="00234485"/>
    <w:rsid w:val="00237BBE"/>
    <w:rsid w:val="002411B7"/>
    <w:rsid w:val="00245A5C"/>
    <w:rsid w:val="0024668F"/>
    <w:rsid w:val="00253AF3"/>
    <w:rsid w:val="00257339"/>
    <w:rsid w:val="002670A6"/>
    <w:rsid w:val="0027061B"/>
    <w:rsid w:val="00271737"/>
    <w:rsid w:val="002742E1"/>
    <w:rsid w:val="00284CC9"/>
    <w:rsid w:val="00285D30"/>
    <w:rsid w:val="002910A0"/>
    <w:rsid w:val="0029475F"/>
    <w:rsid w:val="00294BF1"/>
    <w:rsid w:val="002A1427"/>
    <w:rsid w:val="002A4489"/>
    <w:rsid w:val="002A51CB"/>
    <w:rsid w:val="002A5C89"/>
    <w:rsid w:val="002B033F"/>
    <w:rsid w:val="002B421C"/>
    <w:rsid w:val="002B4E15"/>
    <w:rsid w:val="002B62A9"/>
    <w:rsid w:val="002C05BB"/>
    <w:rsid w:val="002C1B1B"/>
    <w:rsid w:val="002C2201"/>
    <w:rsid w:val="002D21AA"/>
    <w:rsid w:val="002D25D0"/>
    <w:rsid w:val="002D2738"/>
    <w:rsid w:val="002D297E"/>
    <w:rsid w:val="002D3DE0"/>
    <w:rsid w:val="002D42B0"/>
    <w:rsid w:val="002D5D93"/>
    <w:rsid w:val="002E0CAA"/>
    <w:rsid w:val="002E5F78"/>
    <w:rsid w:val="002E691E"/>
    <w:rsid w:val="002E77A9"/>
    <w:rsid w:val="002E77C3"/>
    <w:rsid w:val="002F1584"/>
    <w:rsid w:val="002F5C4A"/>
    <w:rsid w:val="002F7C31"/>
    <w:rsid w:val="00305A23"/>
    <w:rsid w:val="00305C89"/>
    <w:rsid w:val="0031315D"/>
    <w:rsid w:val="003132FB"/>
    <w:rsid w:val="0031340F"/>
    <w:rsid w:val="00315F30"/>
    <w:rsid w:val="003177D9"/>
    <w:rsid w:val="00331EF4"/>
    <w:rsid w:val="00332057"/>
    <w:rsid w:val="003321CA"/>
    <w:rsid w:val="003338FE"/>
    <w:rsid w:val="00334B4C"/>
    <w:rsid w:val="0034415F"/>
    <w:rsid w:val="00345FED"/>
    <w:rsid w:val="003468A1"/>
    <w:rsid w:val="00350879"/>
    <w:rsid w:val="003519AD"/>
    <w:rsid w:val="0035419D"/>
    <w:rsid w:val="0035572A"/>
    <w:rsid w:val="00357B4D"/>
    <w:rsid w:val="00362323"/>
    <w:rsid w:val="003664AA"/>
    <w:rsid w:val="00370E39"/>
    <w:rsid w:val="00374A4F"/>
    <w:rsid w:val="00377A8E"/>
    <w:rsid w:val="00381227"/>
    <w:rsid w:val="00384756"/>
    <w:rsid w:val="00384AA8"/>
    <w:rsid w:val="00386FB3"/>
    <w:rsid w:val="003907EA"/>
    <w:rsid w:val="0039139F"/>
    <w:rsid w:val="00393C92"/>
    <w:rsid w:val="0039419A"/>
    <w:rsid w:val="00396218"/>
    <w:rsid w:val="003A2C76"/>
    <w:rsid w:val="003A42A8"/>
    <w:rsid w:val="003A4826"/>
    <w:rsid w:val="003B2E8A"/>
    <w:rsid w:val="003B5D8F"/>
    <w:rsid w:val="003B70DA"/>
    <w:rsid w:val="003B7277"/>
    <w:rsid w:val="003C2260"/>
    <w:rsid w:val="003C7D3F"/>
    <w:rsid w:val="003D067F"/>
    <w:rsid w:val="003D3017"/>
    <w:rsid w:val="003D6E04"/>
    <w:rsid w:val="003E09A8"/>
    <w:rsid w:val="003E1BAD"/>
    <w:rsid w:val="003E2857"/>
    <w:rsid w:val="003E3FF8"/>
    <w:rsid w:val="003E4134"/>
    <w:rsid w:val="003F328E"/>
    <w:rsid w:val="003F688F"/>
    <w:rsid w:val="003F7034"/>
    <w:rsid w:val="00401979"/>
    <w:rsid w:val="004058C7"/>
    <w:rsid w:val="00406F8F"/>
    <w:rsid w:val="00413886"/>
    <w:rsid w:val="00416C56"/>
    <w:rsid w:val="00422549"/>
    <w:rsid w:val="00426F85"/>
    <w:rsid w:val="004271A5"/>
    <w:rsid w:val="004274AE"/>
    <w:rsid w:val="004275D1"/>
    <w:rsid w:val="00427E19"/>
    <w:rsid w:val="00432862"/>
    <w:rsid w:val="00432E59"/>
    <w:rsid w:val="00435D1E"/>
    <w:rsid w:val="0043696A"/>
    <w:rsid w:val="004375A3"/>
    <w:rsid w:val="00440F91"/>
    <w:rsid w:val="004418D6"/>
    <w:rsid w:val="00442383"/>
    <w:rsid w:val="0044460A"/>
    <w:rsid w:val="00452469"/>
    <w:rsid w:val="00452727"/>
    <w:rsid w:val="00454D38"/>
    <w:rsid w:val="0046067F"/>
    <w:rsid w:val="004715B1"/>
    <w:rsid w:val="004735C5"/>
    <w:rsid w:val="00473704"/>
    <w:rsid w:val="004747CF"/>
    <w:rsid w:val="0047699C"/>
    <w:rsid w:val="00477739"/>
    <w:rsid w:val="00480420"/>
    <w:rsid w:val="00480F0F"/>
    <w:rsid w:val="00481765"/>
    <w:rsid w:val="0048208D"/>
    <w:rsid w:val="0048620F"/>
    <w:rsid w:val="004926C3"/>
    <w:rsid w:val="004973CF"/>
    <w:rsid w:val="00497882"/>
    <w:rsid w:val="004A06FC"/>
    <w:rsid w:val="004A6B92"/>
    <w:rsid w:val="004B1AFC"/>
    <w:rsid w:val="004B4B0E"/>
    <w:rsid w:val="004C7C1A"/>
    <w:rsid w:val="004D22D9"/>
    <w:rsid w:val="004D5836"/>
    <w:rsid w:val="004D5EBD"/>
    <w:rsid w:val="004D74F4"/>
    <w:rsid w:val="004E19EB"/>
    <w:rsid w:val="004E7AAF"/>
    <w:rsid w:val="004F0F84"/>
    <w:rsid w:val="004F3DDE"/>
    <w:rsid w:val="004F4DCA"/>
    <w:rsid w:val="004F758B"/>
    <w:rsid w:val="004F7937"/>
    <w:rsid w:val="0050491B"/>
    <w:rsid w:val="00504AE1"/>
    <w:rsid w:val="005233F6"/>
    <w:rsid w:val="0052469F"/>
    <w:rsid w:val="00524A08"/>
    <w:rsid w:val="00530ABF"/>
    <w:rsid w:val="00535777"/>
    <w:rsid w:val="00536B02"/>
    <w:rsid w:val="0053704D"/>
    <w:rsid w:val="00540CC8"/>
    <w:rsid w:val="00544D28"/>
    <w:rsid w:val="00547519"/>
    <w:rsid w:val="00547861"/>
    <w:rsid w:val="00551380"/>
    <w:rsid w:val="00552F76"/>
    <w:rsid w:val="00555106"/>
    <w:rsid w:val="005602F2"/>
    <w:rsid w:val="0056622E"/>
    <w:rsid w:val="005765A9"/>
    <w:rsid w:val="00582338"/>
    <w:rsid w:val="005853F7"/>
    <w:rsid w:val="005862D1"/>
    <w:rsid w:val="005912D4"/>
    <w:rsid w:val="005965A9"/>
    <w:rsid w:val="005A1BC5"/>
    <w:rsid w:val="005B124F"/>
    <w:rsid w:val="005B4F21"/>
    <w:rsid w:val="005B5210"/>
    <w:rsid w:val="005B7EDD"/>
    <w:rsid w:val="005C03A9"/>
    <w:rsid w:val="005C508C"/>
    <w:rsid w:val="005D2021"/>
    <w:rsid w:val="005D2436"/>
    <w:rsid w:val="005D2F3F"/>
    <w:rsid w:val="005E113F"/>
    <w:rsid w:val="005E435A"/>
    <w:rsid w:val="005E7D51"/>
    <w:rsid w:val="005F1CB7"/>
    <w:rsid w:val="005F1D15"/>
    <w:rsid w:val="005F2EB1"/>
    <w:rsid w:val="005F5491"/>
    <w:rsid w:val="005F64C8"/>
    <w:rsid w:val="00600C0A"/>
    <w:rsid w:val="00602262"/>
    <w:rsid w:val="00602656"/>
    <w:rsid w:val="006031C1"/>
    <w:rsid w:val="00603BA6"/>
    <w:rsid w:val="00605E15"/>
    <w:rsid w:val="00606BDE"/>
    <w:rsid w:val="00606DC0"/>
    <w:rsid w:val="00613C34"/>
    <w:rsid w:val="0061436F"/>
    <w:rsid w:val="00615ECB"/>
    <w:rsid w:val="006268EA"/>
    <w:rsid w:val="006278CF"/>
    <w:rsid w:val="006311AA"/>
    <w:rsid w:val="00634BD8"/>
    <w:rsid w:val="00635436"/>
    <w:rsid w:val="00636572"/>
    <w:rsid w:val="0063758A"/>
    <w:rsid w:val="00637CC9"/>
    <w:rsid w:val="006458D2"/>
    <w:rsid w:val="006473A3"/>
    <w:rsid w:val="00654604"/>
    <w:rsid w:val="006547EB"/>
    <w:rsid w:val="006571D3"/>
    <w:rsid w:val="00657B25"/>
    <w:rsid w:val="006612EB"/>
    <w:rsid w:val="0066510C"/>
    <w:rsid w:val="00666182"/>
    <w:rsid w:val="006677FE"/>
    <w:rsid w:val="00667968"/>
    <w:rsid w:val="00670B4A"/>
    <w:rsid w:val="00674918"/>
    <w:rsid w:val="00674DAF"/>
    <w:rsid w:val="00675051"/>
    <w:rsid w:val="00676A41"/>
    <w:rsid w:val="00680A4C"/>
    <w:rsid w:val="00694F46"/>
    <w:rsid w:val="00695CFE"/>
    <w:rsid w:val="006B13D8"/>
    <w:rsid w:val="006B50C3"/>
    <w:rsid w:val="006B5F3F"/>
    <w:rsid w:val="006C61B8"/>
    <w:rsid w:val="006C75B6"/>
    <w:rsid w:val="006D0D2E"/>
    <w:rsid w:val="006D2255"/>
    <w:rsid w:val="006D55CC"/>
    <w:rsid w:val="006D5F53"/>
    <w:rsid w:val="006D63B6"/>
    <w:rsid w:val="006E1434"/>
    <w:rsid w:val="006E1757"/>
    <w:rsid w:val="006E5329"/>
    <w:rsid w:val="006E5AE6"/>
    <w:rsid w:val="006F3767"/>
    <w:rsid w:val="006F4168"/>
    <w:rsid w:val="006F5AF2"/>
    <w:rsid w:val="006F7E8F"/>
    <w:rsid w:val="007007CD"/>
    <w:rsid w:val="00702698"/>
    <w:rsid w:val="00706230"/>
    <w:rsid w:val="00707DFF"/>
    <w:rsid w:val="0071129E"/>
    <w:rsid w:val="007114A1"/>
    <w:rsid w:val="0071644C"/>
    <w:rsid w:val="00717816"/>
    <w:rsid w:val="00720666"/>
    <w:rsid w:val="0072083D"/>
    <w:rsid w:val="00721EF7"/>
    <w:rsid w:val="00730B04"/>
    <w:rsid w:val="00734834"/>
    <w:rsid w:val="00740EB7"/>
    <w:rsid w:val="00743850"/>
    <w:rsid w:val="00745A40"/>
    <w:rsid w:val="00750BF5"/>
    <w:rsid w:val="00753BC8"/>
    <w:rsid w:val="007616AE"/>
    <w:rsid w:val="00765980"/>
    <w:rsid w:val="00767873"/>
    <w:rsid w:val="00775D5D"/>
    <w:rsid w:val="00775FAA"/>
    <w:rsid w:val="00777F07"/>
    <w:rsid w:val="00785D15"/>
    <w:rsid w:val="00785D2D"/>
    <w:rsid w:val="0079308B"/>
    <w:rsid w:val="007931CF"/>
    <w:rsid w:val="00794A23"/>
    <w:rsid w:val="007B48ED"/>
    <w:rsid w:val="007B496B"/>
    <w:rsid w:val="007C0301"/>
    <w:rsid w:val="007C1268"/>
    <w:rsid w:val="007C1A20"/>
    <w:rsid w:val="007D23FE"/>
    <w:rsid w:val="007D2AC6"/>
    <w:rsid w:val="007D35CC"/>
    <w:rsid w:val="007E0732"/>
    <w:rsid w:val="007E45D1"/>
    <w:rsid w:val="007E79AD"/>
    <w:rsid w:val="007E7C5F"/>
    <w:rsid w:val="007F2F74"/>
    <w:rsid w:val="007F4F6A"/>
    <w:rsid w:val="007F5591"/>
    <w:rsid w:val="007F5D88"/>
    <w:rsid w:val="007F68E0"/>
    <w:rsid w:val="00800576"/>
    <w:rsid w:val="00800BDA"/>
    <w:rsid w:val="00802499"/>
    <w:rsid w:val="00804375"/>
    <w:rsid w:val="00806803"/>
    <w:rsid w:val="008070D5"/>
    <w:rsid w:val="008109DA"/>
    <w:rsid w:val="008112E6"/>
    <w:rsid w:val="00812727"/>
    <w:rsid w:val="0081331B"/>
    <w:rsid w:val="008149F8"/>
    <w:rsid w:val="008172F9"/>
    <w:rsid w:val="008246A5"/>
    <w:rsid w:val="00827580"/>
    <w:rsid w:val="00827DDE"/>
    <w:rsid w:val="00830882"/>
    <w:rsid w:val="00830BE6"/>
    <w:rsid w:val="00835795"/>
    <w:rsid w:val="00835F15"/>
    <w:rsid w:val="00835F5A"/>
    <w:rsid w:val="0083655A"/>
    <w:rsid w:val="00844348"/>
    <w:rsid w:val="00844C24"/>
    <w:rsid w:val="00850BEF"/>
    <w:rsid w:val="00852CD9"/>
    <w:rsid w:val="0085317B"/>
    <w:rsid w:val="0085417C"/>
    <w:rsid w:val="0085419F"/>
    <w:rsid w:val="00856416"/>
    <w:rsid w:val="00856FFA"/>
    <w:rsid w:val="00857C2F"/>
    <w:rsid w:val="008611D4"/>
    <w:rsid w:val="00861CF0"/>
    <w:rsid w:val="00862EA2"/>
    <w:rsid w:val="00876F1D"/>
    <w:rsid w:val="0088402D"/>
    <w:rsid w:val="008844CA"/>
    <w:rsid w:val="008936F0"/>
    <w:rsid w:val="0089467E"/>
    <w:rsid w:val="00894D39"/>
    <w:rsid w:val="0089533F"/>
    <w:rsid w:val="0089611C"/>
    <w:rsid w:val="0089710E"/>
    <w:rsid w:val="008A312D"/>
    <w:rsid w:val="008A497C"/>
    <w:rsid w:val="008A67B4"/>
    <w:rsid w:val="008B2197"/>
    <w:rsid w:val="008B44F3"/>
    <w:rsid w:val="008B4611"/>
    <w:rsid w:val="008B70FC"/>
    <w:rsid w:val="008D4B30"/>
    <w:rsid w:val="008D76A9"/>
    <w:rsid w:val="008E0813"/>
    <w:rsid w:val="008E125D"/>
    <w:rsid w:val="008E3A6A"/>
    <w:rsid w:val="008E4B23"/>
    <w:rsid w:val="008F0C41"/>
    <w:rsid w:val="008F356A"/>
    <w:rsid w:val="008F4735"/>
    <w:rsid w:val="009002CF"/>
    <w:rsid w:val="009006F4"/>
    <w:rsid w:val="00903C4A"/>
    <w:rsid w:val="00906407"/>
    <w:rsid w:val="00910C74"/>
    <w:rsid w:val="00913DFB"/>
    <w:rsid w:val="00915B73"/>
    <w:rsid w:val="009160D5"/>
    <w:rsid w:val="009174F2"/>
    <w:rsid w:val="00917723"/>
    <w:rsid w:val="00917AAB"/>
    <w:rsid w:val="00920494"/>
    <w:rsid w:val="00923486"/>
    <w:rsid w:val="00925AA2"/>
    <w:rsid w:val="00925D9D"/>
    <w:rsid w:val="0092612B"/>
    <w:rsid w:val="00927432"/>
    <w:rsid w:val="0093395C"/>
    <w:rsid w:val="009364BE"/>
    <w:rsid w:val="0093729A"/>
    <w:rsid w:val="00940C9E"/>
    <w:rsid w:val="00942B81"/>
    <w:rsid w:val="00953D64"/>
    <w:rsid w:val="00953DA6"/>
    <w:rsid w:val="00962142"/>
    <w:rsid w:val="0098184C"/>
    <w:rsid w:val="00983666"/>
    <w:rsid w:val="00986C47"/>
    <w:rsid w:val="00994C32"/>
    <w:rsid w:val="00995A2E"/>
    <w:rsid w:val="009A22ED"/>
    <w:rsid w:val="009A3F0E"/>
    <w:rsid w:val="009A41F9"/>
    <w:rsid w:val="009A47C5"/>
    <w:rsid w:val="009A759D"/>
    <w:rsid w:val="009B1120"/>
    <w:rsid w:val="009B2543"/>
    <w:rsid w:val="009B31DF"/>
    <w:rsid w:val="009B5775"/>
    <w:rsid w:val="009B636F"/>
    <w:rsid w:val="009B6FF9"/>
    <w:rsid w:val="009C213F"/>
    <w:rsid w:val="009C6574"/>
    <w:rsid w:val="009C7AD0"/>
    <w:rsid w:val="009D0AD5"/>
    <w:rsid w:val="009D4C56"/>
    <w:rsid w:val="009E7E8F"/>
    <w:rsid w:val="009F38EC"/>
    <w:rsid w:val="009F5236"/>
    <w:rsid w:val="009F5654"/>
    <w:rsid w:val="009F6D6D"/>
    <w:rsid w:val="00A00864"/>
    <w:rsid w:val="00A01FBE"/>
    <w:rsid w:val="00A02830"/>
    <w:rsid w:val="00A07118"/>
    <w:rsid w:val="00A13263"/>
    <w:rsid w:val="00A271B3"/>
    <w:rsid w:val="00A31D92"/>
    <w:rsid w:val="00A355AD"/>
    <w:rsid w:val="00A42170"/>
    <w:rsid w:val="00A439A3"/>
    <w:rsid w:val="00A47E33"/>
    <w:rsid w:val="00A5689C"/>
    <w:rsid w:val="00A63DE9"/>
    <w:rsid w:val="00A642E4"/>
    <w:rsid w:val="00A7001C"/>
    <w:rsid w:val="00A726DB"/>
    <w:rsid w:val="00A73677"/>
    <w:rsid w:val="00A7421A"/>
    <w:rsid w:val="00A75E83"/>
    <w:rsid w:val="00A82AFB"/>
    <w:rsid w:val="00A8612F"/>
    <w:rsid w:val="00A9008E"/>
    <w:rsid w:val="00A9137B"/>
    <w:rsid w:val="00A94FB3"/>
    <w:rsid w:val="00A97F6F"/>
    <w:rsid w:val="00AA05D0"/>
    <w:rsid w:val="00AA4192"/>
    <w:rsid w:val="00AB059C"/>
    <w:rsid w:val="00AB4700"/>
    <w:rsid w:val="00AB4CD7"/>
    <w:rsid w:val="00AB5AE2"/>
    <w:rsid w:val="00AB63D1"/>
    <w:rsid w:val="00AB6A1D"/>
    <w:rsid w:val="00AC18C9"/>
    <w:rsid w:val="00AC1BB8"/>
    <w:rsid w:val="00AC236D"/>
    <w:rsid w:val="00AC4696"/>
    <w:rsid w:val="00AC5D29"/>
    <w:rsid w:val="00AC766D"/>
    <w:rsid w:val="00AD297E"/>
    <w:rsid w:val="00AD5779"/>
    <w:rsid w:val="00AD778F"/>
    <w:rsid w:val="00AE0F80"/>
    <w:rsid w:val="00AE2100"/>
    <w:rsid w:val="00AF03BC"/>
    <w:rsid w:val="00AF1442"/>
    <w:rsid w:val="00AF331D"/>
    <w:rsid w:val="00AF4F75"/>
    <w:rsid w:val="00AF6E0A"/>
    <w:rsid w:val="00B03D6B"/>
    <w:rsid w:val="00B078AB"/>
    <w:rsid w:val="00B219C8"/>
    <w:rsid w:val="00B2413C"/>
    <w:rsid w:val="00B2445F"/>
    <w:rsid w:val="00B33F88"/>
    <w:rsid w:val="00B40664"/>
    <w:rsid w:val="00B426DB"/>
    <w:rsid w:val="00B42B4C"/>
    <w:rsid w:val="00B44FA2"/>
    <w:rsid w:val="00B501F5"/>
    <w:rsid w:val="00B505AE"/>
    <w:rsid w:val="00B51162"/>
    <w:rsid w:val="00B526F3"/>
    <w:rsid w:val="00B56E18"/>
    <w:rsid w:val="00B577BD"/>
    <w:rsid w:val="00B600A3"/>
    <w:rsid w:val="00B6570F"/>
    <w:rsid w:val="00B73C40"/>
    <w:rsid w:val="00B81251"/>
    <w:rsid w:val="00B81CCE"/>
    <w:rsid w:val="00B848D2"/>
    <w:rsid w:val="00B93DCD"/>
    <w:rsid w:val="00BA1894"/>
    <w:rsid w:val="00BA18AC"/>
    <w:rsid w:val="00BA2902"/>
    <w:rsid w:val="00BA3936"/>
    <w:rsid w:val="00BA5A47"/>
    <w:rsid w:val="00BB09A1"/>
    <w:rsid w:val="00BB31C6"/>
    <w:rsid w:val="00BB3896"/>
    <w:rsid w:val="00BC02B8"/>
    <w:rsid w:val="00BC20DE"/>
    <w:rsid w:val="00BC214F"/>
    <w:rsid w:val="00BC2BEF"/>
    <w:rsid w:val="00BC668B"/>
    <w:rsid w:val="00BC6FD8"/>
    <w:rsid w:val="00BD18BD"/>
    <w:rsid w:val="00BD2BFB"/>
    <w:rsid w:val="00BD6052"/>
    <w:rsid w:val="00BE1AF7"/>
    <w:rsid w:val="00BE2C56"/>
    <w:rsid w:val="00BE46FC"/>
    <w:rsid w:val="00BE6CBA"/>
    <w:rsid w:val="00BF03DF"/>
    <w:rsid w:val="00BF0A6A"/>
    <w:rsid w:val="00BF13CB"/>
    <w:rsid w:val="00C002BC"/>
    <w:rsid w:val="00C0203C"/>
    <w:rsid w:val="00C05150"/>
    <w:rsid w:val="00C125C2"/>
    <w:rsid w:val="00C12CC1"/>
    <w:rsid w:val="00C12DF4"/>
    <w:rsid w:val="00C22442"/>
    <w:rsid w:val="00C22ADC"/>
    <w:rsid w:val="00C24C1E"/>
    <w:rsid w:val="00C26405"/>
    <w:rsid w:val="00C26C33"/>
    <w:rsid w:val="00C27309"/>
    <w:rsid w:val="00C32037"/>
    <w:rsid w:val="00C37457"/>
    <w:rsid w:val="00C41431"/>
    <w:rsid w:val="00C41B53"/>
    <w:rsid w:val="00C42DC7"/>
    <w:rsid w:val="00C445C8"/>
    <w:rsid w:val="00C45071"/>
    <w:rsid w:val="00C461EF"/>
    <w:rsid w:val="00C46A17"/>
    <w:rsid w:val="00C530C0"/>
    <w:rsid w:val="00C55EEA"/>
    <w:rsid w:val="00C60532"/>
    <w:rsid w:val="00C61E59"/>
    <w:rsid w:val="00C62014"/>
    <w:rsid w:val="00C620BA"/>
    <w:rsid w:val="00C6430A"/>
    <w:rsid w:val="00C669D2"/>
    <w:rsid w:val="00C670E8"/>
    <w:rsid w:val="00C70398"/>
    <w:rsid w:val="00C70628"/>
    <w:rsid w:val="00C75E87"/>
    <w:rsid w:val="00C771AA"/>
    <w:rsid w:val="00C826D9"/>
    <w:rsid w:val="00C8449A"/>
    <w:rsid w:val="00C84D58"/>
    <w:rsid w:val="00C879FE"/>
    <w:rsid w:val="00C932D7"/>
    <w:rsid w:val="00C93458"/>
    <w:rsid w:val="00C93D2F"/>
    <w:rsid w:val="00C97360"/>
    <w:rsid w:val="00CA1737"/>
    <w:rsid w:val="00CA339D"/>
    <w:rsid w:val="00CA424B"/>
    <w:rsid w:val="00CA67FF"/>
    <w:rsid w:val="00CB28AC"/>
    <w:rsid w:val="00CB2FAA"/>
    <w:rsid w:val="00CB4624"/>
    <w:rsid w:val="00CB5D22"/>
    <w:rsid w:val="00CB7DB1"/>
    <w:rsid w:val="00CB7EA7"/>
    <w:rsid w:val="00CC0854"/>
    <w:rsid w:val="00CC5840"/>
    <w:rsid w:val="00CC69E5"/>
    <w:rsid w:val="00CD75B5"/>
    <w:rsid w:val="00CE01B0"/>
    <w:rsid w:val="00CE236C"/>
    <w:rsid w:val="00CE2727"/>
    <w:rsid w:val="00CE4E32"/>
    <w:rsid w:val="00CE6F72"/>
    <w:rsid w:val="00D00168"/>
    <w:rsid w:val="00D00558"/>
    <w:rsid w:val="00D00609"/>
    <w:rsid w:val="00D054A3"/>
    <w:rsid w:val="00D06C69"/>
    <w:rsid w:val="00D1501F"/>
    <w:rsid w:val="00D24C3D"/>
    <w:rsid w:val="00D27515"/>
    <w:rsid w:val="00D30F9F"/>
    <w:rsid w:val="00D310E7"/>
    <w:rsid w:val="00D425A7"/>
    <w:rsid w:val="00D447FF"/>
    <w:rsid w:val="00D51C7A"/>
    <w:rsid w:val="00D51D94"/>
    <w:rsid w:val="00D5394A"/>
    <w:rsid w:val="00D5486C"/>
    <w:rsid w:val="00D61EAA"/>
    <w:rsid w:val="00D63472"/>
    <w:rsid w:val="00D65727"/>
    <w:rsid w:val="00D660B9"/>
    <w:rsid w:val="00D81F92"/>
    <w:rsid w:val="00D83067"/>
    <w:rsid w:val="00D8361F"/>
    <w:rsid w:val="00D83F18"/>
    <w:rsid w:val="00D84CE1"/>
    <w:rsid w:val="00D87D69"/>
    <w:rsid w:val="00D903B2"/>
    <w:rsid w:val="00DA023B"/>
    <w:rsid w:val="00DA1BA9"/>
    <w:rsid w:val="00DA2FB5"/>
    <w:rsid w:val="00DA3CCD"/>
    <w:rsid w:val="00DA60D6"/>
    <w:rsid w:val="00DA64D7"/>
    <w:rsid w:val="00DB313C"/>
    <w:rsid w:val="00DB35C8"/>
    <w:rsid w:val="00DB71B0"/>
    <w:rsid w:val="00DB7386"/>
    <w:rsid w:val="00DB7D2C"/>
    <w:rsid w:val="00DC4221"/>
    <w:rsid w:val="00DC638A"/>
    <w:rsid w:val="00DC7081"/>
    <w:rsid w:val="00DD0DA2"/>
    <w:rsid w:val="00DD0F4D"/>
    <w:rsid w:val="00DD4B42"/>
    <w:rsid w:val="00DD5326"/>
    <w:rsid w:val="00DE0E8A"/>
    <w:rsid w:val="00DE0F31"/>
    <w:rsid w:val="00DE12DD"/>
    <w:rsid w:val="00DE1300"/>
    <w:rsid w:val="00DE38C0"/>
    <w:rsid w:val="00DE41ED"/>
    <w:rsid w:val="00DE7E18"/>
    <w:rsid w:val="00E02A6F"/>
    <w:rsid w:val="00E02F67"/>
    <w:rsid w:val="00E0371B"/>
    <w:rsid w:val="00E043A7"/>
    <w:rsid w:val="00E0556C"/>
    <w:rsid w:val="00E10AB5"/>
    <w:rsid w:val="00E1187F"/>
    <w:rsid w:val="00E1606D"/>
    <w:rsid w:val="00E167A7"/>
    <w:rsid w:val="00E255AE"/>
    <w:rsid w:val="00E2736A"/>
    <w:rsid w:val="00E27592"/>
    <w:rsid w:val="00E30E83"/>
    <w:rsid w:val="00E32957"/>
    <w:rsid w:val="00E333B5"/>
    <w:rsid w:val="00E40A5A"/>
    <w:rsid w:val="00E41877"/>
    <w:rsid w:val="00E424AD"/>
    <w:rsid w:val="00E46B3D"/>
    <w:rsid w:val="00E51FAE"/>
    <w:rsid w:val="00E53D03"/>
    <w:rsid w:val="00E54EDD"/>
    <w:rsid w:val="00E55F31"/>
    <w:rsid w:val="00E67267"/>
    <w:rsid w:val="00E67A48"/>
    <w:rsid w:val="00E72817"/>
    <w:rsid w:val="00E77CAD"/>
    <w:rsid w:val="00E8652E"/>
    <w:rsid w:val="00E91FCA"/>
    <w:rsid w:val="00E920EA"/>
    <w:rsid w:val="00E92EA5"/>
    <w:rsid w:val="00E939A8"/>
    <w:rsid w:val="00E9733B"/>
    <w:rsid w:val="00EA30A3"/>
    <w:rsid w:val="00EB0962"/>
    <w:rsid w:val="00EB0AE9"/>
    <w:rsid w:val="00EB4E99"/>
    <w:rsid w:val="00EC2124"/>
    <w:rsid w:val="00EC3D1C"/>
    <w:rsid w:val="00EC638A"/>
    <w:rsid w:val="00ED2AF8"/>
    <w:rsid w:val="00ED46C1"/>
    <w:rsid w:val="00ED7F87"/>
    <w:rsid w:val="00EE3CBA"/>
    <w:rsid w:val="00EF0EA2"/>
    <w:rsid w:val="00EF2139"/>
    <w:rsid w:val="00EF5719"/>
    <w:rsid w:val="00EF58CD"/>
    <w:rsid w:val="00EF74C9"/>
    <w:rsid w:val="00F01B02"/>
    <w:rsid w:val="00F049D9"/>
    <w:rsid w:val="00F04C1B"/>
    <w:rsid w:val="00F074E9"/>
    <w:rsid w:val="00F12BA3"/>
    <w:rsid w:val="00F12E52"/>
    <w:rsid w:val="00F15EA2"/>
    <w:rsid w:val="00F2087B"/>
    <w:rsid w:val="00F301D3"/>
    <w:rsid w:val="00F32E8E"/>
    <w:rsid w:val="00F32F85"/>
    <w:rsid w:val="00F36030"/>
    <w:rsid w:val="00F365E3"/>
    <w:rsid w:val="00F43CF0"/>
    <w:rsid w:val="00F44800"/>
    <w:rsid w:val="00F4799D"/>
    <w:rsid w:val="00F513DA"/>
    <w:rsid w:val="00F515C2"/>
    <w:rsid w:val="00F5359B"/>
    <w:rsid w:val="00F5362C"/>
    <w:rsid w:val="00F5624A"/>
    <w:rsid w:val="00F57A92"/>
    <w:rsid w:val="00F60108"/>
    <w:rsid w:val="00F6789A"/>
    <w:rsid w:val="00F70329"/>
    <w:rsid w:val="00F73C3C"/>
    <w:rsid w:val="00F74368"/>
    <w:rsid w:val="00F74BE4"/>
    <w:rsid w:val="00F77C11"/>
    <w:rsid w:val="00F908B3"/>
    <w:rsid w:val="00F910F8"/>
    <w:rsid w:val="00F958A4"/>
    <w:rsid w:val="00F96F5E"/>
    <w:rsid w:val="00F971C5"/>
    <w:rsid w:val="00F974CC"/>
    <w:rsid w:val="00FA1018"/>
    <w:rsid w:val="00FA2D74"/>
    <w:rsid w:val="00FA2FC0"/>
    <w:rsid w:val="00FA694B"/>
    <w:rsid w:val="00FB1678"/>
    <w:rsid w:val="00FB17ED"/>
    <w:rsid w:val="00FC5AAA"/>
    <w:rsid w:val="00FC6851"/>
    <w:rsid w:val="00FC7750"/>
    <w:rsid w:val="00FD04CA"/>
    <w:rsid w:val="00FD3CB7"/>
    <w:rsid w:val="00FD57E2"/>
    <w:rsid w:val="00FD7174"/>
    <w:rsid w:val="00FE0AC9"/>
    <w:rsid w:val="00FE1CC0"/>
    <w:rsid w:val="00FE3473"/>
    <w:rsid w:val="00FE3D22"/>
    <w:rsid w:val="00FE50DE"/>
    <w:rsid w:val="00FE7957"/>
    <w:rsid w:val="00FF6165"/>
    <w:rsid w:val="00FF699B"/>
    <w:rsid w:val="00FF74E8"/>
    <w:rsid w:val="00FF77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D2C9389"/>
  <w15:chartTrackingRefBased/>
  <w15:docId w15:val="{229A3417-B0E2-469D-8264-25CD90FD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99D"/>
    <w:pPr>
      <w:spacing w:after="200" w:line="240" w:lineRule="auto"/>
      <w:jc w:val="both"/>
    </w:pPr>
    <w:rPr>
      <w:rFonts w:ascii="Leelawadee" w:hAnsi="Leelawadee" w:cs="Leelawadee"/>
      <w:sz w:val="20"/>
    </w:rPr>
  </w:style>
  <w:style w:type="paragraph" w:styleId="Ttulo1">
    <w:name w:val="heading 1"/>
    <w:basedOn w:val="Normal"/>
    <w:next w:val="Normal"/>
    <w:link w:val="Ttulo1Char"/>
    <w:qFormat/>
    <w:rsid w:val="008070D5"/>
    <w:pPr>
      <w:pageBreakBefore/>
      <w:pBdr>
        <w:bottom w:val="single" w:sz="8" w:space="1" w:color="0082CB"/>
      </w:pBdr>
      <w:jc w:val="center"/>
      <w:outlineLvl w:val="0"/>
    </w:pPr>
    <w:rPr>
      <w:rFonts w:asciiTheme="minorHAnsi" w:hAnsiTheme="minorHAnsi" w:cstheme="minorHAnsi"/>
      <w:b/>
      <w:color w:val="0082CB"/>
    </w:rPr>
  </w:style>
  <w:style w:type="paragraph" w:styleId="Ttulo2">
    <w:name w:val="heading 2"/>
    <w:basedOn w:val="Normal"/>
    <w:next w:val="Normal"/>
    <w:link w:val="Ttulo2Char"/>
    <w:qFormat/>
    <w:rsid w:val="00034CB1"/>
    <w:pPr>
      <w:outlineLvl w:val="1"/>
    </w:pPr>
    <w:rPr>
      <w:rFonts w:asciiTheme="minorHAnsi" w:eastAsia="Times New Roman" w:hAnsiTheme="minorHAnsi" w:cstheme="minorHAnsi"/>
      <w:b/>
      <w:bCs/>
      <w:szCs w:val="20"/>
      <w:lang w:eastAsia="pt-BR"/>
    </w:rPr>
  </w:style>
  <w:style w:type="paragraph" w:styleId="Ttulo3">
    <w:name w:val="heading 3"/>
    <w:basedOn w:val="Normal"/>
    <w:next w:val="Normal"/>
    <w:link w:val="Ttulo3Char"/>
    <w:qFormat/>
    <w:rsid w:val="00FC6851"/>
    <w:pPr>
      <w:widowControl w:val="0"/>
      <w:tabs>
        <w:tab w:val="left" w:pos="851"/>
      </w:tabs>
      <w:autoSpaceDE w:val="0"/>
      <w:autoSpaceDN w:val="0"/>
      <w:outlineLvl w:val="2"/>
    </w:pPr>
    <w:rPr>
      <w:rFonts w:eastAsia="Times New Roman" w:cstheme="minorHAnsi"/>
      <w:b/>
      <w:bCs/>
      <w:iCs/>
      <w:szCs w:val="20"/>
      <w:lang w:eastAsia="pt-BR"/>
    </w:rPr>
  </w:style>
  <w:style w:type="paragraph" w:styleId="Ttulo4">
    <w:name w:val="heading 4"/>
    <w:basedOn w:val="Normal"/>
    <w:next w:val="Normal"/>
    <w:link w:val="Ttulo4Char"/>
    <w:qFormat/>
    <w:rsid w:val="00FC6851"/>
    <w:pPr>
      <w:outlineLvl w:val="3"/>
    </w:pPr>
    <w:rPr>
      <w:rFonts w:eastAsiaTheme="majorEastAsia" w:cstheme="minorHAnsi"/>
      <w:b/>
      <w:i/>
      <w:szCs w:val="20"/>
      <w:lang w:eastAsia="pt-BR"/>
    </w:rPr>
  </w:style>
  <w:style w:type="paragraph" w:styleId="Ttulo5">
    <w:name w:val="heading 5"/>
    <w:basedOn w:val="Normal"/>
    <w:next w:val="Normal"/>
    <w:link w:val="Ttulo5Char"/>
    <w:unhideWhenUsed/>
    <w:qFormat/>
    <w:rsid w:val="0053704D"/>
    <w:pPr>
      <w:keepNext/>
      <w:keepLines/>
      <w:spacing w:before="40" w:after="0"/>
      <w:outlineLvl w:val="4"/>
    </w:pPr>
    <w:rPr>
      <w:rFonts w:asciiTheme="majorHAnsi" w:eastAsiaTheme="majorEastAsia" w:hAnsiTheme="majorHAnsi" w:cstheme="majorBidi"/>
      <w:color w:val="2F5496" w:themeColor="accent1" w:themeShade="BF"/>
      <w:szCs w:val="20"/>
      <w:lang w:eastAsia="pt-BR"/>
    </w:rPr>
  </w:style>
  <w:style w:type="paragraph" w:styleId="Ttulo6">
    <w:name w:val="heading 6"/>
    <w:basedOn w:val="Normal"/>
    <w:next w:val="Normal"/>
    <w:link w:val="Ttulo6Char"/>
    <w:unhideWhenUsed/>
    <w:qFormat/>
    <w:rsid w:val="0053704D"/>
    <w:pPr>
      <w:keepNext/>
      <w:keepLines/>
      <w:spacing w:before="40" w:after="0"/>
      <w:outlineLvl w:val="5"/>
    </w:pPr>
    <w:rPr>
      <w:rFonts w:asciiTheme="majorHAnsi" w:eastAsiaTheme="majorEastAsia" w:hAnsiTheme="majorHAnsi" w:cstheme="majorBidi"/>
      <w:color w:val="1F3763" w:themeColor="accent1" w:themeShade="7F"/>
      <w:szCs w:val="20"/>
      <w:lang w:eastAsia="pt-BR"/>
    </w:rPr>
  </w:style>
  <w:style w:type="paragraph" w:styleId="Ttulo7">
    <w:name w:val="heading 7"/>
    <w:basedOn w:val="Normal"/>
    <w:next w:val="Normal"/>
    <w:link w:val="Ttulo7Char"/>
    <w:unhideWhenUsed/>
    <w:qFormat/>
    <w:rsid w:val="0053704D"/>
    <w:pPr>
      <w:keepNext/>
      <w:keepLines/>
      <w:spacing w:before="40" w:after="0"/>
      <w:outlineLvl w:val="6"/>
    </w:pPr>
    <w:rPr>
      <w:rFonts w:asciiTheme="majorHAnsi" w:eastAsiaTheme="majorEastAsia" w:hAnsiTheme="majorHAnsi" w:cstheme="majorBidi"/>
      <w:i/>
      <w:iCs/>
      <w:color w:val="1F3763" w:themeColor="accent1" w:themeShade="7F"/>
      <w:szCs w:val="20"/>
      <w:lang w:eastAsia="pt-BR"/>
    </w:rPr>
  </w:style>
  <w:style w:type="paragraph" w:styleId="Ttulo8">
    <w:name w:val="heading 8"/>
    <w:basedOn w:val="Normal"/>
    <w:next w:val="Normal"/>
    <w:link w:val="Ttulo8Char"/>
    <w:unhideWhenUsed/>
    <w:qFormat/>
    <w:rsid w:val="0053704D"/>
    <w:pPr>
      <w:framePr w:hSpace="141" w:wrap="around" w:vAnchor="text" w:hAnchor="text" w:y="1"/>
      <w:adjustRightInd w:val="0"/>
      <w:spacing w:before="80" w:after="80"/>
      <w:suppressOverlap/>
      <w:outlineLvl w:val="7"/>
    </w:pPr>
    <w:rPr>
      <w:rFonts w:ascii="Times New Roman" w:eastAsia="MS Mincho" w:hAnsi="Times New Roman" w:cs="Times New Roman"/>
      <w:b/>
      <w:bCs/>
      <w:color w:val="000000"/>
      <w:szCs w:val="20"/>
      <w:lang w:eastAsia="pt-BR"/>
    </w:rPr>
  </w:style>
  <w:style w:type="paragraph" w:styleId="Ttulo9">
    <w:name w:val="heading 9"/>
    <w:basedOn w:val="Normal"/>
    <w:next w:val="Normal"/>
    <w:link w:val="Ttulo9Char"/>
    <w:qFormat/>
    <w:rsid w:val="0053704D"/>
    <w:pPr>
      <w:keepNext/>
      <w:spacing w:before="120" w:after="0"/>
      <w:ind w:left="993"/>
      <w:jc w:val="center"/>
      <w:outlineLvl w:val="8"/>
    </w:pPr>
    <w:rPr>
      <w:rFonts w:ascii="Times New Roman" w:eastAsia="Times New Roman" w:hAnsi="Times New Roman" w:cs="Times New Roman"/>
      <w:b/>
      <w:color w:val="000000"/>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070D5"/>
    <w:rPr>
      <w:rFonts w:cstheme="minorHAnsi"/>
      <w:b/>
      <w:color w:val="0082CB"/>
      <w:sz w:val="20"/>
    </w:rPr>
  </w:style>
  <w:style w:type="character" w:customStyle="1" w:styleId="Ttulo2Char">
    <w:name w:val="Título 2 Char"/>
    <w:basedOn w:val="Fontepargpadro"/>
    <w:link w:val="Ttulo2"/>
    <w:rsid w:val="00034CB1"/>
    <w:rPr>
      <w:rFonts w:eastAsia="Times New Roman" w:cstheme="minorHAnsi"/>
      <w:b/>
      <w:bCs/>
      <w:sz w:val="20"/>
      <w:szCs w:val="20"/>
      <w:lang w:eastAsia="pt-BR"/>
    </w:rPr>
  </w:style>
  <w:style w:type="character" w:customStyle="1" w:styleId="Ttulo3Char">
    <w:name w:val="Título 3 Char"/>
    <w:basedOn w:val="Fontepargpadro"/>
    <w:link w:val="Ttulo3"/>
    <w:rsid w:val="00FC6851"/>
    <w:rPr>
      <w:rFonts w:eastAsia="Times New Roman" w:cstheme="minorHAnsi"/>
      <w:b/>
      <w:bCs/>
      <w:iCs/>
      <w:sz w:val="20"/>
      <w:szCs w:val="20"/>
      <w:lang w:eastAsia="pt-BR"/>
    </w:rPr>
  </w:style>
  <w:style w:type="character" w:customStyle="1" w:styleId="Ttulo4Char">
    <w:name w:val="Título 4 Char"/>
    <w:basedOn w:val="Fontepargpadro"/>
    <w:link w:val="Ttulo4"/>
    <w:rsid w:val="00FC6851"/>
    <w:rPr>
      <w:rFonts w:eastAsiaTheme="majorEastAsia" w:cstheme="minorHAnsi"/>
      <w:b/>
      <w:i/>
      <w:sz w:val="20"/>
      <w:szCs w:val="20"/>
      <w:lang w:eastAsia="pt-BR"/>
    </w:rPr>
  </w:style>
  <w:style w:type="character" w:customStyle="1" w:styleId="Ttulo5Char">
    <w:name w:val="Título 5 Char"/>
    <w:basedOn w:val="Fontepargpadro"/>
    <w:link w:val="Ttulo5"/>
    <w:rsid w:val="0053704D"/>
    <w:rPr>
      <w:rFonts w:asciiTheme="majorHAnsi" w:eastAsiaTheme="majorEastAsia" w:hAnsiTheme="majorHAnsi" w:cstheme="majorBidi"/>
      <w:color w:val="2F5496" w:themeColor="accent1" w:themeShade="BF"/>
      <w:sz w:val="20"/>
      <w:szCs w:val="20"/>
      <w:lang w:eastAsia="pt-BR"/>
    </w:rPr>
  </w:style>
  <w:style w:type="character" w:customStyle="1" w:styleId="Ttulo6Char">
    <w:name w:val="Título 6 Char"/>
    <w:basedOn w:val="Fontepargpadro"/>
    <w:link w:val="Ttulo6"/>
    <w:rsid w:val="0053704D"/>
    <w:rPr>
      <w:rFonts w:asciiTheme="majorHAnsi" w:eastAsiaTheme="majorEastAsia" w:hAnsiTheme="majorHAnsi" w:cstheme="majorBidi"/>
      <w:color w:val="1F3763" w:themeColor="accent1" w:themeShade="7F"/>
      <w:sz w:val="20"/>
      <w:szCs w:val="20"/>
      <w:lang w:eastAsia="pt-BR"/>
    </w:rPr>
  </w:style>
  <w:style w:type="character" w:customStyle="1" w:styleId="Ttulo7Char">
    <w:name w:val="Título 7 Char"/>
    <w:basedOn w:val="Fontepargpadro"/>
    <w:link w:val="Ttulo7"/>
    <w:rsid w:val="0053704D"/>
    <w:rPr>
      <w:rFonts w:asciiTheme="majorHAnsi" w:eastAsiaTheme="majorEastAsia" w:hAnsiTheme="majorHAnsi" w:cstheme="majorBidi"/>
      <w:i/>
      <w:iCs/>
      <w:color w:val="1F3763" w:themeColor="accent1" w:themeShade="7F"/>
      <w:sz w:val="20"/>
      <w:szCs w:val="20"/>
      <w:lang w:eastAsia="pt-BR"/>
    </w:rPr>
  </w:style>
  <w:style w:type="character" w:customStyle="1" w:styleId="Ttulo8Char">
    <w:name w:val="Título 8 Char"/>
    <w:basedOn w:val="Fontepargpadro"/>
    <w:link w:val="Ttulo8"/>
    <w:rsid w:val="0053704D"/>
    <w:rPr>
      <w:rFonts w:ascii="Times New Roman" w:eastAsia="MS Mincho" w:hAnsi="Times New Roman" w:cs="Times New Roman"/>
      <w:b/>
      <w:bCs/>
      <w:color w:val="000000"/>
      <w:sz w:val="20"/>
      <w:szCs w:val="20"/>
      <w:lang w:eastAsia="pt-BR"/>
    </w:rPr>
  </w:style>
  <w:style w:type="character" w:customStyle="1" w:styleId="Ttulo9Char">
    <w:name w:val="Título 9 Char"/>
    <w:basedOn w:val="Fontepargpadro"/>
    <w:link w:val="Ttulo9"/>
    <w:rsid w:val="0053704D"/>
    <w:rPr>
      <w:rFonts w:ascii="Times New Roman" w:eastAsia="Times New Roman" w:hAnsi="Times New Roman" w:cs="Times New Roman"/>
      <w:b/>
      <w:color w:val="000000"/>
      <w:sz w:val="24"/>
      <w:szCs w:val="20"/>
    </w:rPr>
  </w:style>
  <w:style w:type="numbering" w:customStyle="1" w:styleId="Semlista1">
    <w:name w:val="Sem lista1"/>
    <w:next w:val="Semlista"/>
    <w:uiPriority w:val="99"/>
    <w:semiHidden/>
    <w:unhideWhenUsed/>
    <w:rsid w:val="0053704D"/>
  </w:style>
  <w:style w:type="paragraph" w:customStyle="1" w:styleId="SombreamentoEscuro-nfase11">
    <w:name w:val="Sombreamento Escuro - Ênfase 11"/>
    <w:hidden/>
    <w:uiPriority w:val="99"/>
    <w:semiHidden/>
    <w:rsid w:val="0053704D"/>
    <w:pPr>
      <w:spacing w:after="0" w:line="240" w:lineRule="auto"/>
      <w:jc w:val="both"/>
    </w:pPr>
    <w:rPr>
      <w:rFonts w:ascii="Times New Roman" w:eastAsia="ヒラギノ角ゴ Pro W3" w:hAnsi="Times New Roman" w:cs="Times New Roman"/>
      <w:color w:val="000000"/>
      <w:sz w:val="24"/>
      <w:szCs w:val="24"/>
    </w:rPr>
  </w:style>
  <w:style w:type="paragraph" w:customStyle="1" w:styleId="SombreamentoEscuro-nfase12">
    <w:name w:val="Sombreamento Escuro - Ênfase 12"/>
    <w:hidden/>
    <w:uiPriority w:val="99"/>
    <w:semiHidden/>
    <w:rsid w:val="0053704D"/>
    <w:pPr>
      <w:spacing w:after="0" w:line="240" w:lineRule="auto"/>
      <w:jc w:val="both"/>
    </w:pPr>
    <w:rPr>
      <w:rFonts w:ascii="Times New Roman" w:eastAsia="ヒラギノ角ゴ Pro W3" w:hAnsi="Times New Roman" w:cs="Times New Roman"/>
      <w:color w:val="000000"/>
      <w:sz w:val="24"/>
      <w:szCs w:val="24"/>
    </w:rPr>
  </w:style>
  <w:style w:type="paragraph" w:styleId="Reviso">
    <w:name w:val="Revision"/>
    <w:hidden/>
    <w:uiPriority w:val="99"/>
    <w:unhideWhenUsed/>
    <w:rsid w:val="0053704D"/>
    <w:pPr>
      <w:spacing w:after="0" w:line="240" w:lineRule="auto"/>
      <w:jc w:val="both"/>
    </w:pPr>
    <w:rPr>
      <w:rFonts w:ascii="Trebuchet MS" w:eastAsia="ヒラギノ角ゴ Pro W3" w:hAnsi="Trebuchet MS" w:cs="Times New Roman"/>
      <w:color w:val="000000"/>
      <w:sz w:val="20"/>
      <w:szCs w:val="24"/>
    </w:rPr>
  </w:style>
  <w:style w:type="paragraph" w:customStyle="1" w:styleId="CommentText1">
    <w:name w:val="Comment Text1"/>
    <w:basedOn w:val="Normal"/>
    <w:hidden/>
    <w:uiPriority w:val="99"/>
    <w:rsid w:val="0053704D"/>
    <w:pPr>
      <w:adjustRightInd w:val="0"/>
      <w:spacing w:after="0"/>
    </w:pPr>
    <w:rPr>
      <w:rFonts w:ascii="Times New Roman" w:eastAsia="Times New Roman" w:hAnsi="Times New Roman" w:cs="Times New Roman"/>
      <w:szCs w:val="20"/>
      <w:lang w:eastAsia="pt-BR"/>
    </w:rPr>
  </w:style>
  <w:style w:type="paragraph" w:customStyle="1" w:styleId="MediumList2-Accent21">
    <w:name w:val="Medium List 2 - Accent 21"/>
    <w:hidden/>
    <w:uiPriority w:val="99"/>
    <w:semiHidden/>
    <w:rsid w:val="0053704D"/>
    <w:pPr>
      <w:spacing w:after="0" w:line="240" w:lineRule="exact"/>
      <w:jc w:val="both"/>
    </w:pPr>
    <w:rPr>
      <w:rFonts w:ascii="Times New Roman" w:eastAsia="MS Mincho" w:hAnsi="Times New Roman" w:cs="Times New Roman"/>
      <w:sz w:val="24"/>
      <w:szCs w:val="24"/>
      <w:lang w:eastAsia="pt-BR"/>
    </w:rPr>
  </w:style>
  <w:style w:type="paragraph" w:customStyle="1" w:styleId="ListaMdia1-nfase41">
    <w:name w:val="Lista Média 1 - Ênfase 41"/>
    <w:hidden/>
    <w:uiPriority w:val="99"/>
    <w:semiHidden/>
    <w:rsid w:val="0053704D"/>
    <w:pPr>
      <w:spacing w:after="0" w:line="240" w:lineRule="exact"/>
      <w:jc w:val="both"/>
    </w:pPr>
    <w:rPr>
      <w:rFonts w:ascii="Times New Roman" w:eastAsia="MS Mincho" w:hAnsi="Times New Roman" w:cs="Times New Roman"/>
      <w:sz w:val="24"/>
      <w:szCs w:val="24"/>
      <w:lang w:eastAsia="pt-BR"/>
    </w:rPr>
  </w:style>
  <w:style w:type="paragraph" w:customStyle="1" w:styleId="ListaEscura-nfase31">
    <w:name w:val="Lista Escura - Ênfase 31"/>
    <w:hidden/>
    <w:uiPriority w:val="99"/>
    <w:semiHidden/>
    <w:rsid w:val="0053704D"/>
    <w:pPr>
      <w:spacing w:after="0" w:line="240" w:lineRule="exact"/>
      <w:jc w:val="both"/>
    </w:pPr>
    <w:rPr>
      <w:rFonts w:ascii="Times New Roman" w:eastAsia="MS Mincho" w:hAnsi="Times New Roman" w:cs="Times New Roman"/>
      <w:sz w:val="24"/>
      <w:szCs w:val="24"/>
      <w:lang w:eastAsia="pt-BR"/>
    </w:rPr>
  </w:style>
  <w:style w:type="paragraph" w:customStyle="1" w:styleId="ListaClara-nfase31">
    <w:name w:val="Lista Clara - Ênfase 31"/>
    <w:hidden/>
    <w:uiPriority w:val="99"/>
    <w:semiHidden/>
    <w:rsid w:val="0053704D"/>
    <w:pPr>
      <w:spacing w:after="0" w:line="240" w:lineRule="exact"/>
      <w:jc w:val="both"/>
    </w:pPr>
    <w:rPr>
      <w:rFonts w:ascii="Times New Roman" w:eastAsia="MS Mincho" w:hAnsi="Times New Roman" w:cs="Times New Roman"/>
      <w:sz w:val="24"/>
      <w:szCs w:val="24"/>
      <w:lang w:eastAsia="pt-BR"/>
    </w:rPr>
  </w:style>
  <w:style w:type="paragraph" w:customStyle="1" w:styleId="ListaMdia2-nfase21">
    <w:name w:val="Lista Média 2 - Ênfase 21"/>
    <w:hidden/>
    <w:rsid w:val="0053704D"/>
    <w:pPr>
      <w:spacing w:after="0" w:line="240" w:lineRule="exact"/>
      <w:jc w:val="both"/>
    </w:pPr>
    <w:rPr>
      <w:rFonts w:ascii="Times New Roman" w:eastAsia="MS Mincho" w:hAnsi="Times New Roman" w:cs="Times New Roman"/>
      <w:sz w:val="24"/>
      <w:szCs w:val="24"/>
      <w:lang w:eastAsia="pt-BR"/>
    </w:rPr>
  </w:style>
  <w:style w:type="paragraph" w:customStyle="1" w:styleId="SombreamentoEscuro-nfase111">
    <w:name w:val="Sombreamento Escuro - Ênfase 111"/>
    <w:hidden/>
    <w:uiPriority w:val="99"/>
    <w:semiHidden/>
    <w:rsid w:val="0053704D"/>
    <w:pPr>
      <w:widowControl w:val="0"/>
      <w:adjustRightInd w:val="0"/>
      <w:spacing w:after="0" w:line="360" w:lineRule="atLeast"/>
      <w:jc w:val="both"/>
      <w:textAlignment w:val="baseline"/>
    </w:pPr>
    <w:rPr>
      <w:rFonts w:ascii="Times New Roman" w:eastAsia="Times New Roman" w:hAnsi="Times New Roman" w:cs="Times New Roman"/>
      <w:sz w:val="24"/>
      <w:szCs w:val="24"/>
      <w:lang w:eastAsia="pt-BR"/>
    </w:rPr>
  </w:style>
  <w:style w:type="paragraph" w:styleId="Cabealho">
    <w:name w:val="header"/>
    <w:aliases w:val="Cabeçalho1"/>
    <w:basedOn w:val="Normal"/>
    <w:link w:val="CabealhoChar"/>
    <w:uiPriority w:val="99"/>
    <w:unhideWhenUsed/>
    <w:rsid w:val="0053704D"/>
    <w:pPr>
      <w:tabs>
        <w:tab w:val="center" w:pos="4252"/>
        <w:tab w:val="right" w:pos="8504"/>
      </w:tabs>
      <w:spacing w:after="0"/>
    </w:pPr>
  </w:style>
  <w:style w:type="character" w:customStyle="1" w:styleId="CabealhoChar">
    <w:name w:val="Cabeçalho Char"/>
    <w:aliases w:val="Cabeçalho1 Char"/>
    <w:basedOn w:val="Fontepargpadro"/>
    <w:link w:val="Cabealho"/>
    <w:uiPriority w:val="99"/>
    <w:rsid w:val="0053704D"/>
    <w:rPr>
      <w:rFonts w:ascii="Leelawadee" w:hAnsi="Leelawadee" w:cs="Leelawadee"/>
    </w:rPr>
  </w:style>
  <w:style w:type="paragraph" w:styleId="Rodap">
    <w:name w:val="footer"/>
    <w:basedOn w:val="Normal"/>
    <w:link w:val="RodapChar"/>
    <w:uiPriority w:val="99"/>
    <w:unhideWhenUsed/>
    <w:rsid w:val="0053704D"/>
    <w:pPr>
      <w:tabs>
        <w:tab w:val="center" w:pos="4252"/>
        <w:tab w:val="right" w:pos="8504"/>
      </w:tabs>
      <w:spacing w:after="0"/>
    </w:pPr>
  </w:style>
  <w:style w:type="character" w:customStyle="1" w:styleId="RodapChar">
    <w:name w:val="Rodapé Char"/>
    <w:basedOn w:val="Fontepargpadro"/>
    <w:link w:val="Rodap"/>
    <w:uiPriority w:val="99"/>
    <w:rsid w:val="0053704D"/>
    <w:rPr>
      <w:rFonts w:ascii="Leelawadee" w:hAnsi="Leelawadee" w:cs="Leelawadee"/>
    </w:rPr>
  </w:style>
  <w:style w:type="table" w:styleId="Tabelacomgrade">
    <w:name w:val="Table Grid"/>
    <w:basedOn w:val="Tabelanormal"/>
    <w:uiPriority w:val="59"/>
    <w:rsid w:val="00814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1,?????1,Bullet List,Bulletr List Paragraph,Bullets 1,Capítulo,FooterText,Itemização,List Paragraph11,List Paragraph_0,Lists,Meu,Normal numerado,Nível 1,Paragraphe de liste1,Párrafo de lista1,Vitor T,Vitor Título,Vitor T’tulo"/>
    <w:basedOn w:val="Normal"/>
    <w:link w:val="PargrafodaListaChar"/>
    <w:uiPriority w:val="34"/>
    <w:qFormat/>
    <w:rsid w:val="005D2021"/>
    <w:pPr>
      <w:ind w:left="720"/>
      <w:contextualSpacing/>
    </w:pPr>
  </w:style>
  <w:style w:type="character" w:styleId="Hyperlink">
    <w:name w:val="Hyperlink"/>
    <w:basedOn w:val="Fontepargpadro"/>
    <w:uiPriority w:val="99"/>
    <w:unhideWhenUsed/>
    <w:rsid w:val="005D2021"/>
    <w:rPr>
      <w:color w:val="0563C1" w:themeColor="hyperlink"/>
      <w:u w:val="single"/>
    </w:rPr>
  </w:style>
  <w:style w:type="character" w:customStyle="1" w:styleId="MenoPendente1">
    <w:name w:val="Menção Pendente1"/>
    <w:basedOn w:val="Fontepargpadro"/>
    <w:uiPriority w:val="99"/>
    <w:semiHidden/>
    <w:unhideWhenUsed/>
    <w:rsid w:val="005D2021"/>
    <w:rPr>
      <w:color w:val="605E5C"/>
      <w:shd w:val="clear" w:color="auto" w:fill="E1DFDD"/>
    </w:rPr>
  </w:style>
  <w:style w:type="paragraph" w:styleId="Commarcadores">
    <w:name w:val="List Bullet"/>
    <w:basedOn w:val="Normal"/>
    <w:uiPriority w:val="99"/>
    <w:unhideWhenUsed/>
    <w:rsid w:val="00F513DA"/>
    <w:pPr>
      <w:numPr>
        <w:numId w:val="1"/>
      </w:numPr>
      <w:contextualSpacing/>
    </w:pPr>
  </w:style>
  <w:style w:type="paragraph" w:styleId="Sumrio1">
    <w:name w:val="toc 1"/>
    <w:basedOn w:val="Normal"/>
    <w:next w:val="Normal"/>
    <w:autoRedefine/>
    <w:uiPriority w:val="39"/>
    <w:unhideWhenUsed/>
    <w:rsid w:val="00C002BC"/>
    <w:pPr>
      <w:tabs>
        <w:tab w:val="right" w:leader="dot" w:pos="9061"/>
      </w:tabs>
      <w:spacing w:before="140" w:after="40"/>
      <w:ind w:right="567"/>
      <w:jc w:val="left"/>
    </w:pPr>
    <w:rPr>
      <w:rFonts w:asciiTheme="minorHAnsi" w:hAnsiTheme="minorHAnsi"/>
      <w:b/>
      <w:noProof/>
      <w:color w:val="0082CB"/>
      <w:lang w:eastAsia="pt-BR"/>
    </w:rPr>
  </w:style>
  <w:style w:type="paragraph" w:styleId="Sumrio2">
    <w:name w:val="toc 2"/>
    <w:basedOn w:val="Normal"/>
    <w:next w:val="Normal"/>
    <w:autoRedefine/>
    <w:uiPriority w:val="39"/>
    <w:unhideWhenUsed/>
    <w:rsid w:val="00C002BC"/>
    <w:pPr>
      <w:tabs>
        <w:tab w:val="right" w:leader="dot" w:pos="9061"/>
      </w:tabs>
      <w:spacing w:after="20"/>
      <w:ind w:right="567"/>
    </w:pPr>
    <w:rPr>
      <w:rFonts w:asciiTheme="minorHAnsi" w:hAnsiTheme="minorHAnsi"/>
      <w:noProof/>
    </w:rPr>
  </w:style>
  <w:style w:type="paragraph" w:styleId="Sumrio3">
    <w:name w:val="toc 3"/>
    <w:basedOn w:val="Normal"/>
    <w:next w:val="Normal"/>
    <w:autoRedefine/>
    <w:uiPriority w:val="39"/>
    <w:unhideWhenUsed/>
    <w:rsid w:val="009A47C5"/>
    <w:pPr>
      <w:spacing w:after="100" w:line="259" w:lineRule="auto"/>
      <w:ind w:left="440"/>
      <w:jc w:val="left"/>
    </w:pPr>
    <w:rPr>
      <w:rFonts w:eastAsiaTheme="minorEastAsia" w:cstheme="minorBidi"/>
      <w:sz w:val="22"/>
      <w:lang w:eastAsia="pt-BR"/>
    </w:rPr>
  </w:style>
  <w:style w:type="paragraph" w:styleId="Sumrio4">
    <w:name w:val="toc 4"/>
    <w:basedOn w:val="Normal"/>
    <w:next w:val="Normal"/>
    <w:autoRedefine/>
    <w:uiPriority w:val="39"/>
    <w:unhideWhenUsed/>
    <w:rsid w:val="009A47C5"/>
    <w:pPr>
      <w:spacing w:after="100" w:line="259" w:lineRule="auto"/>
      <w:ind w:left="660"/>
      <w:jc w:val="left"/>
    </w:pPr>
    <w:rPr>
      <w:rFonts w:eastAsiaTheme="minorEastAsia" w:cstheme="minorBidi"/>
      <w:sz w:val="22"/>
      <w:lang w:eastAsia="pt-BR"/>
    </w:rPr>
  </w:style>
  <w:style w:type="paragraph" w:styleId="Sumrio5">
    <w:name w:val="toc 5"/>
    <w:basedOn w:val="Normal"/>
    <w:next w:val="Normal"/>
    <w:autoRedefine/>
    <w:uiPriority w:val="39"/>
    <w:unhideWhenUsed/>
    <w:rsid w:val="009A47C5"/>
    <w:pPr>
      <w:spacing w:after="100" w:line="259" w:lineRule="auto"/>
      <w:ind w:left="880"/>
      <w:jc w:val="left"/>
    </w:pPr>
    <w:rPr>
      <w:rFonts w:eastAsiaTheme="minorEastAsia" w:cstheme="minorBidi"/>
      <w:sz w:val="22"/>
      <w:lang w:eastAsia="pt-BR"/>
    </w:rPr>
  </w:style>
  <w:style w:type="paragraph" w:styleId="Sumrio6">
    <w:name w:val="toc 6"/>
    <w:basedOn w:val="Normal"/>
    <w:next w:val="Normal"/>
    <w:autoRedefine/>
    <w:uiPriority w:val="39"/>
    <w:unhideWhenUsed/>
    <w:rsid w:val="009A47C5"/>
    <w:pPr>
      <w:spacing w:after="100" w:line="259" w:lineRule="auto"/>
      <w:ind w:left="1100"/>
      <w:jc w:val="left"/>
    </w:pPr>
    <w:rPr>
      <w:rFonts w:eastAsiaTheme="minorEastAsia" w:cstheme="minorBidi"/>
      <w:sz w:val="22"/>
      <w:lang w:eastAsia="pt-BR"/>
    </w:rPr>
  </w:style>
  <w:style w:type="paragraph" w:styleId="Sumrio7">
    <w:name w:val="toc 7"/>
    <w:basedOn w:val="Normal"/>
    <w:next w:val="Normal"/>
    <w:autoRedefine/>
    <w:uiPriority w:val="39"/>
    <w:unhideWhenUsed/>
    <w:rsid w:val="009A47C5"/>
    <w:pPr>
      <w:spacing w:after="100" w:line="259" w:lineRule="auto"/>
      <w:ind w:left="1320"/>
      <w:jc w:val="left"/>
    </w:pPr>
    <w:rPr>
      <w:rFonts w:eastAsiaTheme="minorEastAsia" w:cstheme="minorBidi"/>
      <w:sz w:val="22"/>
      <w:lang w:eastAsia="pt-BR"/>
    </w:rPr>
  </w:style>
  <w:style w:type="paragraph" w:styleId="Sumrio8">
    <w:name w:val="toc 8"/>
    <w:basedOn w:val="Normal"/>
    <w:next w:val="Normal"/>
    <w:autoRedefine/>
    <w:uiPriority w:val="39"/>
    <w:unhideWhenUsed/>
    <w:rsid w:val="009A47C5"/>
    <w:pPr>
      <w:spacing w:after="100" w:line="259" w:lineRule="auto"/>
      <w:ind w:left="1540"/>
      <w:jc w:val="left"/>
    </w:pPr>
    <w:rPr>
      <w:rFonts w:eastAsiaTheme="minorEastAsia" w:cstheme="minorBidi"/>
      <w:sz w:val="22"/>
      <w:lang w:eastAsia="pt-BR"/>
    </w:rPr>
  </w:style>
  <w:style w:type="paragraph" w:styleId="Sumrio9">
    <w:name w:val="toc 9"/>
    <w:basedOn w:val="Normal"/>
    <w:next w:val="Normal"/>
    <w:autoRedefine/>
    <w:uiPriority w:val="39"/>
    <w:unhideWhenUsed/>
    <w:rsid w:val="009A47C5"/>
    <w:pPr>
      <w:spacing w:after="100" w:line="259" w:lineRule="auto"/>
      <w:ind w:left="1760"/>
      <w:jc w:val="left"/>
    </w:pPr>
    <w:rPr>
      <w:rFonts w:eastAsiaTheme="minorEastAsia" w:cstheme="minorBidi"/>
      <w:sz w:val="22"/>
      <w:lang w:eastAsia="pt-BR"/>
    </w:rPr>
  </w:style>
  <w:style w:type="paragraph" w:styleId="Corpodetexto">
    <w:name w:val="Body Text"/>
    <w:aliases w:val="!Body Text .5(J),!Body Text .5s2(J),.BT,5,BT,CG-Single Sp 0.5,CG-Single Sp 0.51,Ctrl+1,Second Heading 2,b,bd,body text,bt,bt wide,s2,s21,5 Char Char,Level 5"/>
    <w:basedOn w:val="Normal"/>
    <w:link w:val="CorpodetextoChar"/>
    <w:qFormat/>
    <w:rsid w:val="00E72817"/>
    <w:pPr>
      <w:spacing w:after="0" w:line="240" w:lineRule="atLeast"/>
    </w:pPr>
    <w:rPr>
      <w:rFonts w:ascii="Times New Roman" w:eastAsia="MS Mincho" w:hAnsi="Times New Roman" w:cs="Times New Roman"/>
      <w:sz w:val="24"/>
      <w:szCs w:val="24"/>
      <w:lang w:val="x-none" w:eastAsia="x-none"/>
    </w:rPr>
  </w:style>
  <w:style w:type="character" w:customStyle="1" w:styleId="CorpodetextoChar">
    <w:name w:val="Corpo de texto Char"/>
    <w:aliases w:val="!Body Text .5(J) Char,!Body Text .5s2(J) Char,.BT Char,5 Char,BT Char,CG-Single Sp 0.5 Char,CG-Single Sp 0.51 Char,Ctrl+1 Char,Second Heading 2 Char,b Char,bd Char,body text Char,bt Char,bt wide Char,s2 Char,s21 Char,5 Char Char Char"/>
    <w:basedOn w:val="Fontepargpadro"/>
    <w:link w:val="Corpodetexto"/>
    <w:rsid w:val="00E72817"/>
    <w:rPr>
      <w:rFonts w:ascii="Times New Roman" w:eastAsia="MS Mincho" w:hAnsi="Times New Roman" w:cs="Times New Roman"/>
      <w:sz w:val="24"/>
      <w:szCs w:val="24"/>
      <w:lang w:val="x-none" w:eastAsia="x-none"/>
    </w:rPr>
  </w:style>
  <w:style w:type="character" w:customStyle="1" w:styleId="MenoPendente2">
    <w:name w:val="Menção Pendente2"/>
    <w:basedOn w:val="Fontepargpadro"/>
    <w:uiPriority w:val="99"/>
    <w:semiHidden/>
    <w:unhideWhenUsed/>
    <w:rsid w:val="007931CF"/>
    <w:rPr>
      <w:color w:val="605E5C"/>
      <w:shd w:val="clear" w:color="auto" w:fill="E1DFDD"/>
    </w:rPr>
  </w:style>
  <w:style w:type="character" w:styleId="MenoPendente">
    <w:name w:val="Unresolved Mention"/>
    <w:basedOn w:val="Fontepargpadro"/>
    <w:uiPriority w:val="99"/>
    <w:unhideWhenUsed/>
    <w:rsid w:val="00670B4A"/>
    <w:rPr>
      <w:color w:val="605E5C"/>
      <w:shd w:val="clear" w:color="auto" w:fill="E1DFDD"/>
    </w:rPr>
  </w:style>
  <w:style w:type="character" w:customStyle="1" w:styleId="PargrafodaListaChar">
    <w:name w:val="Parágrafo da Lista Char"/>
    <w:aliases w:val="???? Char,????1 Char,?????1 Char,Bullet List Char,Bulletr List Paragraph Char,Bullets 1 Char,Capítulo Char,FooterText Char,Itemização Char,List Paragraph11 Char,List Paragraph_0 Char,Lists Char,Meu Char,Normal numerado Char"/>
    <w:link w:val="PargrafodaLista"/>
    <w:uiPriority w:val="34"/>
    <w:qFormat/>
    <w:locked/>
    <w:rsid w:val="00C8449A"/>
    <w:rPr>
      <w:rFonts w:cs="Leelawadee"/>
      <w:sz w:val="20"/>
    </w:rPr>
  </w:style>
  <w:style w:type="paragraph" w:styleId="Lista2">
    <w:name w:val="List 2"/>
    <w:basedOn w:val="Normal"/>
    <w:uiPriority w:val="99"/>
    <w:rsid w:val="00253AF3"/>
    <w:pPr>
      <w:autoSpaceDE w:val="0"/>
      <w:autoSpaceDN w:val="0"/>
      <w:adjustRightInd w:val="0"/>
      <w:spacing w:after="0"/>
      <w:ind w:left="566" w:hanging="283"/>
    </w:pPr>
    <w:rPr>
      <w:rFonts w:ascii="Garamond" w:eastAsia="Times New Roman" w:hAnsi="Garamond" w:cs="Times New Roman"/>
      <w:sz w:val="24"/>
      <w:szCs w:val="24"/>
      <w:lang w:eastAsia="pt-BR"/>
    </w:rPr>
  </w:style>
  <w:style w:type="paragraph" w:customStyle="1" w:styleId="Level1">
    <w:name w:val="Level 1"/>
    <w:basedOn w:val="Normal"/>
    <w:qFormat/>
    <w:rsid w:val="00253AF3"/>
    <w:pPr>
      <w:numPr>
        <w:numId w:val="5"/>
      </w:numPr>
      <w:spacing w:after="140" w:line="290" w:lineRule="auto"/>
    </w:pPr>
    <w:rPr>
      <w:rFonts w:ascii="Arial" w:eastAsia="Times New Roman" w:hAnsi="Arial" w:cs="Times New Roman"/>
      <w:kern w:val="20"/>
      <w:szCs w:val="24"/>
      <w:lang w:val="en-GB"/>
    </w:rPr>
  </w:style>
  <w:style w:type="paragraph" w:customStyle="1" w:styleId="Level2">
    <w:name w:val="Level 2"/>
    <w:aliases w:val="2"/>
    <w:basedOn w:val="Normal"/>
    <w:link w:val="Level2Char"/>
    <w:qFormat/>
    <w:rsid w:val="00253AF3"/>
    <w:pPr>
      <w:numPr>
        <w:ilvl w:val="1"/>
        <w:numId w:val="5"/>
      </w:numPr>
      <w:spacing w:after="140" w:line="290" w:lineRule="auto"/>
    </w:pPr>
    <w:rPr>
      <w:rFonts w:ascii="Arial" w:eastAsia="Times New Roman" w:hAnsi="Arial" w:cs="Times New Roman"/>
      <w:kern w:val="20"/>
      <w:szCs w:val="24"/>
      <w:lang w:val="en-GB"/>
    </w:rPr>
  </w:style>
  <w:style w:type="paragraph" w:customStyle="1" w:styleId="Level3">
    <w:name w:val="Level 3"/>
    <w:aliases w:val="3"/>
    <w:basedOn w:val="Normal"/>
    <w:link w:val="Level3Char"/>
    <w:qFormat/>
    <w:rsid w:val="00253AF3"/>
    <w:pPr>
      <w:numPr>
        <w:ilvl w:val="3"/>
        <w:numId w:val="5"/>
      </w:numPr>
      <w:tabs>
        <w:tab w:val="clear" w:pos="2722"/>
        <w:tab w:val="num" w:pos="4196"/>
      </w:tabs>
      <w:spacing w:after="140" w:line="290" w:lineRule="auto"/>
      <w:ind w:left="4196" w:hanging="794"/>
    </w:pPr>
    <w:rPr>
      <w:rFonts w:ascii="Arial" w:eastAsia="Times New Roman" w:hAnsi="Arial" w:cs="Times New Roman"/>
      <w:kern w:val="20"/>
      <w:szCs w:val="24"/>
      <w:lang w:val="en-GB"/>
    </w:rPr>
  </w:style>
  <w:style w:type="character" w:customStyle="1" w:styleId="Level3Char">
    <w:name w:val="Level 3 Char"/>
    <w:link w:val="Level3"/>
    <w:locked/>
    <w:rsid w:val="00253AF3"/>
    <w:rPr>
      <w:rFonts w:ascii="Arial" w:eastAsia="Times New Roman" w:hAnsi="Arial" w:cs="Times New Roman"/>
      <w:kern w:val="20"/>
      <w:sz w:val="20"/>
      <w:szCs w:val="24"/>
      <w:lang w:val="en-GB"/>
    </w:rPr>
  </w:style>
  <w:style w:type="paragraph" w:customStyle="1" w:styleId="Texto-Corpo">
    <w:name w:val="Texto - Corpo"/>
    <w:basedOn w:val="Normal"/>
    <w:link w:val="Texto-CorpoChar"/>
    <w:qFormat/>
    <w:rsid w:val="00C879FE"/>
    <w:pPr>
      <w:spacing w:after="240" w:line="300" w:lineRule="atLeast"/>
    </w:pPr>
    <w:rPr>
      <w:rFonts w:ascii="Segoe UI" w:eastAsia="Times New Roman" w:hAnsi="Segoe UI" w:cs="Times New Roman"/>
      <w:szCs w:val="24"/>
      <w:u w:color="000000"/>
      <w:lang w:eastAsia="pt-BR"/>
    </w:rPr>
  </w:style>
  <w:style w:type="character" w:customStyle="1" w:styleId="Texto-CorpoChar">
    <w:name w:val="Texto - Corpo Char"/>
    <w:basedOn w:val="Fontepargpadro"/>
    <w:link w:val="Texto-Corpo"/>
    <w:qFormat/>
    <w:rsid w:val="00C879FE"/>
    <w:rPr>
      <w:rFonts w:ascii="Segoe UI" w:eastAsia="Times New Roman" w:hAnsi="Segoe UI" w:cs="Times New Roman"/>
      <w:sz w:val="20"/>
      <w:szCs w:val="24"/>
      <w:u w:color="000000"/>
      <w:lang w:eastAsia="pt-BR"/>
    </w:rPr>
  </w:style>
  <w:style w:type="paragraph" w:customStyle="1" w:styleId="2Nvel">
    <w:name w:val="2º Nível"/>
    <w:link w:val="2NvelChar"/>
    <w:uiPriority w:val="99"/>
    <w:rsid w:val="00C879FE"/>
    <w:pPr>
      <w:tabs>
        <w:tab w:val="left" w:pos="851"/>
        <w:tab w:val="left" w:leader="dot" w:pos="9299"/>
      </w:tabs>
      <w:spacing w:after="0" w:line="240" w:lineRule="auto"/>
      <w:jc w:val="both"/>
    </w:pPr>
    <w:rPr>
      <w:rFonts w:ascii="Arial Narrow" w:eastAsia="Times New Roman" w:hAnsi="Arial Narrow" w:cs="Helvetica-Bold"/>
      <w:b/>
      <w:bCs/>
      <w:sz w:val="20"/>
      <w:szCs w:val="20"/>
    </w:rPr>
  </w:style>
  <w:style w:type="character" w:customStyle="1" w:styleId="2NvelChar">
    <w:name w:val="2º Nível Char"/>
    <w:link w:val="2Nvel"/>
    <w:uiPriority w:val="99"/>
    <w:locked/>
    <w:rsid w:val="00C879FE"/>
    <w:rPr>
      <w:rFonts w:ascii="Arial Narrow" w:eastAsia="Times New Roman" w:hAnsi="Arial Narrow" w:cs="Helvetica-Bold"/>
      <w:b/>
      <w:bCs/>
      <w:sz w:val="20"/>
      <w:szCs w:val="20"/>
    </w:rPr>
  </w:style>
  <w:style w:type="table" w:customStyle="1" w:styleId="TableGrid">
    <w:name w:val="TableGrid"/>
    <w:rsid w:val="00C879FE"/>
    <w:pPr>
      <w:spacing w:after="0" w:line="240" w:lineRule="auto"/>
    </w:pPr>
    <w:rPr>
      <w:rFonts w:eastAsiaTheme="minorEastAsia"/>
      <w:kern w:val="2"/>
      <w:sz w:val="24"/>
      <w:szCs w:val="24"/>
      <w:lang w:eastAsia="pt-BR"/>
      <w14:ligatures w14:val="standardContextual"/>
    </w:rPr>
    <w:tblPr>
      <w:tblCellMar>
        <w:top w:w="0" w:type="dxa"/>
        <w:left w:w="0" w:type="dxa"/>
        <w:bottom w:w="0" w:type="dxa"/>
        <w:right w:w="0" w:type="dxa"/>
      </w:tblCellMar>
    </w:tblPr>
  </w:style>
  <w:style w:type="character" w:styleId="HiperlinkVisitado">
    <w:name w:val="FollowedHyperlink"/>
    <w:basedOn w:val="Fontepargpadro"/>
    <w:uiPriority w:val="99"/>
    <w:unhideWhenUsed/>
    <w:rsid w:val="00C879FE"/>
    <w:rPr>
      <w:color w:val="954F72" w:themeColor="followedHyperlink"/>
      <w:u w:val="single"/>
    </w:rPr>
  </w:style>
  <w:style w:type="paragraph" w:customStyle="1" w:styleId="Head">
    <w:name w:val="Head"/>
    <w:basedOn w:val="Normal"/>
    <w:next w:val="Normal"/>
    <w:link w:val="HeadChar"/>
    <w:rsid w:val="00C879FE"/>
    <w:pPr>
      <w:keepNext/>
      <w:spacing w:before="280" w:after="140" w:line="290" w:lineRule="auto"/>
      <w:outlineLvl w:val="0"/>
    </w:pPr>
    <w:rPr>
      <w:rFonts w:ascii="Arial" w:eastAsia="SimSun" w:hAnsi="Arial" w:cs="Times New Roman"/>
      <w:b/>
      <w:kern w:val="23"/>
      <w:sz w:val="23"/>
      <w:szCs w:val="24"/>
      <w:lang w:eastAsia="en-GB"/>
    </w:rPr>
  </w:style>
  <w:style w:type="character" w:customStyle="1" w:styleId="HeadChar">
    <w:name w:val="Head Char"/>
    <w:link w:val="Head"/>
    <w:rsid w:val="00C879FE"/>
    <w:rPr>
      <w:rFonts w:ascii="Arial" w:eastAsia="SimSun" w:hAnsi="Arial" w:cs="Times New Roman"/>
      <w:b/>
      <w:kern w:val="23"/>
      <w:sz w:val="23"/>
      <w:szCs w:val="24"/>
      <w:lang w:eastAsia="en-GB"/>
    </w:rPr>
  </w:style>
  <w:style w:type="character" w:styleId="Refdecomentrio">
    <w:name w:val="annotation reference"/>
    <w:basedOn w:val="Fontepargpadro"/>
    <w:uiPriority w:val="99"/>
    <w:unhideWhenUsed/>
    <w:rsid w:val="00C879FE"/>
    <w:rPr>
      <w:sz w:val="16"/>
      <w:szCs w:val="16"/>
    </w:rPr>
  </w:style>
  <w:style w:type="paragraph" w:styleId="Textodecomentrio">
    <w:name w:val="annotation text"/>
    <w:basedOn w:val="Normal"/>
    <w:link w:val="TextodecomentrioChar"/>
    <w:uiPriority w:val="99"/>
    <w:unhideWhenUsed/>
    <w:rsid w:val="00C879FE"/>
    <w:pPr>
      <w:spacing w:after="160"/>
      <w:jc w:val="left"/>
    </w:pPr>
    <w:rPr>
      <w:rFonts w:cstheme="minorBidi"/>
      <w:kern w:val="2"/>
      <w:szCs w:val="20"/>
      <w14:ligatures w14:val="standardContextual"/>
    </w:rPr>
  </w:style>
  <w:style w:type="character" w:customStyle="1" w:styleId="TextodecomentrioChar">
    <w:name w:val="Texto de comentário Char"/>
    <w:basedOn w:val="Fontepargpadro"/>
    <w:link w:val="Textodecomentrio"/>
    <w:uiPriority w:val="99"/>
    <w:rsid w:val="00C879FE"/>
    <w:rPr>
      <w:kern w:val="2"/>
      <w:sz w:val="20"/>
      <w:szCs w:val="20"/>
      <w14:ligatures w14:val="standardContextual"/>
    </w:rPr>
  </w:style>
  <w:style w:type="character" w:customStyle="1" w:styleId="NenhumA">
    <w:name w:val="Nenhum A"/>
    <w:rsid w:val="0023236A"/>
  </w:style>
  <w:style w:type="paragraph" w:customStyle="1" w:styleId="Level4">
    <w:name w:val="Level 4"/>
    <w:aliases w:val="4"/>
    <w:basedOn w:val="Normal"/>
    <w:qFormat/>
    <w:rsid w:val="0023236A"/>
    <w:pPr>
      <w:spacing w:after="140" w:line="290" w:lineRule="auto"/>
    </w:pPr>
    <w:rPr>
      <w:rFonts w:ascii="Tahoma" w:eastAsia="Times New Roman" w:hAnsi="Tahoma" w:cs="Times New Roman"/>
      <w:kern w:val="20"/>
      <w:szCs w:val="24"/>
    </w:rPr>
  </w:style>
  <w:style w:type="paragraph" w:customStyle="1" w:styleId="Level6">
    <w:name w:val="Level 6"/>
    <w:basedOn w:val="Normal"/>
    <w:qFormat/>
    <w:rsid w:val="0023236A"/>
    <w:pPr>
      <w:tabs>
        <w:tab w:val="num" w:pos="3969"/>
      </w:tabs>
      <w:spacing w:after="140" w:line="290" w:lineRule="auto"/>
      <w:ind w:left="3289"/>
    </w:pPr>
    <w:rPr>
      <w:rFonts w:ascii="Tahoma" w:eastAsia="Times New Roman" w:hAnsi="Tahoma" w:cs="Times New Roman"/>
      <w:kern w:val="20"/>
      <w:szCs w:val="24"/>
    </w:rPr>
  </w:style>
  <w:style w:type="character" w:customStyle="1" w:styleId="Level2Char">
    <w:name w:val="Level 2 Char"/>
    <w:link w:val="Level2"/>
    <w:rsid w:val="00A271B3"/>
    <w:rPr>
      <w:rFonts w:ascii="Arial" w:eastAsia="Times New Roman" w:hAnsi="Arial" w:cs="Times New Roman"/>
      <w:kern w:val="20"/>
      <w:sz w:val="20"/>
      <w:szCs w:val="24"/>
      <w:lang w:val="en-GB"/>
    </w:rPr>
  </w:style>
  <w:style w:type="paragraph" w:customStyle="1" w:styleId="CABECALHO-CNPJ">
    <w:name w:val="CABECALHO-&gt;CNPJ"/>
    <w:basedOn w:val="Normal"/>
    <w:next w:val="CABECALHO-MONTANTE"/>
    <w:qFormat/>
    <w:rsid w:val="00C93D2F"/>
    <w:pPr>
      <w:spacing w:after="120" w:line="288" w:lineRule="auto"/>
      <w:jc w:val="center"/>
    </w:pPr>
    <w:rPr>
      <w:rFonts w:ascii="Source Sans Pro Light" w:eastAsia="Times New Roman" w:hAnsi="Source Sans Pro Light" w:cs="Source Sans Pro Light"/>
      <w:sz w:val="16"/>
      <w:szCs w:val="20"/>
      <w:lang w:eastAsia="pt-BR"/>
    </w:rPr>
  </w:style>
  <w:style w:type="paragraph" w:customStyle="1" w:styleId="CABECALHO-CODIGOISIN">
    <w:name w:val="CABECALHO-&gt;CODIGO ISIN"/>
    <w:basedOn w:val="Normal"/>
    <w:qFormat/>
    <w:rsid w:val="00C93D2F"/>
    <w:pPr>
      <w:spacing w:after="120" w:line="288" w:lineRule="auto"/>
      <w:jc w:val="center"/>
    </w:pPr>
    <w:rPr>
      <w:rFonts w:ascii="Source Sans Pro SemiBold" w:eastAsia="Times New Roman" w:hAnsi="Source Sans Pro SemiBold" w:cs="Source Sans Pro SemiBold"/>
      <w:sz w:val="16"/>
      <w:szCs w:val="20"/>
      <w:lang w:eastAsia="pt-BR"/>
    </w:rPr>
  </w:style>
  <w:style w:type="paragraph" w:customStyle="1" w:styleId="CABECALHO-EXTENSO">
    <w:name w:val="CABECALHO-&gt;EXTENSO"/>
    <w:basedOn w:val="Normal"/>
    <w:next w:val="CABECALHO-CODIGOISIN"/>
    <w:qFormat/>
    <w:rsid w:val="00C93D2F"/>
    <w:pPr>
      <w:spacing w:after="120" w:line="288" w:lineRule="auto"/>
      <w:jc w:val="center"/>
    </w:pPr>
    <w:rPr>
      <w:rFonts w:ascii="Source Sans Pro Light" w:eastAsia="Times New Roman" w:hAnsi="Source Sans Pro Light" w:cs="Source Sans Pro Light"/>
      <w:color w:val="0082CB"/>
      <w:sz w:val="16"/>
      <w:szCs w:val="20"/>
      <w:lang w:eastAsia="pt-BR"/>
    </w:rPr>
  </w:style>
  <w:style w:type="paragraph" w:customStyle="1" w:styleId="CABECALHO-MONTANTE">
    <w:name w:val="CABECALHO-&gt;MONTANTE"/>
    <w:basedOn w:val="Normal"/>
    <w:next w:val="CABECALHO-VALOR"/>
    <w:qFormat/>
    <w:rsid w:val="00C93D2F"/>
    <w:pPr>
      <w:spacing w:after="20" w:line="288" w:lineRule="auto"/>
      <w:jc w:val="center"/>
    </w:pPr>
    <w:rPr>
      <w:rFonts w:ascii="Source Sans Pro SemiBold" w:eastAsia="Times New Roman" w:hAnsi="Source Sans Pro SemiBold" w:cs="Source Sans Pro SemiBold"/>
      <w:sz w:val="16"/>
      <w:szCs w:val="20"/>
      <w:lang w:val="pt-PT" w:eastAsia="pt-BR"/>
    </w:rPr>
  </w:style>
  <w:style w:type="paragraph" w:customStyle="1" w:styleId="CABECALHO-TIPODEOFERTA">
    <w:name w:val="CABECALHO-&gt;TIPO DE OFERTA"/>
    <w:basedOn w:val="Normal"/>
    <w:qFormat/>
    <w:rsid w:val="00C93D2F"/>
    <w:pPr>
      <w:spacing w:after="120" w:line="288" w:lineRule="auto"/>
      <w:jc w:val="center"/>
    </w:pPr>
    <w:rPr>
      <w:rFonts w:ascii="Source Sans Pro Light" w:eastAsia="Times New Roman" w:hAnsi="Source Sans Pro Light" w:cs="Source Sans Pro Light"/>
      <w:sz w:val="22"/>
      <w:szCs w:val="20"/>
      <w:lang w:eastAsia="pt-BR"/>
    </w:rPr>
  </w:style>
  <w:style w:type="paragraph" w:customStyle="1" w:styleId="CABECALHO-VALOR">
    <w:name w:val="CABECALHO-&gt;VALOR"/>
    <w:next w:val="CABECALHO-EXTENSO"/>
    <w:qFormat/>
    <w:rsid w:val="00C93D2F"/>
    <w:pPr>
      <w:spacing w:after="60" w:line="288" w:lineRule="auto"/>
      <w:jc w:val="center"/>
    </w:pPr>
    <w:rPr>
      <w:rFonts w:ascii="ITCAvantGardePro-Demi" w:eastAsia="Times New Roman" w:hAnsi="ITCAvantGardePro-Demi" w:cs="ITCAvantGardePro-Demi"/>
      <w:color w:val="0082CB"/>
      <w:sz w:val="36"/>
      <w:szCs w:val="20"/>
      <w:lang w:eastAsia="pt-BR"/>
    </w:rPr>
  </w:style>
  <w:style w:type="character" w:customStyle="1" w:styleId="sembold">
    <w:name w:val="sem bold"/>
    <w:basedOn w:val="Fontepargpadro"/>
    <w:qFormat/>
    <w:rsid w:val="00C93D2F"/>
    <w:rPr>
      <w:rFonts w:ascii="Source Sans Pro Light" w:hAnsi="Source Sans Pro Light" w:cs="Source Sans Pro Light"/>
      <w:lang w:val="pt-PT"/>
    </w:rPr>
  </w:style>
  <w:style w:type="table" w:customStyle="1" w:styleId="Tabelacomgrade1">
    <w:name w:val="Tabela com grade1"/>
    <w:basedOn w:val="Tabelanormal"/>
    <w:qFormat/>
    <w:rsid w:val="00C669D2"/>
    <w:pPr>
      <w:spacing w:after="0" w:line="288" w:lineRule="auto"/>
    </w:pPr>
    <w:rPr>
      <w:rFonts w:ascii="Minion Pro" w:eastAsia="Times New Roman" w:hAnsi="Minion Pro" w:cs="Minion Pro"/>
      <w:sz w:val="24"/>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DeltaViewInsertion">
    <w:name w:val="DeltaView Insertion"/>
    <w:uiPriority w:val="99"/>
    <w:rsid w:val="00212912"/>
    <w:rPr>
      <w:color w:val="0000FF"/>
      <w:u w:val="double"/>
    </w:rPr>
  </w:style>
  <w:style w:type="character" w:customStyle="1" w:styleId="DeltaViewDeletion">
    <w:name w:val="DeltaView Deletion"/>
    <w:uiPriority w:val="99"/>
    <w:rsid w:val="003664AA"/>
    <w:rPr>
      <w:strike/>
      <w:color w:val="FF0000"/>
    </w:rPr>
  </w:style>
  <w:style w:type="paragraph" w:customStyle="1" w:styleId="CorpodetextobtBT">
    <w:name w:val="Corpo de texto.bt.BT"/>
    <w:basedOn w:val="Normal"/>
    <w:rsid w:val="003664AA"/>
    <w:pPr>
      <w:autoSpaceDE w:val="0"/>
      <w:autoSpaceDN w:val="0"/>
      <w:adjustRightInd w:val="0"/>
      <w:spacing w:after="0"/>
    </w:pPr>
    <w:rPr>
      <w:rFonts w:ascii="Arial" w:eastAsia="Times New Roman" w:hAnsi="Arial" w:cs="Times New Roman"/>
      <w:sz w:val="24"/>
      <w:szCs w:val="20"/>
      <w:lang w:eastAsia="pt-BR"/>
    </w:rPr>
  </w:style>
  <w:style w:type="paragraph" w:styleId="Textodenotaderodap">
    <w:name w:val="footnote text"/>
    <w:aliases w:val="Texto4"/>
    <w:basedOn w:val="Normal"/>
    <w:link w:val="TextodenotaderodapChar"/>
    <w:uiPriority w:val="99"/>
    <w:rsid w:val="00F2087B"/>
    <w:pPr>
      <w:autoSpaceDE w:val="0"/>
      <w:autoSpaceDN w:val="0"/>
      <w:adjustRightInd w:val="0"/>
      <w:spacing w:after="0"/>
      <w:jc w:val="left"/>
    </w:pPr>
    <w:rPr>
      <w:rFonts w:ascii="Verdana" w:eastAsia="Times New Roman" w:hAnsi="Verdana" w:cs="Times New Roman"/>
      <w:sz w:val="16"/>
      <w:szCs w:val="20"/>
      <w:lang w:val="x-none" w:eastAsia="x-none"/>
    </w:rPr>
  </w:style>
  <w:style w:type="character" w:customStyle="1" w:styleId="TextodenotaderodapChar">
    <w:name w:val="Texto de nota de rodapé Char"/>
    <w:aliases w:val="Texto4 Char"/>
    <w:basedOn w:val="Fontepargpadro"/>
    <w:link w:val="Textodenotaderodap"/>
    <w:uiPriority w:val="99"/>
    <w:rsid w:val="00F2087B"/>
    <w:rPr>
      <w:rFonts w:ascii="Verdana" w:eastAsia="Times New Roman" w:hAnsi="Verdana" w:cs="Times New Roman"/>
      <w:sz w:val="16"/>
      <w:szCs w:val="20"/>
      <w:lang w:val="x-none" w:eastAsia="x-none"/>
    </w:rPr>
  </w:style>
  <w:style w:type="character" w:styleId="Refdenotaderodap">
    <w:name w:val="footnote reference"/>
    <w:rsid w:val="00F2087B"/>
    <w:rPr>
      <w:vertAlign w:val="superscript"/>
    </w:rPr>
  </w:style>
  <w:style w:type="character" w:customStyle="1" w:styleId="colour">
    <w:name w:val="colour"/>
    <w:basedOn w:val="Fontepargpadro"/>
    <w:rsid w:val="00F2087B"/>
  </w:style>
  <w:style w:type="paragraph" w:styleId="Corpodetexto3">
    <w:name w:val="Body Text 3"/>
    <w:basedOn w:val="Normal"/>
    <w:link w:val="Corpodetexto3Char"/>
    <w:uiPriority w:val="99"/>
    <w:unhideWhenUsed/>
    <w:rsid w:val="00F2087B"/>
    <w:pPr>
      <w:spacing w:after="120"/>
    </w:pPr>
    <w:rPr>
      <w:sz w:val="16"/>
      <w:szCs w:val="16"/>
    </w:rPr>
  </w:style>
  <w:style w:type="character" w:customStyle="1" w:styleId="Corpodetexto3Char">
    <w:name w:val="Corpo de texto 3 Char"/>
    <w:basedOn w:val="Fontepargpadro"/>
    <w:link w:val="Corpodetexto3"/>
    <w:uiPriority w:val="99"/>
    <w:rsid w:val="00F2087B"/>
    <w:rPr>
      <w:rFonts w:cs="Leelawadee"/>
      <w:sz w:val="16"/>
      <w:szCs w:val="16"/>
    </w:rPr>
  </w:style>
  <w:style w:type="paragraph" w:styleId="Assuntodocomentrio">
    <w:name w:val="annotation subject"/>
    <w:basedOn w:val="Textodecomentrio"/>
    <w:next w:val="Textodecomentrio"/>
    <w:link w:val="AssuntodocomentrioChar"/>
    <w:uiPriority w:val="99"/>
    <w:unhideWhenUsed/>
    <w:rsid w:val="003E4134"/>
    <w:pPr>
      <w:spacing w:after="200"/>
      <w:jc w:val="both"/>
    </w:pPr>
    <w:rPr>
      <w:rFonts w:cs="Leelawadee"/>
      <w:b/>
      <w:bCs/>
      <w:kern w:val="0"/>
      <w14:ligatures w14:val="none"/>
    </w:rPr>
  </w:style>
  <w:style w:type="character" w:customStyle="1" w:styleId="AssuntodocomentrioChar">
    <w:name w:val="Assunto do comentário Char"/>
    <w:basedOn w:val="TextodecomentrioChar"/>
    <w:link w:val="Assuntodocomentrio"/>
    <w:uiPriority w:val="99"/>
    <w:semiHidden/>
    <w:rsid w:val="003E4134"/>
    <w:rPr>
      <w:rFonts w:ascii="Leelawadee" w:hAnsi="Leelawadee" w:cs="Leelawadee"/>
      <w:b/>
      <w:bCs/>
      <w:kern w:val="2"/>
      <w:sz w:val="20"/>
      <w:szCs w:val="20"/>
      <w14:ligatures w14:val="standardContextual"/>
    </w:rPr>
  </w:style>
  <w:style w:type="paragraph" w:styleId="Saudao">
    <w:name w:val="Salutation"/>
    <w:basedOn w:val="Normal"/>
    <w:next w:val="Normal"/>
    <w:link w:val="SaudaoChar"/>
    <w:uiPriority w:val="99"/>
    <w:rsid w:val="008109DA"/>
    <w:pPr>
      <w:autoSpaceDE w:val="0"/>
      <w:autoSpaceDN w:val="0"/>
      <w:adjustRightInd w:val="0"/>
      <w:spacing w:after="0"/>
      <w:ind w:firstLine="1440"/>
    </w:pPr>
    <w:rPr>
      <w:rFonts w:ascii="Garamond" w:eastAsia="Times New Roman" w:hAnsi="Garamond" w:cs="Times New Roman"/>
      <w:sz w:val="24"/>
      <w:szCs w:val="24"/>
      <w:lang w:val="x-none" w:eastAsia="x-none"/>
    </w:rPr>
  </w:style>
  <w:style w:type="character" w:customStyle="1" w:styleId="SaudaoChar">
    <w:name w:val="Saudação Char"/>
    <w:basedOn w:val="Fontepargpadro"/>
    <w:link w:val="Saudao"/>
    <w:uiPriority w:val="99"/>
    <w:rsid w:val="008109DA"/>
    <w:rPr>
      <w:rFonts w:ascii="Garamond" w:eastAsia="Times New Roman" w:hAnsi="Garamond" w:cs="Times New Roman"/>
      <w:sz w:val="24"/>
      <w:szCs w:val="24"/>
      <w:lang w:val="x-none" w:eastAsia="x-none"/>
    </w:rPr>
  </w:style>
  <w:style w:type="paragraph" w:customStyle="1" w:styleId="p0">
    <w:name w:val="p0"/>
    <w:basedOn w:val="Normal"/>
    <w:rsid w:val="008109DA"/>
    <w:pPr>
      <w:widowControl w:val="0"/>
      <w:tabs>
        <w:tab w:val="left" w:pos="720"/>
      </w:tabs>
      <w:autoSpaceDE w:val="0"/>
      <w:autoSpaceDN w:val="0"/>
      <w:adjustRightInd w:val="0"/>
      <w:spacing w:after="0" w:line="240" w:lineRule="atLeast"/>
      <w:ind w:firstLine="1440"/>
    </w:pPr>
    <w:rPr>
      <w:rFonts w:ascii="Times" w:eastAsia="Times New Roman" w:hAnsi="Times" w:cs="Times New Roman"/>
      <w:sz w:val="24"/>
      <w:szCs w:val="24"/>
      <w:lang w:eastAsia="pt-BR"/>
    </w:rPr>
  </w:style>
  <w:style w:type="paragraph" w:customStyle="1" w:styleId="TableTitle">
    <w:name w:val="Table Title"/>
    <w:basedOn w:val="Normal"/>
    <w:next w:val="Normal"/>
    <w:rsid w:val="008109DA"/>
    <w:pPr>
      <w:autoSpaceDE w:val="0"/>
      <w:autoSpaceDN w:val="0"/>
      <w:adjustRightInd w:val="0"/>
      <w:spacing w:before="160" w:after="0"/>
      <w:jc w:val="left"/>
    </w:pPr>
    <w:rPr>
      <w:rFonts w:ascii="Arial" w:eastAsia="Times New Roman" w:hAnsi="Arial" w:cs="Arial"/>
      <w:b/>
      <w:caps/>
      <w:sz w:val="18"/>
      <w:szCs w:val="18"/>
      <w:lang w:val="en-US" w:eastAsia="pt-BR"/>
    </w:rPr>
  </w:style>
  <w:style w:type="paragraph" w:customStyle="1" w:styleId="sub">
    <w:name w:val="sub"/>
    <w:uiPriority w:val="99"/>
    <w:rsid w:val="008109DA"/>
    <w:pPr>
      <w:widowControl w:val="0"/>
      <w:tabs>
        <w:tab w:val="left" w:pos="0"/>
        <w:tab w:val="left" w:pos="1440"/>
        <w:tab w:val="left" w:pos="2880"/>
        <w:tab w:val="left" w:pos="4320"/>
      </w:tabs>
      <w:autoSpaceDE w:val="0"/>
      <w:autoSpaceDN w:val="0"/>
      <w:adjustRightInd w:val="0"/>
      <w:spacing w:before="293" w:after="170" w:line="287" w:lineRule="atLeast"/>
      <w:jc w:val="both"/>
    </w:pPr>
    <w:rPr>
      <w:rFonts w:ascii="Swiss" w:eastAsia="Times New Roman" w:hAnsi="Swiss" w:cs="Times New Roman"/>
      <w:lang w:eastAsia="pt-BR"/>
    </w:rPr>
  </w:style>
  <w:style w:type="paragraph" w:styleId="Lista">
    <w:name w:val="List"/>
    <w:basedOn w:val="Normal"/>
    <w:uiPriority w:val="99"/>
    <w:rsid w:val="008109DA"/>
    <w:pPr>
      <w:autoSpaceDE w:val="0"/>
      <w:autoSpaceDN w:val="0"/>
      <w:adjustRightInd w:val="0"/>
      <w:spacing w:after="0"/>
      <w:ind w:left="283" w:hanging="283"/>
    </w:pPr>
    <w:rPr>
      <w:rFonts w:ascii="Garamond" w:eastAsia="Times New Roman" w:hAnsi="Garamond" w:cs="Times New Roman"/>
      <w:sz w:val="24"/>
      <w:szCs w:val="24"/>
      <w:lang w:eastAsia="pt-BR"/>
    </w:rPr>
  </w:style>
  <w:style w:type="character" w:customStyle="1" w:styleId="InitialStyle">
    <w:name w:val="InitialStyle"/>
    <w:rsid w:val="008109DA"/>
    <w:rPr>
      <w:rFonts w:ascii="Times New Roman" w:hAnsi="Times New Roman"/>
      <w:color w:val="auto"/>
      <w:spacing w:val="0"/>
      <w:sz w:val="20"/>
    </w:rPr>
  </w:style>
  <w:style w:type="character" w:styleId="Nmerodepgina">
    <w:name w:val="page number"/>
    <w:uiPriority w:val="99"/>
    <w:rsid w:val="008109DA"/>
    <w:rPr>
      <w:rFonts w:cs="Times New Roman"/>
    </w:rPr>
  </w:style>
  <w:style w:type="paragraph" w:styleId="Recuodecorpodetexto">
    <w:name w:val="Body Text Indent"/>
    <w:aliases w:val="Body Text Bold Indent,bt2,bti"/>
    <w:basedOn w:val="Normal"/>
    <w:link w:val="RecuodecorpodetextoChar"/>
    <w:uiPriority w:val="99"/>
    <w:rsid w:val="008109DA"/>
    <w:pPr>
      <w:widowControl w:val="0"/>
      <w:autoSpaceDE w:val="0"/>
      <w:autoSpaceDN w:val="0"/>
      <w:adjustRightInd w:val="0"/>
      <w:spacing w:after="0"/>
    </w:pPr>
    <w:rPr>
      <w:rFonts w:ascii="Garamond" w:eastAsia="Times New Roman" w:hAnsi="Garamond" w:cs="Times New Roman"/>
      <w:sz w:val="24"/>
      <w:szCs w:val="24"/>
      <w:lang w:val="x-none" w:eastAsia="x-none"/>
    </w:rPr>
  </w:style>
  <w:style w:type="character" w:customStyle="1" w:styleId="RecuodecorpodetextoChar">
    <w:name w:val="Recuo de corpo de texto Char"/>
    <w:aliases w:val="Body Text Bold Indent Char,bt2 Char,bti Char"/>
    <w:basedOn w:val="Fontepargpadro"/>
    <w:link w:val="Recuodecorpodetexto"/>
    <w:uiPriority w:val="99"/>
    <w:rsid w:val="008109DA"/>
    <w:rPr>
      <w:rFonts w:ascii="Garamond" w:eastAsia="Times New Roman" w:hAnsi="Garamond" w:cs="Times New Roman"/>
      <w:sz w:val="24"/>
      <w:szCs w:val="24"/>
      <w:lang w:val="x-none" w:eastAsia="x-none"/>
    </w:rPr>
  </w:style>
  <w:style w:type="paragraph" w:styleId="Recuodecorpodetexto2">
    <w:name w:val="Body Text Indent 2"/>
    <w:basedOn w:val="Normal"/>
    <w:link w:val="Recuodecorpodetexto2Char"/>
    <w:uiPriority w:val="99"/>
    <w:rsid w:val="008109DA"/>
    <w:pPr>
      <w:autoSpaceDE w:val="0"/>
      <w:autoSpaceDN w:val="0"/>
      <w:adjustRightInd w:val="0"/>
      <w:spacing w:after="0"/>
      <w:ind w:firstLine="2160"/>
    </w:pPr>
    <w:rPr>
      <w:rFonts w:ascii="Garamond" w:eastAsia="Times New Roman" w:hAnsi="Garamond" w:cs="Times New Roman"/>
      <w:sz w:val="24"/>
      <w:szCs w:val="24"/>
      <w:lang w:val="x-none" w:eastAsia="x-none"/>
    </w:rPr>
  </w:style>
  <w:style w:type="character" w:customStyle="1" w:styleId="Recuodecorpodetexto2Char">
    <w:name w:val="Recuo de corpo de texto 2 Char"/>
    <w:basedOn w:val="Fontepargpadro"/>
    <w:link w:val="Recuodecorpodetexto2"/>
    <w:uiPriority w:val="99"/>
    <w:rsid w:val="008109DA"/>
    <w:rPr>
      <w:rFonts w:ascii="Garamond" w:eastAsia="Times New Roman" w:hAnsi="Garamond" w:cs="Times New Roman"/>
      <w:sz w:val="24"/>
      <w:szCs w:val="24"/>
      <w:lang w:val="x-none" w:eastAsia="x-none"/>
    </w:rPr>
  </w:style>
  <w:style w:type="paragraph" w:styleId="Recuodecorpodetexto3">
    <w:name w:val="Body Text Indent 3"/>
    <w:basedOn w:val="Normal"/>
    <w:link w:val="Recuodecorpodetexto3Char"/>
    <w:uiPriority w:val="99"/>
    <w:rsid w:val="008109DA"/>
    <w:pPr>
      <w:widowControl w:val="0"/>
      <w:autoSpaceDE w:val="0"/>
      <w:autoSpaceDN w:val="0"/>
      <w:adjustRightInd w:val="0"/>
      <w:spacing w:after="0"/>
      <w:ind w:firstLine="2124"/>
    </w:pPr>
    <w:rPr>
      <w:rFonts w:ascii="Garamond" w:eastAsia="Times New Roman" w:hAnsi="Garamond" w:cs="Times New Roman"/>
      <w:sz w:val="16"/>
      <w:szCs w:val="16"/>
      <w:lang w:val="x-none" w:eastAsia="x-none"/>
    </w:rPr>
  </w:style>
  <w:style w:type="character" w:customStyle="1" w:styleId="Recuodecorpodetexto3Char">
    <w:name w:val="Recuo de corpo de texto 3 Char"/>
    <w:basedOn w:val="Fontepargpadro"/>
    <w:link w:val="Recuodecorpodetexto3"/>
    <w:uiPriority w:val="99"/>
    <w:rsid w:val="008109DA"/>
    <w:rPr>
      <w:rFonts w:ascii="Garamond" w:eastAsia="Times New Roman" w:hAnsi="Garamond" w:cs="Times New Roman"/>
      <w:sz w:val="16"/>
      <w:szCs w:val="16"/>
      <w:lang w:val="x-none" w:eastAsia="x-none"/>
    </w:rPr>
  </w:style>
  <w:style w:type="paragraph" w:customStyle="1" w:styleId="para10">
    <w:name w:val="para10"/>
    <w:rsid w:val="008109DA"/>
    <w:pPr>
      <w:widowControl w:val="0"/>
      <w:tabs>
        <w:tab w:val="left" w:pos="0"/>
        <w:tab w:val="left" w:pos="1418"/>
        <w:tab w:val="left" w:pos="2835"/>
        <w:tab w:val="left" w:pos="4252"/>
      </w:tabs>
      <w:autoSpaceDE w:val="0"/>
      <w:autoSpaceDN w:val="0"/>
      <w:adjustRightInd w:val="0"/>
      <w:spacing w:before="121" w:after="0" w:line="232" w:lineRule="atLeast"/>
      <w:jc w:val="both"/>
    </w:pPr>
    <w:rPr>
      <w:rFonts w:ascii="Times" w:eastAsia="Times New Roman" w:hAnsi="Times" w:cs="Verdana"/>
      <w:sz w:val="24"/>
      <w:szCs w:val="24"/>
      <w:lang w:eastAsia="pt-BR"/>
    </w:rPr>
  </w:style>
  <w:style w:type="paragraph" w:styleId="Textoembloco">
    <w:name w:val="Block Text"/>
    <w:basedOn w:val="Normal"/>
    <w:uiPriority w:val="99"/>
    <w:rsid w:val="008109DA"/>
    <w:pPr>
      <w:tabs>
        <w:tab w:val="left" w:pos="9072"/>
      </w:tabs>
      <w:autoSpaceDE w:val="0"/>
      <w:autoSpaceDN w:val="0"/>
      <w:adjustRightInd w:val="0"/>
      <w:spacing w:after="0" w:line="240" w:lineRule="atLeast"/>
      <w:ind w:left="426" w:right="-1"/>
    </w:pPr>
    <w:rPr>
      <w:rFonts w:ascii="Garamond" w:eastAsia="Times New Roman" w:hAnsi="Garamond" w:cs="Times New Roman"/>
      <w:sz w:val="24"/>
      <w:szCs w:val="24"/>
      <w:lang w:eastAsia="pt-BR"/>
    </w:rPr>
  </w:style>
  <w:style w:type="paragraph" w:styleId="Ttulo">
    <w:name w:val="Title"/>
    <w:basedOn w:val="Normal"/>
    <w:link w:val="TtuloChar"/>
    <w:uiPriority w:val="10"/>
    <w:qFormat/>
    <w:rsid w:val="008109DA"/>
    <w:pPr>
      <w:autoSpaceDE w:val="0"/>
      <w:autoSpaceDN w:val="0"/>
      <w:adjustRightInd w:val="0"/>
      <w:spacing w:after="0"/>
      <w:jc w:val="center"/>
    </w:pPr>
    <w:rPr>
      <w:rFonts w:ascii="Cambria" w:eastAsia="Times New Roman" w:hAnsi="Cambria" w:cs="Times New Roman"/>
      <w:b/>
      <w:bCs/>
      <w:kern w:val="28"/>
      <w:sz w:val="32"/>
      <w:szCs w:val="32"/>
      <w:lang w:val="x-none" w:eastAsia="x-none"/>
    </w:rPr>
  </w:style>
  <w:style w:type="character" w:customStyle="1" w:styleId="TtuloChar">
    <w:name w:val="Título Char"/>
    <w:basedOn w:val="Fontepargpadro"/>
    <w:link w:val="Ttulo"/>
    <w:uiPriority w:val="10"/>
    <w:rsid w:val="008109DA"/>
    <w:rPr>
      <w:rFonts w:ascii="Cambria" w:eastAsia="Times New Roman" w:hAnsi="Cambria" w:cs="Times New Roman"/>
      <w:b/>
      <w:bCs/>
      <w:kern w:val="28"/>
      <w:sz w:val="32"/>
      <w:szCs w:val="32"/>
      <w:lang w:val="x-none" w:eastAsia="x-none"/>
    </w:rPr>
  </w:style>
  <w:style w:type="paragraph" w:styleId="MapadoDocumento">
    <w:name w:val="Document Map"/>
    <w:basedOn w:val="Normal"/>
    <w:link w:val="MapadoDocumentoChar"/>
    <w:uiPriority w:val="99"/>
    <w:rsid w:val="008109DA"/>
    <w:pPr>
      <w:shd w:val="clear" w:color="auto" w:fill="000080"/>
      <w:autoSpaceDE w:val="0"/>
      <w:autoSpaceDN w:val="0"/>
      <w:adjustRightInd w:val="0"/>
      <w:spacing w:after="0"/>
      <w:jc w:val="left"/>
    </w:pPr>
    <w:rPr>
      <w:rFonts w:ascii="Tahoma" w:eastAsia="Times New Roman" w:hAnsi="Tahoma" w:cs="Times New Roman"/>
      <w:sz w:val="24"/>
      <w:szCs w:val="20"/>
      <w:lang w:val="x-none" w:eastAsia="x-none"/>
    </w:rPr>
  </w:style>
  <w:style w:type="character" w:customStyle="1" w:styleId="MapadoDocumentoChar">
    <w:name w:val="Mapa do Documento Char"/>
    <w:basedOn w:val="Fontepargpadro"/>
    <w:link w:val="MapadoDocumento"/>
    <w:uiPriority w:val="99"/>
    <w:rsid w:val="008109DA"/>
    <w:rPr>
      <w:rFonts w:ascii="Tahoma" w:eastAsia="Times New Roman" w:hAnsi="Tahoma" w:cs="Times New Roman"/>
      <w:sz w:val="24"/>
      <w:szCs w:val="20"/>
      <w:shd w:val="clear" w:color="auto" w:fill="000080"/>
      <w:lang w:val="x-none" w:eastAsia="x-none"/>
    </w:rPr>
  </w:style>
  <w:style w:type="paragraph" w:customStyle="1" w:styleId="c3">
    <w:name w:val="c3"/>
    <w:basedOn w:val="Normal"/>
    <w:rsid w:val="008109DA"/>
    <w:pPr>
      <w:autoSpaceDE w:val="0"/>
      <w:autoSpaceDN w:val="0"/>
      <w:adjustRightInd w:val="0"/>
      <w:spacing w:after="0" w:line="240" w:lineRule="atLeast"/>
      <w:jc w:val="center"/>
    </w:pPr>
    <w:rPr>
      <w:rFonts w:ascii="Times" w:eastAsia="Times New Roman" w:hAnsi="Times" w:cs="Verdana"/>
      <w:sz w:val="24"/>
      <w:szCs w:val="24"/>
      <w:lang w:eastAsia="pt-BR"/>
    </w:rPr>
  </w:style>
  <w:style w:type="paragraph" w:customStyle="1" w:styleId="DeltaViewTableHeading">
    <w:name w:val="DeltaView Table Heading"/>
    <w:basedOn w:val="Normal"/>
    <w:rsid w:val="008109DA"/>
    <w:pPr>
      <w:autoSpaceDE w:val="0"/>
      <w:autoSpaceDN w:val="0"/>
      <w:adjustRightInd w:val="0"/>
      <w:spacing w:after="120"/>
      <w:jc w:val="left"/>
    </w:pPr>
    <w:rPr>
      <w:rFonts w:ascii="Arial" w:eastAsia="Times New Roman" w:hAnsi="Arial" w:cs="Arial"/>
      <w:b/>
      <w:sz w:val="24"/>
      <w:szCs w:val="24"/>
      <w:lang w:val="en-US" w:eastAsia="pt-BR"/>
    </w:rPr>
  </w:style>
  <w:style w:type="paragraph" w:customStyle="1" w:styleId="DeltaViewTableBody">
    <w:name w:val="DeltaView Table Body"/>
    <w:basedOn w:val="Normal"/>
    <w:rsid w:val="008109DA"/>
    <w:pPr>
      <w:autoSpaceDE w:val="0"/>
      <w:autoSpaceDN w:val="0"/>
      <w:adjustRightInd w:val="0"/>
      <w:spacing w:after="0"/>
      <w:jc w:val="left"/>
    </w:pPr>
    <w:rPr>
      <w:rFonts w:ascii="Arial" w:eastAsia="Times New Roman" w:hAnsi="Arial" w:cs="Arial"/>
      <w:sz w:val="24"/>
      <w:szCs w:val="24"/>
      <w:lang w:val="en-US" w:eastAsia="pt-BR"/>
    </w:rPr>
  </w:style>
  <w:style w:type="paragraph" w:customStyle="1" w:styleId="DeltaViewAnnounce">
    <w:name w:val="DeltaView Announce"/>
    <w:rsid w:val="008109DA"/>
    <w:pPr>
      <w:autoSpaceDE w:val="0"/>
      <w:autoSpaceDN w:val="0"/>
      <w:adjustRightInd w:val="0"/>
      <w:spacing w:before="100" w:beforeAutospacing="1" w:after="100" w:afterAutospacing="1" w:line="240" w:lineRule="auto"/>
    </w:pPr>
    <w:rPr>
      <w:rFonts w:ascii="Arial" w:eastAsia="Times New Roman" w:hAnsi="Arial" w:cs="Arial"/>
      <w:sz w:val="24"/>
      <w:szCs w:val="24"/>
      <w:lang w:val="en-GB" w:eastAsia="pt-BR"/>
    </w:rPr>
  </w:style>
  <w:style w:type="character" w:customStyle="1" w:styleId="DeltaViewMoveSource">
    <w:name w:val="DeltaView Move Source"/>
    <w:uiPriority w:val="99"/>
    <w:rsid w:val="008109DA"/>
    <w:rPr>
      <w:strike/>
      <w:color w:val="00C000"/>
    </w:rPr>
  </w:style>
  <w:style w:type="character" w:customStyle="1" w:styleId="DeltaViewMoveDestination">
    <w:name w:val="DeltaView Move Destination"/>
    <w:uiPriority w:val="99"/>
    <w:rsid w:val="008109DA"/>
    <w:rPr>
      <w:color w:val="00C000"/>
      <w:u w:val="double"/>
    </w:rPr>
  </w:style>
  <w:style w:type="character" w:customStyle="1" w:styleId="DeltaViewChangeNumber">
    <w:name w:val="DeltaView Change Number"/>
    <w:rsid w:val="008109DA"/>
    <w:rPr>
      <w:color w:val="000000"/>
      <w:vertAlign w:val="superscript"/>
    </w:rPr>
  </w:style>
  <w:style w:type="character" w:customStyle="1" w:styleId="DeltaViewDelimiter">
    <w:name w:val="DeltaView Delimiter"/>
    <w:rsid w:val="008109DA"/>
  </w:style>
  <w:style w:type="character" w:customStyle="1" w:styleId="DeltaViewFormatChange">
    <w:name w:val="DeltaView Format Change"/>
    <w:rsid w:val="008109DA"/>
    <w:rPr>
      <w:color w:val="000000"/>
    </w:rPr>
  </w:style>
  <w:style w:type="character" w:customStyle="1" w:styleId="DeltaViewMovedDeletion">
    <w:name w:val="DeltaView Moved Deletion"/>
    <w:rsid w:val="008109DA"/>
    <w:rPr>
      <w:strike/>
      <w:color w:val="C08080"/>
    </w:rPr>
  </w:style>
  <w:style w:type="character" w:customStyle="1" w:styleId="DeltaViewEditorComment">
    <w:name w:val="DeltaView Editor Comment"/>
    <w:rsid w:val="008109DA"/>
    <w:rPr>
      <w:color w:val="0000FF"/>
      <w:spacing w:val="0"/>
      <w:u w:val="double"/>
    </w:rPr>
  </w:style>
  <w:style w:type="paragraph" w:styleId="Corpodetexto2">
    <w:name w:val="Body Text 2"/>
    <w:basedOn w:val="Normal"/>
    <w:link w:val="Corpodetexto2Char"/>
    <w:uiPriority w:val="99"/>
    <w:rsid w:val="008109DA"/>
    <w:pPr>
      <w:autoSpaceDE w:val="0"/>
      <w:autoSpaceDN w:val="0"/>
      <w:adjustRightInd w:val="0"/>
      <w:spacing w:after="0"/>
    </w:pPr>
    <w:rPr>
      <w:rFonts w:ascii="Garamond" w:eastAsia="Times New Roman" w:hAnsi="Garamond" w:cs="Times New Roman"/>
      <w:sz w:val="24"/>
      <w:szCs w:val="24"/>
      <w:lang w:val="x-none" w:eastAsia="x-none"/>
    </w:rPr>
  </w:style>
  <w:style w:type="character" w:customStyle="1" w:styleId="Corpodetexto2Char">
    <w:name w:val="Corpo de texto 2 Char"/>
    <w:basedOn w:val="Fontepargpadro"/>
    <w:link w:val="Corpodetexto2"/>
    <w:uiPriority w:val="99"/>
    <w:rsid w:val="008109DA"/>
    <w:rPr>
      <w:rFonts w:ascii="Garamond" w:eastAsia="Times New Roman" w:hAnsi="Garamond" w:cs="Times New Roman"/>
      <w:sz w:val="24"/>
      <w:szCs w:val="24"/>
      <w:lang w:val="x-none" w:eastAsia="x-none"/>
    </w:rPr>
  </w:style>
  <w:style w:type="paragraph" w:styleId="NormalWeb">
    <w:name w:val="Normal (Web)"/>
    <w:basedOn w:val="Normal"/>
    <w:uiPriority w:val="99"/>
    <w:rsid w:val="008109DA"/>
    <w:pPr>
      <w:autoSpaceDE w:val="0"/>
      <w:autoSpaceDN w:val="0"/>
      <w:adjustRightInd w:val="0"/>
      <w:spacing w:before="100" w:beforeAutospacing="1" w:after="100" w:afterAutospacing="1"/>
      <w:jc w:val="left"/>
    </w:pPr>
    <w:rPr>
      <w:rFonts w:ascii="Arial Unicode MS" w:eastAsia="Arial Unicode MS" w:hAnsi="Arial Unicode MS" w:cs="Times New Roman"/>
      <w:sz w:val="24"/>
      <w:szCs w:val="24"/>
      <w:lang w:eastAsia="pt-BR"/>
    </w:rPr>
  </w:style>
  <w:style w:type="paragraph" w:styleId="Textodebalo">
    <w:name w:val="Balloon Text"/>
    <w:basedOn w:val="Normal"/>
    <w:link w:val="TextodebaloChar"/>
    <w:uiPriority w:val="99"/>
    <w:rsid w:val="008109DA"/>
    <w:pPr>
      <w:autoSpaceDE w:val="0"/>
      <w:autoSpaceDN w:val="0"/>
      <w:adjustRightInd w:val="0"/>
      <w:spacing w:after="0"/>
      <w:jc w:val="left"/>
    </w:pPr>
    <w:rPr>
      <w:rFonts w:ascii="Tahoma" w:eastAsia="Times New Roman" w:hAnsi="Tahoma" w:cs="Times New Roman"/>
      <w:sz w:val="16"/>
      <w:szCs w:val="16"/>
      <w:lang w:val="x-none" w:eastAsia="x-none"/>
    </w:rPr>
  </w:style>
  <w:style w:type="character" w:customStyle="1" w:styleId="TextodebaloChar">
    <w:name w:val="Texto de balão Char"/>
    <w:basedOn w:val="Fontepargpadro"/>
    <w:link w:val="Textodebalo"/>
    <w:uiPriority w:val="99"/>
    <w:rsid w:val="008109DA"/>
    <w:rPr>
      <w:rFonts w:ascii="Tahoma" w:eastAsia="Times New Roman" w:hAnsi="Tahoma" w:cs="Times New Roman"/>
      <w:sz w:val="16"/>
      <w:szCs w:val="16"/>
      <w:lang w:val="x-none" w:eastAsia="x-none"/>
    </w:rPr>
  </w:style>
  <w:style w:type="paragraph" w:customStyle="1" w:styleId="BalloonText1">
    <w:name w:val="Balloon Text1"/>
    <w:basedOn w:val="Normal"/>
    <w:rsid w:val="008109DA"/>
    <w:pPr>
      <w:autoSpaceDE w:val="0"/>
      <w:autoSpaceDN w:val="0"/>
      <w:adjustRightInd w:val="0"/>
      <w:spacing w:after="0"/>
      <w:jc w:val="left"/>
    </w:pPr>
    <w:rPr>
      <w:rFonts w:ascii="Tahoma" w:eastAsia="Times New Roman" w:hAnsi="Tahoma" w:cs="Tahoma"/>
      <w:sz w:val="16"/>
      <w:szCs w:val="16"/>
      <w:lang w:eastAsia="pt-BR"/>
    </w:rPr>
  </w:style>
  <w:style w:type="character" w:customStyle="1" w:styleId="bodytext3char">
    <w:name w:val="bodytext3char"/>
    <w:rsid w:val="008109DA"/>
    <w:rPr>
      <w:rFonts w:cs="Times New Roman"/>
    </w:rPr>
  </w:style>
  <w:style w:type="paragraph" w:customStyle="1" w:styleId="Citipet">
    <w:name w:val="Citipet"/>
    <w:rsid w:val="008109DA"/>
    <w:pPr>
      <w:widowControl w:val="0"/>
      <w:autoSpaceDE w:val="0"/>
      <w:autoSpaceDN w:val="0"/>
      <w:adjustRightInd w:val="0"/>
      <w:spacing w:after="0" w:line="240" w:lineRule="auto"/>
      <w:ind w:left="1418" w:right="1134"/>
      <w:jc w:val="both"/>
    </w:pPr>
    <w:rPr>
      <w:rFonts w:ascii="Times New Roman" w:eastAsia="Times New Roman" w:hAnsi="Times New Roman" w:cs="Times New Roman"/>
      <w:sz w:val="24"/>
      <w:szCs w:val="24"/>
      <w:lang w:eastAsia="pt-BR"/>
    </w:rPr>
  </w:style>
  <w:style w:type="paragraph" w:customStyle="1" w:styleId="CharChar">
    <w:name w:val="Char Char"/>
    <w:basedOn w:val="Normal"/>
    <w:rsid w:val="008109DA"/>
    <w:pPr>
      <w:autoSpaceDE w:val="0"/>
      <w:autoSpaceDN w:val="0"/>
      <w:adjustRightInd w:val="0"/>
      <w:spacing w:after="160" w:line="240" w:lineRule="exact"/>
      <w:jc w:val="left"/>
    </w:pPr>
    <w:rPr>
      <w:rFonts w:ascii="Verdana" w:eastAsia="MS Mincho" w:hAnsi="Verdana" w:cs="Times New Roman"/>
      <w:szCs w:val="20"/>
      <w:lang w:val="en-US" w:eastAsia="pt-BR"/>
    </w:rPr>
  </w:style>
  <w:style w:type="paragraph" w:styleId="Subttulo">
    <w:name w:val="Subtitle"/>
    <w:basedOn w:val="Normal"/>
    <w:link w:val="SubttuloChar"/>
    <w:uiPriority w:val="11"/>
    <w:qFormat/>
    <w:rsid w:val="008109DA"/>
    <w:pPr>
      <w:autoSpaceDE w:val="0"/>
      <w:autoSpaceDN w:val="0"/>
      <w:adjustRightInd w:val="0"/>
      <w:spacing w:after="60"/>
      <w:jc w:val="center"/>
      <w:outlineLvl w:val="1"/>
    </w:pPr>
    <w:rPr>
      <w:rFonts w:ascii="Cambria" w:eastAsia="Times New Roman" w:hAnsi="Cambria" w:cs="Times New Roman"/>
      <w:sz w:val="24"/>
      <w:szCs w:val="24"/>
      <w:lang w:val="x-none" w:eastAsia="x-none"/>
    </w:rPr>
  </w:style>
  <w:style w:type="character" w:customStyle="1" w:styleId="SubttuloChar">
    <w:name w:val="Subtítulo Char"/>
    <w:basedOn w:val="Fontepargpadro"/>
    <w:link w:val="Subttulo"/>
    <w:uiPriority w:val="11"/>
    <w:rsid w:val="008109DA"/>
    <w:rPr>
      <w:rFonts w:ascii="Cambria" w:eastAsia="Times New Roman" w:hAnsi="Cambria" w:cs="Times New Roman"/>
      <w:sz w:val="24"/>
      <w:szCs w:val="24"/>
      <w:lang w:val="x-none" w:eastAsia="x-none"/>
    </w:r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rsid w:val="008109DA"/>
    <w:pPr>
      <w:widowControl w:val="0"/>
      <w:autoSpaceDE w:val="0"/>
      <w:autoSpaceDN w:val="0"/>
      <w:adjustRightInd w:val="0"/>
      <w:spacing w:after="160" w:line="240" w:lineRule="exact"/>
    </w:pPr>
    <w:rPr>
      <w:rFonts w:ascii="Verdana" w:eastAsia="MS Mincho" w:hAnsi="Verdana" w:cs="Times New Roman"/>
      <w:szCs w:val="20"/>
      <w:lang w:val="en-US" w:eastAsia="pt-BR"/>
    </w:rPr>
  </w:style>
  <w:style w:type="paragraph" w:customStyle="1" w:styleId="p3">
    <w:name w:val="p3"/>
    <w:basedOn w:val="Normal"/>
    <w:rsid w:val="008109DA"/>
    <w:pPr>
      <w:tabs>
        <w:tab w:val="left" w:pos="720"/>
      </w:tabs>
      <w:autoSpaceDE w:val="0"/>
      <w:autoSpaceDN w:val="0"/>
      <w:adjustRightInd w:val="0"/>
      <w:spacing w:after="0" w:line="240" w:lineRule="atLeast"/>
    </w:pPr>
    <w:rPr>
      <w:rFonts w:ascii="Times" w:eastAsia="Times New Roman" w:hAnsi="Times" w:cs="Times New Roman"/>
      <w:sz w:val="24"/>
      <w:szCs w:val="20"/>
      <w:lang w:eastAsia="pt-BR"/>
    </w:rPr>
  </w:style>
  <w:style w:type="paragraph" w:customStyle="1" w:styleId="CharChar1CharCharCharCharCharCharCharCharCharCharCharCharCharCharCharChar1CharCharCharCharCharCharCharCharCharCharChar1CharCharCharChar">
    <w:name w:val="Char Char1 Char Char Char Char Char Char Char Char Char Char Char Char Char Char Char Char1 Char Char Char Char Char Char Char Char Char Char Char1 Char Char Char Char"/>
    <w:basedOn w:val="Normal"/>
    <w:rsid w:val="008109DA"/>
    <w:pPr>
      <w:autoSpaceDE w:val="0"/>
      <w:autoSpaceDN w:val="0"/>
      <w:adjustRightInd w:val="0"/>
      <w:spacing w:after="160" w:line="240" w:lineRule="exact"/>
      <w:jc w:val="left"/>
    </w:pPr>
    <w:rPr>
      <w:rFonts w:ascii="Verdana" w:eastAsia="Times New Roman" w:hAnsi="Verdana" w:cs="Times New Roman"/>
      <w:szCs w:val="20"/>
      <w:lang w:val="en-US" w:eastAsia="pt-BR"/>
    </w:rPr>
  </w:style>
  <w:style w:type="character" w:styleId="Forte">
    <w:name w:val="Strong"/>
    <w:uiPriority w:val="22"/>
    <w:qFormat/>
    <w:rsid w:val="008109DA"/>
    <w:rPr>
      <w:b/>
    </w:rPr>
  </w:style>
  <w:style w:type="paragraph" w:customStyle="1" w:styleId="ListParagraph1">
    <w:name w:val="List Paragraph1"/>
    <w:basedOn w:val="Normal"/>
    <w:qFormat/>
    <w:rsid w:val="008109DA"/>
    <w:pPr>
      <w:autoSpaceDE w:val="0"/>
      <w:autoSpaceDN w:val="0"/>
      <w:adjustRightInd w:val="0"/>
      <w:spacing w:after="0"/>
      <w:ind w:left="720"/>
      <w:jc w:val="left"/>
    </w:pPr>
    <w:rPr>
      <w:rFonts w:ascii="Garamond" w:eastAsia="Times New Roman" w:hAnsi="Garamond" w:cs="Times New Roman"/>
      <w:sz w:val="24"/>
      <w:szCs w:val="24"/>
      <w:lang w:eastAsia="pt-BR"/>
    </w:rPr>
  </w:style>
  <w:style w:type="character" w:styleId="nfase">
    <w:name w:val="Emphasis"/>
    <w:uiPriority w:val="20"/>
    <w:qFormat/>
    <w:rsid w:val="008109DA"/>
    <w:rPr>
      <w:i/>
    </w:rPr>
  </w:style>
  <w:style w:type="paragraph" w:customStyle="1" w:styleId="BodyText21">
    <w:name w:val="Body Text 21"/>
    <w:basedOn w:val="Normal"/>
    <w:rsid w:val="008109DA"/>
    <w:pPr>
      <w:tabs>
        <w:tab w:val="left" w:pos="72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pPr>
    <w:rPr>
      <w:rFonts w:ascii="Garamond" w:eastAsia="Times New Roman" w:hAnsi="Garamond" w:cs="Times New Roman"/>
      <w:sz w:val="28"/>
      <w:szCs w:val="20"/>
      <w:lang w:eastAsia="pt-BR"/>
    </w:rPr>
  </w:style>
  <w:style w:type="paragraph" w:customStyle="1" w:styleId="BodyTextIndent21">
    <w:name w:val="Body Text Indent 21"/>
    <w:basedOn w:val="Normal"/>
    <w:rsid w:val="008109DA"/>
    <w:pPr>
      <w:tabs>
        <w:tab w:val="left" w:pos="72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1304"/>
    </w:pPr>
    <w:rPr>
      <w:rFonts w:ascii="Garamond" w:eastAsia="Times New Roman" w:hAnsi="Garamond" w:cs="Times New Roman"/>
      <w:sz w:val="28"/>
      <w:szCs w:val="20"/>
      <w:lang w:eastAsia="pt-BR"/>
    </w:rPr>
  </w:style>
  <w:style w:type="character" w:customStyle="1" w:styleId="wT9">
    <w:name w:val="wT9"/>
    <w:rsid w:val="008109DA"/>
  </w:style>
  <w:style w:type="paragraph" w:customStyle="1" w:styleId="CharCharCharCharCharCharCharChar">
    <w:name w:val="Char Char Char Char Char Char Char Char"/>
    <w:basedOn w:val="Normal"/>
    <w:rsid w:val="008109DA"/>
    <w:pPr>
      <w:autoSpaceDE w:val="0"/>
      <w:autoSpaceDN w:val="0"/>
      <w:adjustRightInd w:val="0"/>
      <w:spacing w:after="160" w:line="240" w:lineRule="exact"/>
      <w:jc w:val="left"/>
    </w:pPr>
    <w:rPr>
      <w:rFonts w:ascii="Verdana" w:eastAsia="Times New Roman" w:hAnsi="Verdana" w:cs="Times New Roman"/>
      <w:szCs w:val="20"/>
      <w:lang w:val="en-US" w:eastAsia="pt-BR"/>
    </w:rPr>
  </w:style>
  <w:style w:type="paragraph" w:customStyle="1" w:styleId="Clausula">
    <w:name w:val="Clausula"/>
    <w:basedOn w:val="Normal"/>
    <w:rsid w:val="008109DA"/>
    <w:pPr>
      <w:widowControl w:val="0"/>
      <w:autoSpaceDE w:val="0"/>
      <w:autoSpaceDN w:val="0"/>
      <w:adjustRightInd w:val="0"/>
      <w:spacing w:after="0" w:line="480" w:lineRule="auto"/>
      <w:jc w:val="center"/>
    </w:pPr>
    <w:rPr>
      <w:rFonts w:ascii="Tahoma" w:eastAsia="Times New Roman" w:hAnsi="Tahoma" w:cs="Times New Roman"/>
      <w:b/>
      <w:sz w:val="16"/>
      <w:szCs w:val="20"/>
      <w:lang w:eastAsia="pt-BR"/>
    </w:rPr>
  </w:style>
  <w:style w:type="paragraph" w:customStyle="1" w:styleId="ContratoN3">
    <w:name w:val="Contrato_N3"/>
    <w:basedOn w:val="Normal"/>
    <w:rsid w:val="008109DA"/>
    <w:pPr>
      <w:numPr>
        <w:ilvl w:val="1"/>
        <w:numId w:val="33"/>
      </w:numPr>
      <w:tabs>
        <w:tab w:val="clear" w:pos="1134"/>
        <w:tab w:val="num" w:pos="1854"/>
      </w:tabs>
      <w:autoSpaceDE w:val="0"/>
      <w:autoSpaceDN w:val="0"/>
      <w:adjustRightInd w:val="0"/>
      <w:spacing w:before="360" w:after="120" w:line="300" w:lineRule="exact"/>
      <w:ind w:left="1638" w:hanging="504"/>
    </w:pPr>
    <w:rPr>
      <w:rFonts w:ascii="Garamond" w:eastAsia="Times New Roman" w:hAnsi="Garamond" w:cs="Times New Roman"/>
      <w:sz w:val="24"/>
      <w:szCs w:val="24"/>
      <w:lang w:val="en-US" w:eastAsia="pt-BR"/>
    </w:rPr>
  </w:style>
  <w:style w:type="paragraph" w:customStyle="1" w:styleId="EstiloContratoN1PretoVersalete">
    <w:name w:val="Estilo Contrato_N1 + Preto Versalete"/>
    <w:basedOn w:val="Normal"/>
    <w:rsid w:val="008109DA"/>
    <w:pPr>
      <w:numPr>
        <w:ilvl w:val="2"/>
        <w:numId w:val="33"/>
      </w:numPr>
      <w:tabs>
        <w:tab w:val="clear" w:pos="1854"/>
        <w:tab w:val="num" w:pos="0"/>
      </w:tabs>
      <w:autoSpaceDE w:val="0"/>
      <w:autoSpaceDN w:val="0"/>
      <w:adjustRightInd w:val="0"/>
      <w:spacing w:before="600" w:after="120"/>
      <w:ind w:left="0" w:firstLine="288"/>
      <w:jc w:val="center"/>
    </w:pPr>
    <w:rPr>
      <w:rFonts w:ascii="Times New Roman Negrito" w:eastAsia="Times New Roman" w:hAnsi="Times New Roman Negrito" w:cs="Times New Roman"/>
      <w:b/>
      <w:caps/>
      <w:smallCaps/>
      <w:color w:val="000000"/>
      <w:sz w:val="24"/>
      <w:szCs w:val="24"/>
      <w:lang w:val="en-US" w:eastAsia="pt-BR"/>
    </w:rPr>
  </w:style>
  <w:style w:type="paragraph" w:customStyle="1" w:styleId="PargrafodaLista1">
    <w:name w:val="Parágrafo da Lista1"/>
    <w:basedOn w:val="Normal"/>
    <w:qFormat/>
    <w:rsid w:val="008109DA"/>
    <w:pPr>
      <w:numPr>
        <w:numId w:val="33"/>
      </w:numPr>
      <w:autoSpaceDE w:val="0"/>
      <w:autoSpaceDN w:val="0"/>
      <w:adjustRightInd w:val="0"/>
      <w:spacing w:after="0"/>
      <w:jc w:val="left"/>
    </w:pPr>
    <w:rPr>
      <w:rFonts w:ascii="Garamond" w:eastAsia="Times New Roman" w:hAnsi="Garamond" w:cs="Times New Roman"/>
      <w:sz w:val="24"/>
      <w:szCs w:val="24"/>
      <w:lang w:eastAsia="pt-BR"/>
    </w:rPr>
  </w:style>
  <w:style w:type="character" w:customStyle="1" w:styleId="msoins0">
    <w:name w:val="msoins"/>
    <w:rsid w:val="008109DA"/>
    <w:rPr>
      <w:rFonts w:cs="Times New Roman"/>
    </w:rPr>
  </w:style>
  <w:style w:type="character" w:customStyle="1" w:styleId="CommarcadoresChar">
    <w:name w:val="Com marcadores Char"/>
    <w:rsid w:val="008109DA"/>
    <w:rPr>
      <w:sz w:val="24"/>
      <w:lang w:val="pt-BR"/>
    </w:rPr>
  </w:style>
  <w:style w:type="character" w:customStyle="1" w:styleId="msodel0">
    <w:name w:val="msodel"/>
    <w:rsid w:val="008109DA"/>
    <w:rPr>
      <w:rFonts w:cs="Times New Roman"/>
    </w:rPr>
  </w:style>
  <w:style w:type="paragraph" w:styleId="Textodenotadefim">
    <w:name w:val="endnote text"/>
    <w:basedOn w:val="Normal"/>
    <w:link w:val="TextodenotadefimChar"/>
    <w:uiPriority w:val="99"/>
    <w:rsid w:val="008109DA"/>
    <w:pPr>
      <w:autoSpaceDE w:val="0"/>
      <w:autoSpaceDN w:val="0"/>
      <w:adjustRightInd w:val="0"/>
      <w:spacing w:after="0"/>
      <w:jc w:val="left"/>
    </w:pPr>
    <w:rPr>
      <w:rFonts w:ascii="Calibri" w:eastAsia="Times New Roman" w:hAnsi="Calibri" w:cs="Times New Roman"/>
      <w:szCs w:val="20"/>
      <w:lang w:eastAsia="x-none"/>
    </w:rPr>
  </w:style>
  <w:style w:type="character" w:customStyle="1" w:styleId="TextodenotadefimChar">
    <w:name w:val="Texto de nota de fim Char"/>
    <w:basedOn w:val="Fontepargpadro"/>
    <w:link w:val="Textodenotadefim"/>
    <w:uiPriority w:val="99"/>
    <w:rsid w:val="008109DA"/>
    <w:rPr>
      <w:rFonts w:ascii="Calibri" w:eastAsia="Times New Roman" w:hAnsi="Calibri" w:cs="Times New Roman"/>
      <w:sz w:val="20"/>
      <w:szCs w:val="20"/>
      <w:lang w:eastAsia="x-none"/>
    </w:rPr>
  </w:style>
  <w:style w:type="character" w:styleId="Refdenotadefim">
    <w:name w:val="endnote reference"/>
    <w:uiPriority w:val="99"/>
    <w:rsid w:val="008109DA"/>
    <w:rPr>
      <w:vertAlign w:val="superscript"/>
    </w:rPr>
  </w:style>
  <w:style w:type="paragraph" w:styleId="TextosemFormatao">
    <w:name w:val="Plain Text"/>
    <w:basedOn w:val="Normal"/>
    <w:link w:val="TextosemFormataoChar"/>
    <w:uiPriority w:val="99"/>
    <w:rsid w:val="008109DA"/>
    <w:pPr>
      <w:autoSpaceDE w:val="0"/>
      <w:autoSpaceDN w:val="0"/>
      <w:adjustRightInd w:val="0"/>
      <w:spacing w:after="0"/>
      <w:jc w:val="left"/>
    </w:pPr>
    <w:rPr>
      <w:rFonts w:ascii="Consolas" w:eastAsia="Times New Roman" w:hAnsi="Consolas" w:cs="Times New Roman"/>
      <w:sz w:val="21"/>
      <w:szCs w:val="20"/>
      <w:lang w:val="x-none" w:eastAsia="x-none"/>
    </w:rPr>
  </w:style>
  <w:style w:type="character" w:customStyle="1" w:styleId="TextosemFormataoChar">
    <w:name w:val="Texto sem Formatação Char"/>
    <w:basedOn w:val="Fontepargpadro"/>
    <w:link w:val="TextosemFormatao"/>
    <w:uiPriority w:val="99"/>
    <w:rsid w:val="008109DA"/>
    <w:rPr>
      <w:rFonts w:ascii="Consolas" w:eastAsia="Times New Roman" w:hAnsi="Consolas" w:cs="Times New Roman"/>
      <w:sz w:val="21"/>
      <w:szCs w:val="20"/>
      <w:lang w:val="x-none" w:eastAsia="x-none"/>
    </w:rPr>
  </w:style>
  <w:style w:type="paragraph" w:customStyle="1" w:styleId="Default">
    <w:name w:val="Default"/>
    <w:rsid w:val="008109DA"/>
    <w:pPr>
      <w:autoSpaceDE w:val="0"/>
      <w:autoSpaceDN w:val="0"/>
      <w:adjustRightInd w:val="0"/>
      <w:spacing w:after="0" w:line="240" w:lineRule="auto"/>
    </w:pPr>
    <w:rPr>
      <w:rFonts w:ascii="Verdana" w:eastAsia="Times New Roman" w:hAnsi="Verdana" w:cs="Verdana"/>
      <w:color w:val="000000"/>
      <w:sz w:val="24"/>
      <w:szCs w:val="24"/>
      <w:lang w:eastAsia="pt-BR"/>
    </w:rPr>
  </w:style>
  <w:style w:type="paragraph" w:customStyle="1" w:styleId="NormalNumerada">
    <w:name w:val="Normal Numerada"/>
    <w:basedOn w:val="Normal"/>
    <w:rsid w:val="008109DA"/>
    <w:pPr>
      <w:numPr>
        <w:numId w:val="34"/>
      </w:numPr>
      <w:tabs>
        <w:tab w:val="left" w:pos="567"/>
      </w:tabs>
      <w:autoSpaceDE w:val="0"/>
      <w:autoSpaceDN w:val="0"/>
      <w:adjustRightInd w:val="0"/>
      <w:spacing w:before="60" w:after="60" w:line="264" w:lineRule="auto"/>
    </w:pPr>
    <w:rPr>
      <w:rFonts w:ascii="Arial" w:eastAsia="Times New Roman" w:hAnsi="Arial" w:cs="Times New Roman"/>
      <w:sz w:val="22"/>
      <w:szCs w:val="20"/>
      <w:lang w:eastAsia="pt-BR"/>
    </w:rPr>
  </w:style>
  <w:style w:type="paragraph" w:customStyle="1" w:styleId="STDTextoDois-Quatro">
    <w:name w:val="STD Texto Dois-Quatro"/>
    <w:basedOn w:val="Normal"/>
    <w:rsid w:val="008109DA"/>
    <w:pPr>
      <w:autoSpaceDE w:val="0"/>
      <w:autoSpaceDN w:val="0"/>
      <w:adjustRightInd w:val="0"/>
      <w:spacing w:before="240" w:after="0" w:line="240" w:lineRule="exact"/>
      <w:ind w:left="471"/>
    </w:pPr>
    <w:rPr>
      <w:rFonts w:ascii="Arial" w:eastAsia="Times New Roman" w:hAnsi="Arial" w:cs="Times New Roman"/>
      <w:szCs w:val="24"/>
      <w:lang w:eastAsia="pt-BR"/>
    </w:rPr>
  </w:style>
  <w:style w:type="character" w:customStyle="1" w:styleId="STDTextoDois-QuatroChar">
    <w:name w:val="STD Texto Dois-Quatro Char"/>
    <w:rsid w:val="008109DA"/>
    <w:rPr>
      <w:rFonts w:ascii="Arial" w:hAnsi="Arial"/>
      <w:sz w:val="24"/>
    </w:rPr>
  </w:style>
  <w:style w:type="paragraph" w:customStyle="1" w:styleId="Switzerland">
    <w:name w:val="Switzerland"/>
    <w:basedOn w:val="Corpodetexto"/>
    <w:rsid w:val="008109DA"/>
    <w:pPr>
      <w:autoSpaceDE w:val="0"/>
      <w:autoSpaceDN w:val="0"/>
      <w:adjustRightInd w:val="0"/>
      <w:spacing w:line="240" w:lineRule="auto"/>
    </w:pPr>
    <w:rPr>
      <w:rFonts w:ascii="Garamond" w:hAnsi="Garamond"/>
      <w:sz w:val="22"/>
      <w:szCs w:val="20"/>
      <w:lang w:val="pt-BR"/>
    </w:rPr>
  </w:style>
  <w:style w:type="paragraph" w:customStyle="1" w:styleId="Nome">
    <w:name w:val="Nome"/>
    <w:basedOn w:val="Normal"/>
    <w:rsid w:val="008109DA"/>
    <w:pPr>
      <w:autoSpaceDE w:val="0"/>
      <w:autoSpaceDN w:val="0"/>
      <w:adjustRightInd w:val="0"/>
      <w:spacing w:before="120" w:after="0" w:line="288" w:lineRule="auto"/>
    </w:pPr>
    <w:rPr>
      <w:rFonts w:ascii="Arial" w:eastAsia="Times New Roman" w:hAnsi="Arial" w:cs="Times New Roman"/>
      <w:sz w:val="22"/>
      <w:szCs w:val="24"/>
      <w:lang w:eastAsia="pt-BR"/>
    </w:rPr>
  </w:style>
  <w:style w:type="paragraph" w:customStyle="1" w:styleId="StyleHeading1Before0pt">
    <w:name w:val="Style Heading 1 + Before:  0 pt"/>
    <w:basedOn w:val="Ttulo1"/>
    <w:rsid w:val="008109DA"/>
    <w:pPr>
      <w:keepNext/>
      <w:pageBreakBefore w:val="0"/>
      <w:numPr>
        <w:numId w:val="35"/>
      </w:numPr>
      <w:pBdr>
        <w:bottom w:val="none" w:sz="0" w:space="0" w:color="auto"/>
      </w:pBdr>
      <w:tabs>
        <w:tab w:val="left" w:pos="851"/>
      </w:tabs>
      <w:autoSpaceDE w:val="0"/>
      <w:autoSpaceDN w:val="0"/>
      <w:adjustRightInd w:val="0"/>
      <w:spacing w:before="240" w:after="0"/>
      <w:jc w:val="both"/>
    </w:pPr>
    <w:rPr>
      <w:rFonts w:ascii="Times New Roman" w:eastAsia="Arial Unicode MS" w:hAnsi="Times New Roman" w:cs="Times New Roman"/>
      <w:b w:val="0"/>
      <w:bCs/>
      <w:smallCaps/>
      <w:color w:val="auto"/>
      <w:kern w:val="32"/>
      <w:szCs w:val="20"/>
      <w:lang w:val="x-none" w:eastAsia="x-none"/>
    </w:rPr>
  </w:style>
  <w:style w:type="character" w:customStyle="1" w:styleId="p0Char">
    <w:name w:val="p0 Char"/>
    <w:rsid w:val="008109DA"/>
    <w:rPr>
      <w:rFonts w:ascii="Times" w:hAnsi="Times"/>
      <w:sz w:val="24"/>
    </w:rPr>
  </w:style>
  <w:style w:type="paragraph" w:customStyle="1" w:styleId="ListParagraph2">
    <w:name w:val="List Paragraph2"/>
    <w:basedOn w:val="Normal"/>
    <w:rsid w:val="008109DA"/>
    <w:pPr>
      <w:autoSpaceDE w:val="0"/>
      <w:autoSpaceDN w:val="0"/>
      <w:adjustRightInd w:val="0"/>
      <w:spacing w:after="0"/>
      <w:ind w:left="708"/>
    </w:pPr>
    <w:rPr>
      <w:rFonts w:ascii="Garamond" w:eastAsia="Times New Roman" w:hAnsi="Garamond" w:cs="Times New Roman"/>
      <w:sz w:val="26"/>
      <w:szCs w:val="20"/>
      <w:lang w:eastAsia="pt-BR"/>
    </w:rPr>
  </w:style>
  <w:style w:type="paragraph" w:customStyle="1" w:styleId="STDNvelUm">
    <w:name w:val="STD Nível Um"/>
    <w:basedOn w:val="Normal"/>
    <w:next w:val="Normal"/>
    <w:rsid w:val="008109DA"/>
    <w:pPr>
      <w:numPr>
        <w:numId w:val="37"/>
      </w:numPr>
      <w:autoSpaceDE w:val="0"/>
      <w:autoSpaceDN w:val="0"/>
      <w:adjustRightInd w:val="0"/>
      <w:spacing w:after="0"/>
      <w:jc w:val="left"/>
      <w:outlineLvl w:val="0"/>
    </w:pPr>
    <w:rPr>
      <w:rFonts w:ascii="Arial" w:eastAsia="Times New Roman" w:hAnsi="Arial" w:cs="Times New Roman"/>
      <w:b/>
      <w:smallCaps/>
      <w:color w:val="CD0000"/>
      <w:sz w:val="28"/>
      <w:szCs w:val="28"/>
      <w:lang w:eastAsia="pt-BR"/>
    </w:rPr>
  </w:style>
  <w:style w:type="paragraph" w:customStyle="1" w:styleId="STDNvelDois">
    <w:name w:val="STD Nível Dois"/>
    <w:basedOn w:val="STDNvelUm"/>
    <w:next w:val="Normal"/>
    <w:rsid w:val="008109DA"/>
    <w:pPr>
      <w:numPr>
        <w:ilvl w:val="1"/>
      </w:numPr>
      <w:spacing w:before="480"/>
      <w:ind w:left="942"/>
      <w:outlineLvl w:val="1"/>
    </w:pPr>
    <w:rPr>
      <w:sz w:val="24"/>
      <w:szCs w:val="24"/>
    </w:rPr>
  </w:style>
  <w:style w:type="paragraph" w:customStyle="1" w:styleId="STDNvelTrs">
    <w:name w:val="STD Nível Três"/>
    <w:basedOn w:val="STDNvelUm"/>
    <w:next w:val="Normal"/>
    <w:rsid w:val="008109DA"/>
    <w:pPr>
      <w:numPr>
        <w:ilvl w:val="2"/>
      </w:numPr>
      <w:spacing w:before="480"/>
      <w:outlineLvl w:val="2"/>
    </w:pPr>
    <w:rPr>
      <w:sz w:val="24"/>
      <w:szCs w:val="24"/>
    </w:rPr>
  </w:style>
  <w:style w:type="paragraph" w:customStyle="1" w:styleId="STDNvelQuatro">
    <w:name w:val="STD Nível Quatro"/>
    <w:basedOn w:val="STDNvelUm"/>
    <w:next w:val="Normal"/>
    <w:rsid w:val="008109DA"/>
    <w:pPr>
      <w:numPr>
        <w:ilvl w:val="3"/>
      </w:numPr>
      <w:spacing w:before="480"/>
      <w:outlineLvl w:val="3"/>
    </w:pPr>
    <w:rPr>
      <w:sz w:val="24"/>
      <w:szCs w:val="24"/>
    </w:rPr>
  </w:style>
  <w:style w:type="paragraph" w:customStyle="1" w:styleId="ax">
    <w:name w:val="a.x)"/>
    <w:rsid w:val="008109DA"/>
    <w:pPr>
      <w:autoSpaceDE w:val="0"/>
      <w:autoSpaceDN w:val="0"/>
      <w:adjustRightInd w:val="0"/>
      <w:spacing w:before="240" w:after="120" w:line="240" w:lineRule="auto"/>
      <w:ind w:left="1276" w:hanging="709"/>
      <w:jc w:val="both"/>
    </w:pPr>
    <w:rPr>
      <w:rFonts w:ascii="Arial" w:eastAsia="Times New Roman" w:hAnsi="Arial" w:cs="Times New Roman"/>
      <w:sz w:val="24"/>
      <w:szCs w:val="24"/>
      <w:lang w:eastAsia="pt-BR"/>
    </w:rPr>
  </w:style>
  <w:style w:type="paragraph" w:customStyle="1" w:styleId="BNDES">
    <w:name w:val="BNDES"/>
    <w:basedOn w:val="Normal"/>
    <w:link w:val="BNDESChar1"/>
    <w:qFormat/>
    <w:rsid w:val="008109DA"/>
    <w:pPr>
      <w:autoSpaceDE w:val="0"/>
      <w:autoSpaceDN w:val="0"/>
      <w:adjustRightInd w:val="0"/>
      <w:spacing w:after="120"/>
    </w:pPr>
    <w:rPr>
      <w:rFonts w:ascii="Arial" w:eastAsia="Times New Roman" w:hAnsi="Arial" w:cs="Times New Roman"/>
      <w:sz w:val="24"/>
      <w:szCs w:val="20"/>
      <w:lang w:eastAsia="pt-BR"/>
    </w:rPr>
  </w:style>
  <w:style w:type="character" w:customStyle="1" w:styleId="BNDESChar">
    <w:name w:val="BNDES Char"/>
    <w:qFormat/>
    <w:rsid w:val="008109DA"/>
    <w:rPr>
      <w:rFonts w:ascii="Arial" w:hAnsi="Arial"/>
      <w:sz w:val="24"/>
    </w:rPr>
  </w:style>
  <w:style w:type="paragraph" w:customStyle="1" w:styleId="numeroON">
    <w:name w:val="numero ON"/>
    <w:rsid w:val="008109DA"/>
    <w:pPr>
      <w:autoSpaceDE w:val="0"/>
      <w:autoSpaceDN w:val="0"/>
      <w:adjustRightInd w:val="0"/>
      <w:spacing w:before="120" w:after="360" w:line="240" w:lineRule="auto"/>
      <w:jc w:val="center"/>
    </w:pPr>
    <w:rPr>
      <w:rFonts w:ascii="Arial" w:eastAsia="Times New Roman" w:hAnsi="Arial" w:cs="Times New Roman"/>
      <w:b/>
      <w:caps/>
      <w:sz w:val="24"/>
      <w:szCs w:val="24"/>
      <w:lang w:eastAsia="pt-BR"/>
    </w:rPr>
  </w:style>
  <w:style w:type="paragraph" w:customStyle="1" w:styleId="NormalWeb0">
    <w:name w:val="Normal(Web)"/>
    <w:basedOn w:val="Normal"/>
    <w:uiPriority w:val="99"/>
    <w:rsid w:val="008109DA"/>
    <w:pPr>
      <w:widowControl w:val="0"/>
      <w:autoSpaceDE w:val="0"/>
      <w:autoSpaceDN w:val="0"/>
      <w:adjustRightInd w:val="0"/>
      <w:spacing w:before="100" w:beforeAutospacing="1" w:after="100" w:afterAutospacing="1"/>
      <w:jc w:val="left"/>
    </w:pPr>
    <w:rPr>
      <w:rFonts w:ascii="Arial Unicode MS" w:eastAsia="Arial Unicode MS" w:hAnsi="Garamond" w:cs="Arial Unicode MS"/>
      <w:sz w:val="24"/>
      <w:szCs w:val="24"/>
      <w:lang w:eastAsia="pt-BR"/>
    </w:rPr>
  </w:style>
  <w:style w:type="paragraph" w:customStyle="1" w:styleId="CharChar1">
    <w:name w:val="Char Char1"/>
    <w:basedOn w:val="Normal"/>
    <w:rsid w:val="008109DA"/>
    <w:pPr>
      <w:autoSpaceDE w:val="0"/>
      <w:autoSpaceDN w:val="0"/>
      <w:adjustRightInd w:val="0"/>
      <w:spacing w:after="160" w:line="240" w:lineRule="exact"/>
      <w:jc w:val="left"/>
    </w:pPr>
    <w:rPr>
      <w:rFonts w:ascii="Verdana" w:eastAsia="MS Mincho" w:hAnsi="Verdana" w:cs="Times New Roman"/>
      <w:szCs w:val="20"/>
      <w:lang w:val="en-US" w:eastAsia="pt-BR"/>
    </w:rPr>
  </w:style>
  <w:style w:type="paragraph" w:customStyle="1" w:styleId="CharChar1CharCharCharCharCharCharCharCharCharCharCharCharCharCharCharChar1CharCharCharCharCharCharCharCharCharCharCharCharCharCharChar1">
    <w:name w:val="Char Char1 Char Char Char Char Char Char Char Char Char Char Char Char Char Char Char Char1 Char Char Char Char Char Char Char Char Char Char Char Char Char Char Char1"/>
    <w:basedOn w:val="Normal"/>
    <w:rsid w:val="008109DA"/>
    <w:pPr>
      <w:widowControl w:val="0"/>
      <w:autoSpaceDE w:val="0"/>
      <w:autoSpaceDN w:val="0"/>
      <w:adjustRightInd w:val="0"/>
      <w:spacing w:after="160" w:line="240" w:lineRule="exact"/>
    </w:pPr>
    <w:rPr>
      <w:rFonts w:ascii="Verdana" w:eastAsia="MS Mincho" w:hAnsi="Verdana" w:cs="Times New Roman"/>
      <w:szCs w:val="20"/>
      <w:lang w:val="en-US" w:eastAsia="pt-BR"/>
    </w:rPr>
  </w:style>
  <w:style w:type="paragraph" w:customStyle="1" w:styleId="CharChar1CharCharCharCharCharCharCharCharCharCharCharCharCharCharCharChar1CharCharCharCharCharCharCharCharCharCharChar1CharCharCharChar1">
    <w:name w:val="Char Char1 Char Char Char Char Char Char Char Char Char Char Char Char Char Char Char Char1 Char Char Char Char Char Char Char Char Char Char Char1 Char Char Char Char1"/>
    <w:basedOn w:val="Normal"/>
    <w:rsid w:val="008109DA"/>
    <w:pPr>
      <w:autoSpaceDE w:val="0"/>
      <w:autoSpaceDN w:val="0"/>
      <w:adjustRightInd w:val="0"/>
      <w:spacing w:after="160" w:line="240" w:lineRule="exact"/>
      <w:jc w:val="left"/>
    </w:pPr>
    <w:rPr>
      <w:rFonts w:ascii="Verdana" w:eastAsia="Times New Roman" w:hAnsi="Verdana" w:cs="Times New Roman"/>
      <w:szCs w:val="20"/>
      <w:lang w:val="en-US" w:eastAsia="pt-BR"/>
    </w:rPr>
  </w:style>
  <w:style w:type="paragraph" w:customStyle="1" w:styleId="CharCharCharCharCharCharCharChar1">
    <w:name w:val="Char Char Char Char Char Char Char Char1"/>
    <w:basedOn w:val="Normal"/>
    <w:rsid w:val="008109DA"/>
    <w:pPr>
      <w:autoSpaceDE w:val="0"/>
      <w:autoSpaceDN w:val="0"/>
      <w:adjustRightInd w:val="0"/>
      <w:spacing w:after="160" w:line="240" w:lineRule="exact"/>
      <w:jc w:val="left"/>
    </w:pPr>
    <w:rPr>
      <w:rFonts w:ascii="Verdana" w:eastAsia="Times New Roman" w:hAnsi="Verdana" w:cs="Times New Roman"/>
      <w:szCs w:val="20"/>
      <w:lang w:val="en-US" w:eastAsia="pt-BR"/>
    </w:rPr>
  </w:style>
  <w:style w:type="paragraph" w:customStyle="1" w:styleId="Centered">
    <w:name w:val="Centered"/>
    <w:basedOn w:val="Normal"/>
    <w:rsid w:val="008109DA"/>
    <w:pPr>
      <w:keepNext/>
      <w:widowControl w:val="0"/>
      <w:autoSpaceDE w:val="0"/>
      <w:autoSpaceDN w:val="0"/>
      <w:adjustRightInd w:val="0"/>
      <w:spacing w:after="240"/>
      <w:jc w:val="center"/>
    </w:pPr>
    <w:rPr>
      <w:rFonts w:ascii="Garamond" w:eastAsia="Times New Roman" w:hAnsi="Garamond" w:cs="Times New Roman"/>
      <w:b/>
      <w:sz w:val="18"/>
      <w:szCs w:val="18"/>
      <w:lang w:val="en-US" w:eastAsia="pt-BR"/>
    </w:rPr>
  </w:style>
  <w:style w:type="paragraph" w:customStyle="1" w:styleId="dx-TitleC">
    <w:name w:val="dx-Title C"/>
    <w:aliases w:val="t10"/>
    <w:basedOn w:val="Normal"/>
    <w:uiPriority w:val="99"/>
    <w:rsid w:val="008109DA"/>
    <w:pPr>
      <w:autoSpaceDE w:val="0"/>
      <w:autoSpaceDN w:val="0"/>
      <w:adjustRightInd w:val="0"/>
      <w:spacing w:after="240"/>
      <w:jc w:val="center"/>
    </w:pPr>
    <w:rPr>
      <w:rFonts w:ascii="Garamond" w:eastAsia="Times New Roman" w:hAnsi="Garamond" w:cs="Times New Roman"/>
      <w:sz w:val="24"/>
      <w:szCs w:val="20"/>
      <w:lang w:val="en-US" w:eastAsia="pt-BR"/>
    </w:rPr>
  </w:style>
  <w:style w:type="paragraph" w:customStyle="1" w:styleId="Estilo1">
    <w:name w:val="Estilo1"/>
    <w:basedOn w:val="Corpodetexto2"/>
    <w:qFormat/>
    <w:rsid w:val="008109DA"/>
    <w:pPr>
      <w:suppressAutoHyphens/>
      <w:spacing w:after="120" w:line="320" w:lineRule="exact"/>
    </w:pPr>
    <w:rPr>
      <w:rFonts w:ascii="Georgia" w:hAnsi="Georgia"/>
      <w:sz w:val="22"/>
      <w:szCs w:val="22"/>
    </w:rPr>
  </w:style>
  <w:style w:type="character" w:customStyle="1" w:styleId="Estilo1Char">
    <w:name w:val="Estilo1 Char"/>
    <w:rsid w:val="008109DA"/>
    <w:rPr>
      <w:rFonts w:ascii="Georgia" w:hAnsi="Georgia"/>
      <w:sz w:val="22"/>
    </w:rPr>
  </w:style>
  <w:style w:type="character" w:customStyle="1" w:styleId="DeltaViewComment">
    <w:name w:val="DeltaView Comment"/>
    <w:uiPriority w:val="99"/>
    <w:rsid w:val="008109DA"/>
    <w:rPr>
      <w:color w:val="000000"/>
    </w:rPr>
  </w:style>
  <w:style w:type="character" w:customStyle="1" w:styleId="DeltaViewStyleChangeText">
    <w:name w:val="DeltaView Style Change Text"/>
    <w:uiPriority w:val="99"/>
    <w:rsid w:val="008109DA"/>
    <w:rPr>
      <w:color w:val="000000"/>
      <w:u w:val="double"/>
    </w:rPr>
  </w:style>
  <w:style w:type="character" w:customStyle="1" w:styleId="DeltaViewStyleChangeLabel">
    <w:name w:val="DeltaView Style Change Label"/>
    <w:uiPriority w:val="99"/>
    <w:rsid w:val="008109DA"/>
    <w:rPr>
      <w:color w:val="000000"/>
    </w:rPr>
  </w:style>
  <w:style w:type="character" w:customStyle="1" w:styleId="DeltaViewInsertedComment">
    <w:name w:val="DeltaView Inserted Comment"/>
    <w:uiPriority w:val="99"/>
    <w:rsid w:val="008109DA"/>
    <w:rPr>
      <w:color w:val="0000FF"/>
      <w:u w:val="double"/>
    </w:rPr>
  </w:style>
  <w:style w:type="character" w:customStyle="1" w:styleId="DeltaViewDeletedComment">
    <w:name w:val="DeltaView Deleted Comment"/>
    <w:uiPriority w:val="99"/>
    <w:rsid w:val="008109DA"/>
    <w:rPr>
      <w:strike/>
      <w:color w:val="FF0000"/>
    </w:rPr>
  </w:style>
  <w:style w:type="paragraph" w:customStyle="1" w:styleId="a">
    <w:name w:val="a)"/>
    <w:next w:val="Normal"/>
    <w:rsid w:val="008109DA"/>
    <w:pPr>
      <w:spacing w:before="360" w:after="120" w:line="240" w:lineRule="auto"/>
      <w:ind w:left="567" w:hanging="567"/>
      <w:jc w:val="both"/>
    </w:pPr>
    <w:rPr>
      <w:rFonts w:ascii="Arial" w:eastAsia="Times New Roman" w:hAnsi="Arial" w:cs="Times New Roman"/>
      <w:sz w:val="24"/>
      <w:szCs w:val="24"/>
      <w:lang w:eastAsia="pt-BR"/>
    </w:rPr>
  </w:style>
  <w:style w:type="paragraph" w:customStyle="1" w:styleId="NormalOptimum">
    <w:name w:val="Normal Optimum"/>
    <w:link w:val="NormalOptimumChar"/>
    <w:rsid w:val="008109DA"/>
    <w:pPr>
      <w:widowControl w:val="0"/>
      <w:adjustRightInd w:val="0"/>
      <w:spacing w:after="120" w:line="240" w:lineRule="auto"/>
      <w:contextualSpacing/>
      <w:jc w:val="both"/>
      <w:textAlignment w:val="baseline"/>
    </w:pPr>
    <w:rPr>
      <w:rFonts w:ascii="Optimum" w:eastAsia="Times New Roman" w:hAnsi="Optimum" w:cs="Times New Roman"/>
      <w:sz w:val="24"/>
      <w:szCs w:val="24"/>
      <w:lang w:eastAsia="pt-BR"/>
    </w:rPr>
  </w:style>
  <w:style w:type="character" w:customStyle="1" w:styleId="NormalOptimumChar">
    <w:name w:val="Normal Optimum Char"/>
    <w:link w:val="NormalOptimum"/>
    <w:rsid w:val="008109DA"/>
    <w:rPr>
      <w:rFonts w:ascii="Optimum" w:eastAsia="Times New Roman" w:hAnsi="Optimum" w:cs="Times New Roman"/>
      <w:sz w:val="24"/>
      <w:szCs w:val="24"/>
      <w:lang w:eastAsia="pt-BR"/>
    </w:rPr>
  </w:style>
  <w:style w:type="paragraph" w:customStyle="1" w:styleId="axx">
    <w:name w:val="a.x.x)"/>
    <w:basedOn w:val="ax"/>
    <w:rsid w:val="008109DA"/>
    <w:pPr>
      <w:autoSpaceDE/>
      <w:autoSpaceDN/>
      <w:adjustRightInd/>
      <w:spacing w:before="120"/>
      <w:ind w:left="2268" w:hanging="992"/>
    </w:pPr>
  </w:style>
  <w:style w:type="paragraph" w:customStyle="1" w:styleId="1-PargrafoAJ">
    <w:name w:val="1 - Parágrafo AJ"/>
    <w:basedOn w:val="BNDES"/>
    <w:link w:val="1-PargrafoAJChar"/>
    <w:rsid w:val="008109DA"/>
    <w:pPr>
      <w:tabs>
        <w:tab w:val="left" w:pos="1418"/>
      </w:tabs>
      <w:autoSpaceDE/>
      <w:autoSpaceDN/>
      <w:adjustRightInd/>
      <w:spacing w:after="0" w:line="312" w:lineRule="auto"/>
    </w:pPr>
    <w:rPr>
      <w:color w:val="333333"/>
      <w:spacing w:val="10"/>
      <w:lang w:val="x-none" w:eastAsia="x-none"/>
    </w:rPr>
  </w:style>
  <w:style w:type="character" w:customStyle="1" w:styleId="1-PargrafoAJChar">
    <w:name w:val="1 - Parágrafo AJ Char"/>
    <w:link w:val="1-PargrafoAJ"/>
    <w:rsid w:val="008109DA"/>
    <w:rPr>
      <w:rFonts w:ascii="Arial" w:eastAsia="Times New Roman" w:hAnsi="Arial" w:cs="Times New Roman"/>
      <w:color w:val="333333"/>
      <w:spacing w:val="10"/>
      <w:sz w:val="24"/>
      <w:szCs w:val="20"/>
      <w:lang w:val="x-none" w:eastAsia="x-none"/>
    </w:rPr>
  </w:style>
  <w:style w:type="paragraph" w:customStyle="1" w:styleId="CTTCorpodeTexto">
    <w:name w:val="CTT_Corpo de Texto"/>
    <w:basedOn w:val="Normal"/>
    <w:qFormat/>
    <w:locked/>
    <w:rsid w:val="008109DA"/>
    <w:pPr>
      <w:autoSpaceDE w:val="0"/>
      <w:autoSpaceDN w:val="0"/>
      <w:adjustRightInd w:val="0"/>
      <w:spacing w:before="240" w:after="240" w:line="300" w:lineRule="exact"/>
    </w:pPr>
    <w:rPr>
      <w:rFonts w:ascii="Garamond" w:eastAsia="Calibri" w:hAnsi="Garamond" w:cs="Times New Roman"/>
      <w:sz w:val="24"/>
      <w:szCs w:val="24"/>
    </w:rPr>
  </w:style>
  <w:style w:type="paragraph" w:customStyle="1" w:styleId="CharChar1CharCharCharCharCharChar">
    <w:name w:val="Char Char1 Char Char Char Char Char Char"/>
    <w:basedOn w:val="Normal"/>
    <w:rsid w:val="008109DA"/>
    <w:pPr>
      <w:spacing w:after="160" w:line="240" w:lineRule="exact"/>
      <w:jc w:val="left"/>
    </w:pPr>
    <w:rPr>
      <w:rFonts w:ascii="Verdana" w:eastAsia="Times New Roman" w:hAnsi="Verdana" w:cs="Times New Roman"/>
      <w:szCs w:val="20"/>
      <w:lang w:val="en-US"/>
    </w:rPr>
  </w:style>
  <w:style w:type="paragraph" w:customStyle="1" w:styleId="TextodeClusula">
    <w:name w:val="Texto de Cláusula"/>
    <w:basedOn w:val="Normal"/>
    <w:link w:val="TextodeClusulaChar"/>
    <w:rsid w:val="008109DA"/>
    <w:pPr>
      <w:spacing w:before="60" w:after="60" w:line="360" w:lineRule="auto"/>
    </w:pPr>
    <w:rPr>
      <w:rFonts w:ascii="Arial" w:eastAsia="Times New Roman" w:hAnsi="Arial" w:cs="Arial"/>
      <w:bCs/>
      <w:sz w:val="24"/>
      <w:szCs w:val="24"/>
      <w:lang w:eastAsia="pt-BR"/>
    </w:rPr>
  </w:style>
  <w:style w:type="character" w:customStyle="1" w:styleId="TextodeClusulaChar">
    <w:name w:val="Texto de Cláusula Char"/>
    <w:link w:val="TextodeClusula"/>
    <w:rsid w:val="008109DA"/>
    <w:rPr>
      <w:rFonts w:ascii="Arial" w:eastAsia="Times New Roman" w:hAnsi="Arial" w:cs="Arial"/>
      <w:bCs/>
      <w:sz w:val="24"/>
      <w:szCs w:val="24"/>
      <w:lang w:eastAsia="pt-BR"/>
    </w:rPr>
  </w:style>
  <w:style w:type="character" w:customStyle="1" w:styleId="apple-converted-space">
    <w:name w:val="apple-converted-space"/>
    <w:rsid w:val="008109DA"/>
  </w:style>
  <w:style w:type="paragraph" w:customStyle="1" w:styleId="003-NCGreto">
    <w:name w:val="003-NCG_reto"/>
    <w:rsid w:val="008109DA"/>
    <w:pPr>
      <w:widowControl w:val="0"/>
      <w:tabs>
        <w:tab w:val="left" w:pos="1701"/>
      </w:tabs>
      <w:adjustRightInd w:val="0"/>
      <w:spacing w:after="0" w:line="360" w:lineRule="atLeast"/>
      <w:jc w:val="both"/>
    </w:pPr>
    <w:rPr>
      <w:rFonts w:ascii="Arial" w:eastAsia="Times New Roman" w:hAnsi="Arial" w:cs="Arial"/>
      <w:noProof/>
      <w:sz w:val="24"/>
      <w:szCs w:val="24"/>
      <w:lang w:eastAsia="pt-BR"/>
    </w:rPr>
  </w:style>
  <w:style w:type="paragraph" w:customStyle="1" w:styleId="CharChar1CharCharCharCharCharChar1">
    <w:name w:val="Char Char1 Char Char Char Char Char Char1"/>
    <w:basedOn w:val="Normal"/>
    <w:rsid w:val="008109DA"/>
    <w:pPr>
      <w:spacing w:after="160" w:line="240" w:lineRule="exact"/>
      <w:jc w:val="left"/>
    </w:pPr>
    <w:rPr>
      <w:rFonts w:ascii="Verdana" w:eastAsia="Times New Roman" w:hAnsi="Verdana" w:cs="Times New Roman"/>
      <w:szCs w:val="20"/>
      <w:lang w:val="en-US"/>
    </w:rPr>
  </w:style>
  <w:style w:type="character" w:styleId="TextodoEspaoReservado">
    <w:name w:val="Placeholder Text"/>
    <w:basedOn w:val="Fontepargpadro"/>
    <w:uiPriority w:val="99"/>
    <w:semiHidden/>
    <w:rsid w:val="008109DA"/>
    <w:rPr>
      <w:color w:val="808080"/>
    </w:rPr>
  </w:style>
  <w:style w:type="paragraph" w:customStyle="1" w:styleId="INCISOS">
    <w:name w:val="INCISOS"/>
    <w:basedOn w:val="PargrafodaLista"/>
    <w:link w:val="INCISOSChar"/>
    <w:qFormat/>
    <w:rsid w:val="008109DA"/>
    <w:pPr>
      <w:numPr>
        <w:numId w:val="50"/>
      </w:numPr>
      <w:autoSpaceDE w:val="0"/>
      <w:autoSpaceDN w:val="0"/>
      <w:adjustRightInd w:val="0"/>
      <w:spacing w:before="160" w:after="160" w:line="320" w:lineRule="exact"/>
      <w:contextualSpacing w:val="0"/>
    </w:pPr>
    <w:rPr>
      <w:rFonts w:ascii="Arial" w:eastAsia="Arial Unicode MS" w:hAnsi="Arial" w:cs="Arial"/>
      <w:lang w:eastAsia="pt-BR"/>
    </w:rPr>
  </w:style>
  <w:style w:type="character" w:customStyle="1" w:styleId="INCISOSChar">
    <w:name w:val="INCISOS Char"/>
    <w:basedOn w:val="PargrafodaListaChar"/>
    <w:link w:val="INCISOS"/>
    <w:rsid w:val="008109DA"/>
    <w:rPr>
      <w:rFonts w:ascii="Arial" w:eastAsia="Arial Unicode MS" w:hAnsi="Arial" w:cs="Arial"/>
      <w:sz w:val="20"/>
      <w:lang w:eastAsia="pt-BR"/>
    </w:rPr>
  </w:style>
  <w:style w:type="character" w:customStyle="1" w:styleId="MenoPendente3">
    <w:name w:val="Menção Pendente3"/>
    <w:basedOn w:val="Fontepargpadro"/>
    <w:uiPriority w:val="99"/>
    <w:semiHidden/>
    <w:unhideWhenUsed/>
    <w:rsid w:val="008109DA"/>
    <w:rPr>
      <w:color w:val="605E5C"/>
      <w:shd w:val="clear" w:color="auto" w:fill="E1DFDD"/>
    </w:rPr>
  </w:style>
  <w:style w:type="paragraph" w:customStyle="1" w:styleId="Estilo10">
    <w:name w:val="Estilo 1"/>
    <w:basedOn w:val="Normal"/>
    <w:link w:val="Estilo1Char0"/>
    <w:qFormat/>
    <w:rsid w:val="008109DA"/>
    <w:pPr>
      <w:widowControl w:val="0"/>
      <w:spacing w:after="0" w:line="280" w:lineRule="atLeast"/>
    </w:pPr>
    <w:rPr>
      <w:rFonts w:ascii="Garamond" w:eastAsia="Times New Roman" w:hAnsi="Garamond" w:cs="Times New Roman"/>
      <w:b/>
      <w:smallCaps/>
      <w:color w:val="000000"/>
      <w:spacing w:val="-2"/>
      <w:sz w:val="24"/>
      <w:szCs w:val="24"/>
      <w:u w:val="single"/>
      <w:lang w:eastAsia="pt-BR"/>
    </w:rPr>
  </w:style>
  <w:style w:type="character" w:customStyle="1" w:styleId="Estilo1Char0">
    <w:name w:val="Estilo 1 Char"/>
    <w:basedOn w:val="Fontepargpadro"/>
    <w:link w:val="Estilo10"/>
    <w:rsid w:val="008109DA"/>
    <w:rPr>
      <w:rFonts w:ascii="Garamond" w:eastAsia="Times New Roman" w:hAnsi="Garamond" w:cs="Times New Roman"/>
      <w:b/>
      <w:smallCaps/>
      <w:color w:val="000000"/>
      <w:spacing w:val="-2"/>
      <w:sz w:val="24"/>
      <w:szCs w:val="24"/>
      <w:u w:val="single"/>
      <w:lang w:eastAsia="pt-BR"/>
    </w:rPr>
  </w:style>
  <w:style w:type="paragraph" w:customStyle="1" w:styleId="FooterReference">
    <w:name w:val="Footer Reference"/>
    <w:basedOn w:val="Rodap"/>
    <w:rsid w:val="008109DA"/>
    <w:pPr>
      <w:widowControl w:val="0"/>
      <w:numPr>
        <w:numId w:val="44"/>
      </w:numPr>
      <w:tabs>
        <w:tab w:val="clear" w:pos="4252"/>
        <w:tab w:val="clear" w:pos="8504"/>
        <w:tab w:val="center" w:pos="4419"/>
        <w:tab w:val="right" w:pos="8838"/>
      </w:tabs>
      <w:autoSpaceDE w:val="0"/>
      <w:autoSpaceDN w:val="0"/>
      <w:adjustRightInd w:val="0"/>
      <w:spacing w:before="100" w:beforeAutospacing="1" w:after="240" w:line="276" w:lineRule="auto"/>
    </w:pPr>
    <w:rPr>
      <w:rFonts w:ascii="Verdana" w:eastAsia="Arial Unicode MS" w:hAnsi="Verdana" w:cstheme="minorHAnsi"/>
      <w:szCs w:val="20"/>
      <w:lang w:val="x-none" w:eastAsia="x-none"/>
    </w:rPr>
  </w:style>
  <w:style w:type="character" w:customStyle="1" w:styleId="BodyChar">
    <w:name w:val="Body Char"/>
    <w:link w:val="Body"/>
    <w:locked/>
    <w:rsid w:val="008109DA"/>
    <w:rPr>
      <w:rFonts w:ascii="Arial" w:hAnsi="Arial" w:cs="Arial"/>
      <w:sz w:val="20"/>
      <w:szCs w:val="20"/>
    </w:rPr>
  </w:style>
  <w:style w:type="paragraph" w:customStyle="1" w:styleId="Body">
    <w:name w:val="Body"/>
    <w:aliases w:val="After:  3 pt,Before:  3 pt,Left,Line spacing:  Multiple ...,by,by + 8.5 pt,boby"/>
    <w:basedOn w:val="Normal"/>
    <w:link w:val="BodyChar"/>
    <w:qFormat/>
    <w:rsid w:val="008109DA"/>
    <w:pPr>
      <w:autoSpaceDE w:val="0"/>
      <w:autoSpaceDN w:val="0"/>
      <w:adjustRightInd w:val="0"/>
      <w:spacing w:after="140" w:line="288" w:lineRule="auto"/>
    </w:pPr>
    <w:rPr>
      <w:rFonts w:ascii="Arial" w:hAnsi="Arial" w:cs="Arial"/>
      <w:szCs w:val="20"/>
    </w:rPr>
  </w:style>
  <w:style w:type="paragraph" w:customStyle="1" w:styleId="NVEL1">
    <w:name w:val="NÍVEL1"/>
    <w:basedOn w:val="Textodecomentrio"/>
    <w:qFormat/>
    <w:rsid w:val="008109DA"/>
    <w:pPr>
      <w:numPr>
        <w:numId w:val="58"/>
      </w:numPr>
      <w:autoSpaceDE w:val="0"/>
      <w:autoSpaceDN w:val="0"/>
      <w:adjustRightInd w:val="0"/>
      <w:spacing w:before="120" w:after="120" w:line="320" w:lineRule="exact"/>
      <w:jc w:val="both"/>
    </w:pPr>
    <w:rPr>
      <w:rFonts w:ascii="Arial" w:eastAsia="MS Mincho" w:hAnsi="Arial" w:cs="Arial"/>
      <w:b/>
      <w:caps/>
      <w:kern w:val="0"/>
      <w:sz w:val="24"/>
      <w:szCs w:val="24"/>
      <w:u w:val="single"/>
      <w:lang w:eastAsia="pt-BR"/>
      <w14:ligatures w14:val="none"/>
    </w:rPr>
  </w:style>
  <w:style w:type="paragraph" w:customStyle="1" w:styleId="NVEL2">
    <w:name w:val="NÍVEL2"/>
    <w:basedOn w:val="Textodecomentrio"/>
    <w:qFormat/>
    <w:rsid w:val="008109DA"/>
    <w:pPr>
      <w:numPr>
        <w:ilvl w:val="1"/>
        <w:numId w:val="58"/>
      </w:numPr>
      <w:autoSpaceDE w:val="0"/>
      <w:autoSpaceDN w:val="0"/>
      <w:adjustRightInd w:val="0"/>
      <w:spacing w:before="120" w:after="120" w:line="320" w:lineRule="exact"/>
      <w:jc w:val="both"/>
    </w:pPr>
    <w:rPr>
      <w:rFonts w:ascii="Arial" w:eastAsia="MS Mincho" w:hAnsi="Arial" w:cs="Arial"/>
      <w:kern w:val="0"/>
      <w:sz w:val="24"/>
      <w:szCs w:val="24"/>
      <w14:ligatures w14:val="none"/>
    </w:rPr>
  </w:style>
  <w:style w:type="paragraph" w:customStyle="1" w:styleId="NVEL3">
    <w:name w:val="NÍVEL3"/>
    <w:basedOn w:val="NVEL2"/>
    <w:link w:val="NVEL3Char"/>
    <w:qFormat/>
    <w:rsid w:val="008109DA"/>
    <w:pPr>
      <w:numPr>
        <w:ilvl w:val="2"/>
      </w:numPr>
    </w:pPr>
  </w:style>
  <w:style w:type="character" w:customStyle="1" w:styleId="NVEL3Char">
    <w:name w:val="NÍVEL3 Char"/>
    <w:basedOn w:val="Fontepargpadro"/>
    <w:link w:val="NVEL3"/>
    <w:rsid w:val="008109DA"/>
    <w:rPr>
      <w:rFonts w:ascii="Arial" w:eastAsia="MS Mincho" w:hAnsi="Arial" w:cs="Arial"/>
      <w:sz w:val="24"/>
      <w:szCs w:val="24"/>
    </w:rPr>
  </w:style>
  <w:style w:type="paragraph" w:customStyle="1" w:styleId="NIVEL4">
    <w:name w:val="NIVEL 4"/>
    <w:basedOn w:val="NVEL3"/>
    <w:link w:val="NIVEL4Char"/>
    <w:qFormat/>
    <w:rsid w:val="008109DA"/>
    <w:pPr>
      <w:numPr>
        <w:ilvl w:val="3"/>
      </w:numPr>
      <w:tabs>
        <w:tab w:val="num" w:pos="3588"/>
      </w:tabs>
    </w:pPr>
  </w:style>
  <w:style w:type="character" w:customStyle="1" w:styleId="MenoPendente4">
    <w:name w:val="Menção Pendente4"/>
    <w:basedOn w:val="Fontepargpadro"/>
    <w:uiPriority w:val="99"/>
    <w:semiHidden/>
    <w:unhideWhenUsed/>
    <w:rsid w:val="008109DA"/>
    <w:rPr>
      <w:color w:val="605E5C"/>
      <w:shd w:val="clear" w:color="auto" w:fill="E1DFDD"/>
    </w:rPr>
  </w:style>
  <w:style w:type="character" w:customStyle="1" w:styleId="BodyChar1">
    <w:name w:val="Body Char1"/>
    <w:aliases w:val="by Char"/>
    <w:rsid w:val="008109DA"/>
    <w:rPr>
      <w:rFonts w:ascii="Arial" w:hAnsi="Arial" w:cs="Arial"/>
    </w:rPr>
  </w:style>
  <w:style w:type="character" w:customStyle="1" w:styleId="Level3Char1">
    <w:name w:val="Level 3 Char1"/>
    <w:basedOn w:val="Fontepargpadro"/>
    <w:uiPriority w:val="99"/>
    <w:rsid w:val="008109DA"/>
    <w:rPr>
      <w:rFonts w:ascii="Arial" w:eastAsia="Times New Roman" w:hAnsi="Arial" w:cs="Calibri"/>
      <w:szCs w:val="22"/>
      <w:lang w:val="en-GB"/>
    </w:rPr>
  </w:style>
  <w:style w:type="character" w:customStyle="1" w:styleId="tooltip">
    <w:name w:val="tooltip"/>
    <w:basedOn w:val="Fontepargpadro"/>
    <w:rsid w:val="008109DA"/>
  </w:style>
  <w:style w:type="character" w:customStyle="1" w:styleId="BNDESChar1">
    <w:name w:val="BNDES Char1"/>
    <w:basedOn w:val="Fontepargpadro"/>
    <w:link w:val="BNDES"/>
    <w:rsid w:val="008109DA"/>
    <w:rPr>
      <w:rFonts w:ascii="Arial" w:eastAsia="Times New Roman" w:hAnsi="Arial" w:cs="Times New Roman"/>
      <w:sz w:val="24"/>
      <w:szCs w:val="20"/>
      <w:lang w:eastAsia="pt-BR"/>
    </w:rPr>
  </w:style>
  <w:style w:type="character" w:customStyle="1" w:styleId="TextodeClusulaChar1">
    <w:name w:val="Texto de Cláusula Char1"/>
    <w:basedOn w:val="Fontepargpadro"/>
    <w:rsid w:val="008109DA"/>
    <w:rPr>
      <w:rFonts w:ascii="Arial" w:eastAsia="Times New Roman" w:hAnsi="Arial" w:cs="Arial"/>
      <w:sz w:val="24"/>
      <w:szCs w:val="24"/>
      <w:lang w:eastAsia="pt-BR"/>
    </w:rPr>
  </w:style>
  <w:style w:type="paragraph" w:customStyle="1" w:styleId="NmerodeClusula">
    <w:name w:val="Número de Cláusula"/>
    <w:basedOn w:val="Ttulo1"/>
    <w:next w:val="Normal"/>
    <w:link w:val="NmerodeClusulaChar"/>
    <w:rsid w:val="008109DA"/>
    <w:pPr>
      <w:keepNext/>
      <w:pageBreakBefore w:val="0"/>
      <w:pBdr>
        <w:bottom w:val="none" w:sz="0" w:space="0" w:color="auto"/>
      </w:pBdr>
      <w:tabs>
        <w:tab w:val="num" w:pos="360"/>
        <w:tab w:val="left" w:pos="851"/>
      </w:tabs>
      <w:spacing w:before="120" w:after="120" w:line="360" w:lineRule="auto"/>
      <w:ind w:hanging="720"/>
    </w:pPr>
    <w:rPr>
      <w:rFonts w:ascii="Arial" w:eastAsia="Times New Roman" w:hAnsi="Arial" w:cs="Times New Roman"/>
      <w:bCs/>
      <w:color w:val="000000"/>
      <w:kern w:val="32"/>
      <w:sz w:val="24"/>
      <w:szCs w:val="32"/>
      <w:u w:val="single"/>
      <w:lang w:val="x-none" w:eastAsia="x-none"/>
    </w:rPr>
  </w:style>
  <w:style w:type="paragraph" w:customStyle="1" w:styleId="IncisodeClusula">
    <w:name w:val="Inciso de Cláusula"/>
    <w:basedOn w:val="TextodeClusula"/>
    <w:rsid w:val="008109DA"/>
    <w:pPr>
      <w:tabs>
        <w:tab w:val="num" w:pos="851"/>
      </w:tabs>
      <w:spacing w:after="120"/>
      <w:ind w:left="851" w:hanging="851"/>
      <w:outlineLvl w:val="1"/>
    </w:pPr>
    <w:rPr>
      <w:rFonts w:cs="Times New Roman"/>
      <w:lang w:val="x-none" w:eastAsia="x-none"/>
    </w:rPr>
  </w:style>
  <w:style w:type="paragraph" w:customStyle="1" w:styleId="AlneadeClusula">
    <w:name w:val="Alínea de Cláusula"/>
    <w:basedOn w:val="TextodeClusula"/>
    <w:rsid w:val="008109DA"/>
    <w:pPr>
      <w:tabs>
        <w:tab w:val="num" w:pos="1304"/>
      </w:tabs>
      <w:autoSpaceDE w:val="0"/>
      <w:autoSpaceDN w:val="0"/>
      <w:adjustRightInd w:val="0"/>
      <w:ind w:left="1304" w:right="-1" w:hanging="453"/>
      <w:outlineLvl w:val="2"/>
    </w:pPr>
  </w:style>
  <w:style w:type="character" w:customStyle="1" w:styleId="NmerodeClusulaChar">
    <w:name w:val="Número de Cláusula Char"/>
    <w:link w:val="NmerodeClusula"/>
    <w:rsid w:val="008109DA"/>
    <w:rPr>
      <w:rFonts w:ascii="Arial" w:eastAsia="Times New Roman" w:hAnsi="Arial" w:cs="Times New Roman"/>
      <w:b/>
      <w:bCs/>
      <w:color w:val="000000"/>
      <w:kern w:val="32"/>
      <w:sz w:val="24"/>
      <w:szCs w:val="32"/>
      <w:u w:val="single"/>
      <w:lang w:val="x-none" w:eastAsia="x-none"/>
    </w:rPr>
  </w:style>
  <w:style w:type="character" w:customStyle="1" w:styleId="MenoPendente5">
    <w:name w:val="Menção Pendente5"/>
    <w:basedOn w:val="Fontepargpadro"/>
    <w:uiPriority w:val="99"/>
    <w:semiHidden/>
    <w:unhideWhenUsed/>
    <w:rsid w:val="008109DA"/>
    <w:rPr>
      <w:color w:val="605E5C"/>
      <w:shd w:val="clear" w:color="auto" w:fill="E1DFDD"/>
    </w:rPr>
  </w:style>
  <w:style w:type="paragraph" w:styleId="CabealhodoSumrio">
    <w:name w:val="TOC Heading"/>
    <w:basedOn w:val="Ttulo1"/>
    <w:next w:val="Normal"/>
    <w:uiPriority w:val="39"/>
    <w:unhideWhenUsed/>
    <w:qFormat/>
    <w:rsid w:val="008109DA"/>
    <w:pPr>
      <w:keepNext/>
      <w:keepLines/>
      <w:pageBreakBefore w:val="0"/>
      <w:pBdr>
        <w:bottom w:val="none" w:sz="0" w:space="0" w:color="auto"/>
      </w:pBdr>
      <w:tabs>
        <w:tab w:val="left" w:pos="851"/>
      </w:tabs>
      <w:spacing w:before="240" w:after="0" w:line="259" w:lineRule="auto"/>
      <w:jc w:val="both"/>
      <w:outlineLvl w:val="9"/>
    </w:pPr>
    <w:rPr>
      <w:rFonts w:asciiTheme="majorHAnsi" w:eastAsiaTheme="majorEastAsia" w:hAnsiTheme="majorHAnsi" w:cstheme="majorBidi"/>
      <w:b w:val="0"/>
      <w:color w:val="2F5496" w:themeColor="accent1" w:themeShade="BF"/>
      <w:sz w:val="32"/>
      <w:szCs w:val="32"/>
      <w:lang w:eastAsia="pt-BR"/>
    </w:rPr>
  </w:style>
  <w:style w:type="character" w:customStyle="1" w:styleId="MenoPendente6">
    <w:name w:val="Menção Pendente6"/>
    <w:basedOn w:val="Fontepargpadro"/>
    <w:uiPriority w:val="99"/>
    <w:semiHidden/>
    <w:unhideWhenUsed/>
    <w:rsid w:val="008109DA"/>
    <w:rPr>
      <w:color w:val="605E5C"/>
      <w:shd w:val="clear" w:color="auto" w:fill="E1DFDD"/>
    </w:rPr>
  </w:style>
  <w:style w:type="character" w:customStyle="1" w:styleId="MenoPendente7">
    <w:name w:val="Menção Pendente7"/>
    <w:basedOn w:val="Fontepargpadro"/>
    <w:uiPriority w:val="99"/>
    <w:semiHidden/>
    <w:unhideWhenUsed/>
    <w:rsid w:val="008109DA"/>
    <w:rPr>
      <w:color w:val="605E5C"/>
      <w:shd w:val="clear" w:color="auto" w:fill="E1DFDD"/>
    </w:rPr>
  </w:style>
  <w:style w:type="character" w:customStyle="1" w:styleId="NIVEL4Char">
    <w:name w:val="NIVEL 4 Char"/>
    <w:basedOn w:val="NVEL3Char"/>
    <w:link w:val="NIVEL4"/>
    <w:rsid w:val="008109DA"/>
    <w:rPr>
      <w:rFonts w:ascii="Arial" w:eastAsia="MS Mincho" w:hAnsi="Arial" w:cs="Arial"/>
      <w:sz w:val="24"/>
      <w:szCs w:val="24"/>
    </w:rPr>
  </w:style>
  <w:style w:type="paragraph" w:customStyle="1" w:styleId="dou-paragraph">
    <w:name w:val="dou-paragraph"/>
    <w:basedOn w:val="Normal"/>
    <w:rsid w:val="008109DA"/>
    <w:pPr>
      <w:spacing w:before="100" w:beforeAutospacing="1" w:after="100" w:afterAutospacing="1"/>
      <w:jc w:val="left"/>
    </w:pPr>
    <w:rPr>
      <w:rFonts w:ascii="Times New Roman" w:eastAsia="Times New Roman" w:hAnsi="Times New Roman" w:cs="Times New Roman"/>
      <w:sz w:val="24"/>
      <w:szCs w:val="24"/>
      <w:lang w:eastAsia="pt-BR"/>
    </w:rPr>
  </w:style>
  <w:style w:type="character" w:customStyle="1" w:styleId="cf01">
    <w:name w:val="cf01"/>
    <w:basedOn w:val="Fontepargpadro"/>
    <w:rsid w:val="008109DA"/>
    <w:rPr>
      <w:rFonts w:ascii="Segoe UI" w:hAnsi="Segoe UI" w:cs="Segoe UI" w:hint="default"/>
      <w:color w:val="6888C9"/>
      <w:sz w:val="18"/>
      <w:szCs w:val="18"/>
      <w:u w:val="single"/>
    </w:rPr>
  </w:style>
  <w:style w:type="paragraph" w:customStyle="1" w:styleId="Legal3L1">
    <w:name w:val="Legal3_L1"/>
    <w:basedOn w:val="Normal"/>
    <w:rsid w:val="008109DA"/>
    <w:pPr>
      <w:numPr>
        <w:numId w:val="149"/>
      </w:numPr>
      <w:autoSpaceDE w:val="0"/>
      <w:autoSpaceDN w:val="0"/>
      <w:adjustRightInd w:val="0"/>
      <w:spacing w:after="240"/>
      <w:outlineLvl w:val="0"/>
    </w:pPr>
    <w:rPr>
      <w:rFonts w:ascii="Times New Roman" w:eastAsiaTheme="minorEastAsia" w:hAnsi="Times New Roman" w:cs="Times New Roman"/>
      <w:b/>
      <w:caps/>
      <w:sz w:val="24"/>
      <w:szCs w:val="24"/>
      <w:lang w:val="en-US" w:eastAsia="pt-BR" w:bidi="th-TH"/>
    </w:rPr>
  </w:style>
  <w:style w:type="paragraph" w:customStyle="1" w:styleId="Legal3L2">
    <w:name w:val="Legal3_L2"/>
    <w:basedOn w:val="Normal"/>
    <w:rsid w:val="008109DA"/>
    <w:pPr>
      <w:numPr>
        <w:ilvl w:val="1"/>
        <w:numId w:val="149"/>
      </w:numPr>
      <w:tabs>
        <w:tab w:val="left" w:pos="1440"/>
      </w:tabs>
      <w:autoSpaceDE w:val="0"/>
      <w:autoSpaceDN w:val="0"/>
      <w:adjustRightInd w:val="0"/>
      <w:spacing w:after="240"/>
      <w:outlineLvl w:val="1"/>
    </w:pPr>
    <w:rPr>
      <w:rFonts w:ascii="Times New Roman" w:eastAsiaTheme="minorEastAsia" w:hAnsi="Times New Roman" w:cs="Times New Roman"/>
      <w:b/>
      <w:sz w:val="24"/>
      <w:szCs w:val="24"/>
      <w:u w:val="single"/>
      <w:lang w:val="en-US" w:eastAsia="pt-BR" w:bidi="th-TH"/>
    </w:rPr>
  </w:style>
  <w:style w:type="paragraph" w:customStyle="1" w:styleId="Legal3L3">
    <w:name w:val="Legal3_L3"/>
    <w:basedOn w:val="Normal"/>
    <w:rsid w:val="008109DA"/>
    <w:pPr>
      <w:numPr>
        <w:ilvl w:val="2"/>
        <w:numId w:val="149"/>
      </w:numPr>
      <w:tabs>
        <w:tab w:val="left" w:pos="1440"/>
      </w:tabs>
      <w:autoSpaceDE w:val="0"/>
      <w:autoSpaceDN w:val="0"/>
      <w:adjustRightInd w:val="0"/>
      <w:spacing w:after="240"/>
      <w:ind w:firstLine="720"/>
      <w:outlineLvl w:val="2"/>
    </w:pPr>
    <w:rPr>
      <w:rFonts w:ascii="Times New Roman" w:eastAsiaTheme="minorEastAsia" w:hAnsi="Times New Roman" w:cs="Times New Roman"/>
      <w:b/>
      <w:sz w:val="24"/>
      <w:szCs w:val="24"/>
      <w:u w:val="single"/>
      <w:lang w:val="en-US" w:eastAsia="pt-BR" w:bidi="th-TH"/>
    </w:rPr>
  </w:style>
  <w:style w:type="paragraph" w:customStyle="1" w:styleId="Legal3L4">
    <w:name w:val="Legal3_L4"/>
    <w:basedOn w:val="Normal"/>
    <w:rsid w:val="008109DA"/>
    <w:pPr>
      <w:numPr>
        <w:ilvl w:val="3"/>
        <w:numId w:val="149"/>
      </w:numPr>
      <w:autoSpaceDE w:val="0"/>
      <w:autoSpaceDN w:val="0"/>
      <w:adjustRightInd w:val="0"/>
      <w:spacing w:after="240"/>
      <w:outlineLvl w:val="3"/>
    </w:pPr>
    <w:rPr>
      <w:rFonts w:ascii="Times New Roman" w:eastAsiaTheme="minorEastAsia" w:hAnsi="Times New Roman" w:cs="Times New Roman"/>
      <w:sz w:val="24"/>
      <w:szCs w:val="24"/>
      <w:lang w:val="en-US" w:eastAsia="pt-BR" w:bidi="th-TH"/>
    </w:rPr>
  </w:style>
  <w:style w:type="paragraph" w:customStyle="1" w:styleId="Legal3L5">
    <w:name w:val="Legal3_L5"/>
    <w:basedOn w:val="Normal"/>
    <w:rsid w:val="008109DA"/>
    <w:pPr>
      <w:numPr>
        <w:ilvl w:val="4"/>
        <w:numId w:val="149"/>
      </w:numPr>
      <w:autoSpaceDE w:val="0"/>
      <w:autoSpaceDN w:val="0"/>
      <w:adjustRightInd w:val="0"/>
      <w:spacing w:after="240"/>
      <w:outlineLvl w:val="4"/>
    </w:pPr>
    <w:rPr>
      <w:rFonts w:ascii="Times New Roman" w:eastAsiaTheme="minorEastAsia" w:hAnsi="Times New Roman" w:cs="Times New Roman"/>
      <w:sz w:val="24"/>
      <w:szCs w:val="24"/>
      <w:lang w:val="en-US" w:eastAsia="pt-BR" w:bidi="th-TH"/>
    </w:rPr>
  </w:style>
  <w:style w:type="paragraph" w:customStyle="1" w:styleId="Legal3L6">
    <w:name w:val="Legal3_L6"/>
    <w:basedOn w:val="Normal"/>
    <w:rsid w:val="008109DA"/>
    <w:pPr>
      <w:numPr>
        <w:ilvl w:val="5"/>
        <w:numId w:val="149"/>
      </w:numPr>
      <w:autoSpaceDE w:val="0"/>
      <w:autoSpaceDN w:val="0"/>
      <w:adjustRightInd w:val="0"/>
      <w:spacing w:after="240"/>
      <w:outlineLvl w:val="5"/>
    </w:pPr>
    <w:rPr>
      <w:rFonts w:ascii="Times New Roman" w:eastAsiaTheme="minorEastAsia" w:hAnsi="Times New Roman" w:cs="Times New Roman"/>
      <w:sz w:val="24"/>
      <w:szCs w:val="24"/>
      <w:lang w:val="en-US" w:eastAsia="pt-BR" w:bidi="th-TH"/>
    </w:rPr>
  </w:style>
  <w:style w:type="paragraph" w:customStyle="1" w:styleId="Legal3L7">
    <w:name w:val="Legal3_L7"/>
    <w:basedOn w:val="Normal"/>
    <w:rsid w:val="008109DA"/>
    <w:pPr>
      <w:numPr>
        <w:ilvl w:val="6"/>
        <w:numId w:val="149"/>
      </w:numPr>
      <w:autoSpaceDE w:val="0"/>
      <w:autoSpaceDN w:val="0"/>
      <w:adjustRightInd w:val="0"/>
      <w:spacing w:after="240"/>
      <w:outlineLvl w:val="6"/>
    </w:pPr>
    <w:rPr>
      <w:rFonts w:ascii="Times New Roman" w:eastAsiaTheme="minorEastAsia" w:hAnsi="Times New Roman" w:cs="Times New Roman"/>
      <w:sz w:val="24"/>
      <w:szCs w:val="24"/>
      <w:lang w:val="en-US" w:eastAsia="pt-BR" w:bidi="th-TH"/>
    </w:rPr>
  </w:style>
  <w:style w:type="paragraph" w:customStyle="1" w:styleId="Legal3L8">
    <w:name w:val="Legal3_L8"/>
    <w:basedOn w:val="Normal"/>
    <w:rsid w:val="008109DA"/>
    <w:pPr>
      <w:numPr>
        <w:ilvl w:val="7"/>
        <w:numId w:val="149"/>
      </w:numPr>
      <w:autoSpaceDE w:val="0"/>
      <w:autoSpaceDN w:val="0"/>
      <w:adjustRightInd w:val="0"/>
      <w:spacing w:after="0"/>
      <w:outlineLvl w:val="7"/>
    </w:pPr>
    <w:rPr>
      <w:rFonts w:ascii="Times New Roman" w:eastAsiaTheme="minorEastAsia" w:hAnsi="Times New Roman" w:cs="Times New Roman"/>
      <w:sz w:val="24"/>
      <w:szCs w:val="24"/>
      <w:lang w:val="en-US" w:eastAsia="pt-BR" w:bidi="th-TH"/>
    </w:rPr>
  </w:style>
  <w:style w:type="paragraph" w:customStyle="1" w:styleId="Legal3L9">
    <w:name w:val="Legal3_L9"/>
    <w:basedOn w:val="Normal"/>
    <w:rsid w:val="008109DA"/>
    <w:pPr>
      <w:numPr>
        <w:ilvl w:val="8"/>
        <w:numId w:val="149"/>
      </w:numPr>
      <w:autoSpaceDE w:val="0"/>
      <w:autoSpaceDN w:val="0"/>
      <w:adjustRightInd w:val="0"/>
      <w:spacing w:after="0"/>
      <w:outlineLvl w:val="8"/>
    </w:pPr>
    <w:rPr>
      <w:rFonts w:ascii="Times New Roman" w:eastAsiaTheme="minorEastAsia" w:hAnsi="Times New Roman" w:cs="Times New Roman"/>
      <w:sz w:val="24"/>
      <w:szCs w:val="24"/>
      <w:lang w:val="en-US" w:eastAsia="pt-BR" w:bidi="th-TH"/>
    </w:rPr>
  </w:style>
  <w:style w:type="character" w:customStyle="1" w:styleId="MenoPendente8">
    <w:name w:val="Menção Pendente8"/>
    <w:basedOn w:val="Fontepargpadro"/>
    <w:uiPriority w:val="99"/>
    <w:rsid w:val="008109DA"/>
    <w:rPr>
      <w:color w:val="605E5C"/>
      <w:shd w:val="clear" w:color="auto" w:fill="E1DFDD"/>
    </w:rPr>
  </w:style>
  <w:style w:type="character" w:customStyle="1" w:styleId="MenoPendente9">
    <w:name w:val="Menção Pendente9"/>
    <w:basedOn w:val="Fontepargpadro"/>
    <w:uiPriority w:val="99"/>
    <w:rsid w:val="008109DA"/>
    <w:rPr>
      <w:color w:val="605E5C"/>
      <w:shd w:val="clear" w:color="auto" w:fill="E1DFDD"/>
    </w:rPr>
  </w:style>
  <w:style w:type="character" w:customStyle="1" w:styleId="ui-provider">
    <w:name w:val="ui-provider"/>
    <w:basedOn w:val="Fontepargpadro"/>
    <w:rsid w:val="008109DA"/>
  </w:style>
  <w:style w:type="character" w:customStyle="1" w:styleId="normaltextrun">
    <w:name w:val="normaltextrun"/>
    <w:basedOn w:val="Fontepargpadro"/>
    <w:rsid w:val="008109DA"/>
  </w:style>
  <w:style w:type="paragraph" w:customStyle="1" w:styleId="body0">
    <w:name w:val="body"/>
    <w:basedOn w:val="Normal"/>
    <w:rsid w:val="008109DA"/>
    <w:pPr>
      <w:spacing w:before="100" w:beforeAutospacing="1" w:after="100" w:afterAutospacing="1"/>
      <w:jc w:val="left"/>
    </w:pPr>
    <w:rPr>
      <w:rFonts w:ascii="Calibri" w:hAnsi="Calibri" w:cs="Calibri"/>
      <w:sz w:val="22"/>
      <w:lang w:eastAsia="pt-BR"/>
    </w:rPr>
  </w:style>
  <w:style w:type="paragraph" w:customStyle="1" w:styleId="Level7">
    <w:name w:val="Level 7"/>
    <w:basedOn w:val="Normal"/>
    <w:rsid w:val="008109DA"/>
    <w:pPr>
      <w:tabs>
        <w:tab w:val="num" w:pos="360"/>
        <w:tab w:val="left" w:pos="5245"/>
      </w:tabs>
      <w:spacing w:after="140" w:line="290" w:lineRule="auto"/>
    </w:pPr>
    <w:rPr>
      <w:rFonts w:ascii="Tahoma" w:eastAsia="Times New Roman" w:hAnsi="Tahoma" w:cs="Times New Roman"/>
      <w:szCs w:val="24"/>
    </w:rPr>
  </w:style>
  <w:style w:type="paragraph" w:customStyle="1" w:styleId="Level8">
    <w:name w:val="Level 8"/>
    <w:basedOn w:val="Normal"/>
    <w:rsid w:val="008109DA"/>
    <w:pPr>
      <w:tabs>
        <w:tab w:val="num" w:pos="360"/>
        <w:tab w:val="left" w:pos="5954"/>
      </w:tabs>
      <w:spacing w:after="140" w:line="290" w:lineRule="auto"/>
    </w:pPr>
    <w:rPr>
      <w:rFonts w:ascii="Tahoma" w:eastAsia="Times New Roman" w:hAnsi="Tahoma" w:cs="Times New Roman"/>
      <w:szCs w:val="24"/>
    </w:rPr>
  </w:style>
  <w:style w:type="paragraph" w:customStyle="1" w:styleId="Level9">
    <w:name w:val="Level 9"/>
    <w:basedOn w:val="Normal"/>
    <w:rsid w:val="008109DA"/>
    <w:pPr>
      <w:tabs>
        <w:tab w:val="num" w:pos="360"/>
        <w:tab w:val="left" w:pos="6804"/>
      </w:tabs>
      <w:spacing w:after="140" w:line="290" w:lineRule="auto"/>
    </w:pPr>
    <w:rPr>
      <w:rFonts w:ascii="Tahoma" w:eastAsia="Times New Roman" w:hAnsi="Tahoma" w:cs="Times New Roman"/>
      <w:szCs w:val="24"/>
    </w:rPr>
  </w:style>
  <w:style w:type="paragraph" w:customStyle="1" w:styleId="PartnerAddress">
    <w:name w:val="Partner Address"/>
    <w:uiPriority w:val="99"/>
    <w:rsid w:val="00D83F18"/>
    <w:pPr>
      <w:spacing w:after="0" w:line="240" w:lineRule="auto"/>
    </w:pPr>
    <w:rPr>
      <w:rFonts w:eastAsia="SimHei" w:cs="Arial"/>
      <w:sz w:val="14"/>
      <w:szCs w:val="20"/>
      <w:lang w:val="en-GB"/>
    </w:rPr>
  </w:style>
  <w:style w:type="numbering" w:customStyle="1" w:styleId="Semlista2">
    <w:name w:val="Sem lista2"/>
    <w:next w:val="Semlista"/>
    <w:uiPriority w:val="99"/>
    <w:semiHidden/>
    <w:unhideWhenUsed/>
    <w:rsid w:val="004F0F84"/>
  </w:style>
  <w:style w:type="numbering" w:customStyle="1" w:styleId="Semlista11">
    <w:name w:val="Sem lista11"/>
    <w:next w:val="Semlista"/>
    <w:uiPriority w:val="99"/>
    <w:semiHidden/>
    <w:unhideWhenUsed/>
    <w:rsid w:val="004F0F84"/>
  </w:style>
  <w:style w:type="table" w:customStyle="1" w:styleId="Tabelacomgrade2">
    <w:name w:val="Tabela com grade2"/>
    <w:basedOn w:val="Tabelanormal"/>
    <w:next w:val="Tabelacomgrade"/>
    <w:uiPriority w:val="39"/>
    <w:rsid w:val="004F0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F0F84"/>
    <w:pPr>
      <w:spacing w:after="0" w:line="240" w:lineRule="auto"/>
    </w:pPr>
    <w:rPr>
      <w:rFonts w:eastAsiaTheme="minorEastAsia"/>
      <w:kern w:val="2"/>
      <w:sz w:val="24"/>
      <w:szCs w:val="24"/>
      <w:lang w:eastAsia="pt-BR"/>
      <w14:ligatures w14:val="standardContextual"/>
    </w:rPr>
    <w:tblPr>
      <w:tblCellMar>
        <w:top w:w="0" w:type="dxa"/>
        <w:left w:w="0" w:type="dxa"/>
        <w:bottom w:w="0" w:type="dxa"/>
        <w:right w:w="0" w:type="dxa"/>
      </w:tblCellMar>
    </w:tblPr>
  </w:style>
  <w:style w:type="table" w:customStyle="1" w:styleId="Tabelacomgrade11">
    <w:name w:val="Tabela com grade11"/>
    <w:basedOn w:val="Tabelanormal"/>
    <w:qFormat/>
    <w:rsid w:val="004F0F84"/>
    <w:pPr>
      <w:spacing w:after="0" w:line="288" w:lineRule="auto"/>
    </w:pPr>
    <w:rPr>
      <w:rFonts w:ascii="Minion Pro" w:eastAsia="Times New Roman" w:hAnsi="Minion Pro" w:cs="Minion Pro"/>
      <w:sz w:val="24"/>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numbering" w:customStyle="1" w:styleId="Semlista21">
    <w:name w:val="Sem lista21"/>
    <w:next w:val="Semlista"/>
    <w:uiPriority w:val="99"/>
    <w:semiHidden/>
    <w:unhideWhenUsed/>
    <w:rsid w:val="004F0F84"/>
  </w:style>
  <w:style w:type="numbering" w:customStyle="1" w:styleId="EstiloImportado4">
    <w:name w:val="Estilo Importado 4"/>
    <w:rsid w:val="00F049D9"/>
    <w:pPr>
      <w:numPr>
        <w:numId w:val="17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40031">
      <w:bodyDiv w:val="1"/>
      <w:marLeft w:val="0"/>
      <w:marRight w:val="0"/>
      <w:marTop w:val="0"/>
      <w:marBottom w:val="0"/>
      <w:divBdr>
        <w:top w:val="none" w:sz="0" w:space="0" w:color="auto"/>
        <w:left w:val="none" w:sz="0" w:space="0" w:color="auto"/>
        <w:bottom w:val="none" w:sz="0" w:space="0" w:color="auto"/>
        <w:right w:val="none" w:sz="0" w:space="0" w:color="auto"/>
      </w:divBdr>
    </w:div>
    <w:div w:id="285550096">
      <w:bodyDiv w:val="1"/>
      <w:marLeft w:val="0"/>
      <w:marRight w:val="0"/>
      <w:marTop w:val="0"/>
      <w:marBottom w:val="0"/>
      <w:divBdr>
        <w:top w:val="none" w:sz="0" w:space="0" w:color="auto"/>
        <w:left w:val="none" w:sz="0" w:space="0" w:color="auto"/>
        <w:bottom w:val="none" w:sz="0" w:space="0" w:color="auto"/>
        <w:right w:val="none" w:sz="0" w:space="0" w:color="auto"/>
      </w:divBdr>
    </w:div>
    <w:div w:id="303387801">
      <w:bodyDiv w:val="1"/>
      <w:marLeft w:val="0"/>
      <w:marRight w:val="0"/>
      <w:marTop w:val="0"/>
      <w:marBottom w:val="0"/>
      <w:divBdr>
        <w:top w:val="none" w:sz="0" w:space="0" w:color="auto"/>
        <w:left w:val="none" w:sz="0" w:space="0" w:color="auto"/>
        <w:bottom w:val="none" w:sz="0" w:space="0" w:color="auto"/>
        <w:right w:val="none" w:sz="0" w:space="0" w:color="auto"/>
      </w:divBdr>
    </w:div>
    <w:div w:id="779881112">
      <w:bodyDiv w:val="1"/>
      <w:marLeft w:val="0"/>
      <w:marRight w:val="0"/>
      <w:marTop w:val="0"/>
      <w:marBottom w:val="0"/>
      <w:divBdr>
        <w:top w:val="none" w:sz="0" w:space="0" w:color="auto"/>
        <w:left w:val="none" w:sz="0" w:space="0" w:color="auto"/>
        <w:bottom w:val="none" w:sz="0" w:space="0" w:color="auto"/>
        <w:right w:val="none" w:sz="0" w:space="0" w:color="auto"/>
      </w:divBdr>
    </w:div>
    <w:div w:id="1205219699">
      <w:bodyDiv w:val="1"/>
      <w:marLeft w:val="0"/>
      <w:marRight w:val="0"/>
      <w:marTop w:val="0"/>
      <w:marBottom w:val="0"/>
      <w:divBdr>
        <w:top w:val="none" w:sz="0" w:space="0" w:color="auto"/>
        <w:left w:val="none" w:sz="0" w:space="0" w:color="auto"/>
        <w:bottom w:val="none" w:sz="0" w:space="0" w:color="auto"/>
        <w:right w:val="none" w:sz="0" w:space="0" w:color="auto"/>
      </w:divBdr>
    </w:div>
    <w:div w:id="1260215131">
      <w:bodyDiv w:val="1"/>
      <w:marLeft w:val="0"/>
      <w:marRight w:val="0"/>
      <w:marTop w:val="0"/>
      <w:marBottom w:val="0"/>
      <w:divBdr>
        <w:top w:val="none" w:sz="0" w:space="0" w:color="auto"/>
        <w:left w:val="none" w:sz="0" w:space="0" w:color="auto"/>
        <w:bottom w:val="none" w:sz="0" w:space="0" w:color="auto"/>
        <w:right w:val="none" w:sz="0" w:space="0" w:color="auto"/>
      </w:divBdr>
    </w:div>
    <w:div w:id="1310132881">
      <w:bodyDiv w:val="1"/>
      <w:marLeft w:val="0"/>
      <w:marRight w:val="0"/>
      <w:marTop w:val="0"/>
      <w:marBottom w:val="0"/>
      <w:divBdr>
        <w:top w:val="none" w:sz="0" w:space="0" w:color="auto"/>
        <w:left w:val="none" w:sz="0" w:space="0" w:color="auto"/>
        <w:bottom w:val="none" w:sz="0" w:space="0" w:color="auto"/>
        <w:right w:val="none" w:sz="0" w:space="0" w:color="auto"/>
      </w:divBdr>
    </w:div>
    <w:div w:id="1315183086">
      <w:bodyDiv w:val="1"/>
      <w:marLeft w:val="0"/>
      <w:marRight w:val="0"/>
      <w:marTop w:val="0"/>
      <w:marBottom w:val="0"/>
      <w:divBdr>
        <w:top w:val="none" w:sz="0" w:space="0" w:color="auto"/>
        <w:left w:val="none" w:sz="0" w:space="0" w:color="auto"/>
        <w:bottom w:val="none" w:sz="0" w:space="0" w:color="auto"/>
        <w:right w:val="none" w:sz="0" w:space="0" w:color="auto"/>
      </w:divBdr>
    </w:div>
    <w:div w:id="1542015416">
      <w:bodyDiv w:val="1"/>
      <w:marLeft w:val="0"/>
      <w:marRight w:val="0"/>
      <w:marTop w:val="0"/>
      <w:marBottom w:val="0"/>
      <w:divBdr>
        <w:top w:val="none" w:sz="0" w:space="0" w:color="auto"/>
        <w:left w:val="none" w:sz="0" w:space="0" w:color="auto"/>
        <w:bottom w:val="none" w:sz="0" w:space="0" w:color="auto"/>
        <w:right w:val="none" w:sz="0" w:space="0" w:color="auto"/>
      </w:divBdr>
    </w:div>
    <w:div w:id="1556236770">
      <w:bodyDiv w:val="1"/>
      <w:marLeft w:val="0"/>
      <w:marRight w:val="0"/>
      <w:marTop w:val="0"/>
      <w:marBottom w:val="0"/>
      <w:divBdr>
        <w:top w:val="none" w:sz="0" w:space="0" w:color="auto"/>
        <w:left w:val="none" w:sz="0" w:space="0" w:color="auto"/>
        <w:bottom w:val="none" w:sz="0" w:space="0" w:color="auto"/>
        <w:right w:val="none" w:sz="0" w:space="0" w:color="auto"/>
      </w:divBdr>
    </w:div>
    <w:div w:id="1640376253">
      <w:bodyDiv w:val="1"/>
      <w:marLeft w:val="0"/>
      <w:marRight w:val="0"/>
      <w:marTop w:val="0"/>
      <w:marBottom w:val="0"/>
      <w:divBdr>
        <w:top w:val="none" w:sz="0" w:space="0" w:color="auto"/>
        <w:left w:val="none" w:sz="0" w:space="0" w:color="auto"/>
        <w:bottom w:val="none" w:sz="0" w:space="0" w:color="auto"/>
        <w:right w:val="none" w:sz="0" w:space="0" w:color="auto"/>
      </w:divBdr>
    </w:div>
    <w:div w:id="1813524955">
      <w:bodyDiv w:val="1"/>
      <w:marLeft w:val="0"/>
      <w:marRight w:val="0"/>
      <w:marTop w:val="0"/>
      <w:marBottom w:val="0"/>
      <w:divBdr>
        <w:top w:val="none" w:sz="0" w:space="0" w:color="auto"/>
        <w:left w:val="none" w:sz="0" w:space="0" w:color="auto"/>
        <w:bottom w:val="none" w:sz="0" w:space="0" w:color="auto"/>
        <w:right w:val="none" w:sz="0" w:space="0" w:color="auto"/>
      </w:divBdr>
    </w:div>
    <w:div w:id="1831865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4.emf" Id="rId13" /><Relationship Type="http://schemas.openxmlformats.org/officeDocument/2006/relationships/footer" Target="footer1.xml" Id="rId18" /><Relationship Type="http://schemas.openxmlformats.org/officeDocument/2006/relationships/image" Target="media/image11.png" Id="rId26" /><Relationship Type="http://schemas.openxmlformats.org/officeDocument/2006/relationships/image" Target="media/image24.png" Id="rId39"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image" Target="media/image19.png" Id="rId34" /><Relationship Type="http://schemas.openxmlformats.org/officeDocument/2006/relationships/image" Target="media/image27.png" Id="rId42" /><Relationship Type="http://schemas.openxmlformats.org/officeDocument/2006/relationships/image" Target="media/image32.png" Id="rId47" /><Relationship Type="http://schemas.openxmlformats.org/officeDocument/2006/relationships/header" Target="header3.xml" Id="rId50" /><Relationship Type="http://schemas.openxmlformats.org/officeDocument/2006/relationships/webSettings" Target="webSettings.xml" Id="rId7" /><Relationship Type="http://schemas.openxmlformats.org/officeDocument/2006/relationships/image" Target="media/image3.wmf" Id="rId12" /><Relationship Type="http://schemas.openxmlformats.org/officeDocument/2006/relationships/header" Target="header1.xml" Id="rId17" /><Relationship Type="http://schemas.openxmlformats.org/officeDocument/2006/relationships/header" Target="header2.xml"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image" Target="media/image31.png" Id="rId46" /><Relationship Type="http://schemas.openxmlformats.org/officeDocument/2006/relationships/image" Target="media/image7.png" Id="rId16" /><Relationship Type="http://schemas.openxmlformats.org/officeDocument/2006/relationships/footer" Target="footer3.xml" Id="rId20" /><Relationship Type="http://schemas.openxmlformats.org/officeDocument/2006/relationships/image" Target="media/image14.png" Id="rId29" /><Relationship Type="http://schemas.openxmlformats.org/officeDocument/2006/relationships/image" Target="media/image26.png"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tiff" Id="rId11" /><Relationship Type="http://schemas.openxmlformats.org/officeDocument/2006/relationships/footer" Target="footer4.xml"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image" Target="media/image25.png" Id="rId40" /><Relationship Type="http://schemas.openxmlformats.org/officeDocument/2006/relationships/image" Target="media/image30.png" Id="rId45" /><Relationship Type="http://schemas.openxmlformats.org/officeDocument/2006/relationships/styles" Target="styles.xml" Id="rId5" /><Relationship Type="http://schemas.openxmlformats.org/officeDocument/2006/relationships/image" Target="media/image6.tiff" Id="rId15" /><Relationship Type="http://schemas.openxmlformats.org/officeDocument/2006/relationships/hyperlink" Target="https://www.b3.com.br/pt_br/produtos-e-servicos/solucoes-para-emissores/ofertas-publicas/ofertas-em-andamento/" TargetMode="External" Id="rId23" /><Relationship Type="http://schemas.openxmlformats.org/officeDocument/2006/relationships/image" Target="media/image13.png" Id="rId28" /><Relationship Type="http://schemas.openxmlformats.org/officeDocument/2006/relationships/image" Target="media/image21.png" Id="rId36" /><Relationship Type="http://schemas.openxmlformats.org/officeDocument/2006/relationships/image" Target="media/image34.png" Id="rId49" /><Relationship Type="http://schemas.openxmlformats.org/officeDocument/2006/relationships/image" Target="media/image1.wmf" Id="rId10" /><Relationship Type="http://schemas.openxmlformats.org/officeDocument/2006/relationships/footer" Target="footer2.xml" Id="rId19" /><Relationship Type="http://schemas.openxmlformats.org/officeDocument/2006/relationships/image" Target="media/image16.png" Id="rId31" /><Relationship Type="http://schemas.openxmlformats.org/officeDocument/2006/relationships/image" Target="media/image29.png" Id="rId44" /><Relationship Type="http://schemas.openxmlformats.org/officeDocument/2006/relationships/theme" Target="theme/theme1.xml" Id="rId52"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wmf" Id="rId14" /><Relationship Type="http://schemas.openxmlformats.org/officeDocument/2006/relationships/hyperlink" Target="https://www.gov.br/cvm/pt-br" TargetMode="External"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image" Target="media/image20.png" Id="rId35" /><Relationship Type="http://schemas.openxmlformats.org/officeDocument/2006/relationships/image" Target="media/image28.png" Id="rId43" /><Relationship Type="http://schemas.openxmlformats.org/officeDocument/2006/relationships/image" Target="media/image33.png" Id="rId48" /><Relationship Type="http://schemas.openxmlformats.org/officeDocument/2006/relationships/footnotes" Target="footnotes.xml" Id="rId8" /><Relationship Type="http://schemas.openxmlformats.org/officeDocument/2006/relationships/fontTable" Target="fontTable.xml" Id="rId51" /><Relationship Type="http://schemas.openxmlformats.org/officeDocument/2006/relationships/customXml" Target="/customXML/item4.xml" Id="imanage.xml"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4.xml>��< ? x m l   v e r s i o n = " 1 . 0 "   e n c o d i n g = " u t f - 1 6 " ? >  
 < p r o p e r t i e s   x m l n s = " h t t p : / / w w w . i m a n a g e . c o m / w o r k / x m l s c h e m a " >  
     < d o c u m e n t i d > T E X T ! 1 0 9 6 3 5 9 5 2 . 6 < / d o c u m e n t i d >  
     < s e n d e r i d > A I C < / s e n d e r i d >  
     < s e n d e r e m a i l > A C N E V E S @ M A C H A D O M E Y E R . C O M . B R < / s e n d e r e m a i l >  
     < l a s t m o d i f i e d > 2 0 2 5 - 0 2 - 0 5 T 1 9 : 3 4 : 0 0 . 0 0 0 0 0 0 0 - 0 3 : 0 0 < / l a s t m o d i f i e d >  
     < d a t a b a s e > T E X T < / 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p r o p e r t i e s   x m l n s = " h t t p : / / w w w . i m a n a g e . c o m / w o r k / x m l s c h e m a " >  
     < d o c u m e n t i d > S O U T O C O R R E A ! 2 0 4 7 9 8 3 . 4 < / d o c u m e n t i d >  
     < s e n d e r i d > C O N R A D O . D A V O L I < / s e n d e r i d >  
     < s e n d e r e m a i l > C O N R A D O . D A V O L I @ S O U T O C O R R E A . C O M . B R < / s e n d e r e m a i l >  
     < l a s t m o d i f i e d > 2 0 2 5 - 0 2 - 0 4 T 1 9 : 1 4 : 0 0 . 0 0 0 0 0 0 0 - 0 3 : 0 0 < / l a s t m o d i f i e d >  
     < d a t a b a s e > S O U T O C O R R E A < / d a t a b a s e >  
 < / p r o p e r t i e s > 
</file>

<file path=customXml/itemProps1.xml><?xml version="1.0" encoding="utf-8"?>
<ds:datastoreItem xmlns:ds="http://schemas.openxmlformats.org/officeDocument/2006/customXml" ds:itemID="{89893261-08AC-4F1A-8EB5-20961650314C}">
  <ds:schemaRefs>
    <ds:schemaRef ds:uri="http://schemas.openxmlformats.org/officeDocument/2006/bibliography"/>
  </ds:schemaRefs>
</ds:datastoreItem>
</file>

<file path=customXml/itemProps3.xml><?xml version="1.0" encoding="utf-8"?>
<ds:datastoreItem xmlns:ds="http://schemas.openxmlformats.org/officeDocument/2006/customXml" ds:itemID="{46D8CA85-9BF3-4C25-AF0E-D0DA4DEA49DB}">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62767</Words>
  <Characters>355262</Characters>
  <Application>Microsoft Office Word</Application>
  <DocSecurity>4</DocSecurity>
  <Lines>8458</Lines>
  <Paragraphs>5428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Criação (Luz Capital Markets)</dc:creator>
  <cp:keywords/>
  <dc:description/>
  <cp:lastModifiedBy>Ana Carolina C. Peyres Neves | Machado Meyer Advogados</cp:lastModifiedBy>
  <cp:revision>2</cp:revision>
  <cp:lastPrinted>2025-02-05T22:12:00Z</cp:lastPrinted>
  <dcterms:created xsi:type="dcterms:W3CDTF">2025-02-05T22:34:00Z</dcterms:created>
  <dcterms:modified xsi:type="dcterms:W3CDTF">2025-02-05T22:34:00Z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9743804</vt:lpwstr>
  </property>
  <property fmtid="{D5CDD505-2E9C-101B-9397-08002B2CF9AE}" pid="3" name="NXPowerLiteSettings">
    <vt:lpwstr>C7000400038000</vt:lpwstr>
  </property>
  <property fmtid="{D5CDD505-2E9C-101B-9397-08002B2CF9AE}" pid="4" name="NXPowerLiteVersion">
    <vt:lpwstr>S10.0.0</vt:lpwstr>
  </property>
  <property fmtid="{D5CDD505-2E9C-101B-9397-08002B2CF9AE}" pid="5" name="GrammarlyDocumentId">
    <vt:lpwstr>4c67b13de1afb7dedd7041ae6aabc596b2396b37ac03e9016cacdcd0a8057ddb</vt:lpwstr>
  </property>
  <property fmtid="{D5CDD505-2E9C-101B-9397-08002B2CF9AE}" pid="6" name="iManageFooter">
    <vt:lpwstr>TEXT-109635952v5</vt:lpwstr>
  </property>
</Properties>
</file>